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9577" w14:textId="64F3CBFB" w:rsidR="002B3E57" w:rsidRPr="009F6D64" w:rsidRDefault="00ED3819">
      <w:pPr>
        <w:rPr>
          <w:rFonts w:ascii="Calibri" w:hAnsi="Calibri" w:cs="Calibri"/>
          <w:color w:val="000000" w:themeColor="text1"/>
          <w:sz w:val="48"/>
          <w:szCs w:val="48"/>
          <w:lang w:val="en-US"/>
        </w:rPr>
      </w:pPr>
      <w:r w:rsidRPr="009F6D64">
        <w:rPr>
          <w:rFonts w:ascii="Calibri" w:hAnsi="Calibri" w:cs="Calibri"/>
          <w:color w:val="000000" w:themeColor="text1"/>
          <w:sz w:val="48"/>
          <w:szCs w:val="48"/>
          <w:lang w:val="en-US"/>
        </w:rPr>
        <w:t xml:space="preserve">Cost Analysis: AWS vs </w:t>
      </w:r>
      <w:r w:rsidR="009D368A" w:rsidRPr="009F6D64">
        <w:rPr>
          <w:rFonts w:ascii="Calibri" w:hAnsi="Calibri" w:cs="Calibri"/>
          <w:color w:val="000000" w:themeColor="text1"/>
          <w:sz w:val="48"/>
          <w:szCs w:val="48"/>
          <w:lang w:val="en-US"/>
        </w:rPr>
        <w:t xml:space="preserve">Microsoft </w:t>
      </w:r>
      <w:r w:rsidRPr="009F6D64">
        <w:rPr>
          <w:rFonts w:ascii="Calibri" w:hAnsi="Calibri" w:cs="Calibri"/>
          <w:color w:val="000000" w:themeColor="text1"/>
          <w:sz w:val="48"/>
          <w:szCs w:val="48"/>
          <w:lang w:val="en-US"/>
        </w:rPr>
        <w:t>Azure vs Google Cloud Platform (GCP)</w:t>
      </w:r>
    </w:p>
    <w:p w14:paraId="21E57DEB" w14:textId="77777777" w:rsidR="009F6D64" w:rsidRPr="009F6D64" w:rsidRDefault="009F6D64">
      <w:pPr>
        <w:rPr>
          <w:rFonts w:ascii="Calibri" w:hAnsi="Calibri" w:cs="Calibri"/>
          <w:color w:val="000000" w:themeColor="text1"/>
          <w:sz w:val="48"/>
          <w:szCs w:val="48"/>
          <w:lang w:val="en-US"/>
        </w:rPr>
      </w:pPr>
    </w:p>
    <w:p w14:paraId="2087065A" w14:textId="770B7C4A" w:rsidR="00143D5B" w:rsidRPr="009F6D64" w:rsidRDefault="00ED3819">
      <w:p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Reference link: </w:t>
      </w:r>
      <w:hyperlink r:id="rId5" w:history="1">
        <w:r w:rsidRPr="009F6D64">
          <w:rPr>
            <w:rStyle w:val="Hyperlink"/>
            <w:rFonts w:ascii="Calibri" w:hAnsi="Calibri" w:cs="Calibri"/>
            <w:color w:val="000000" w:themeColor="text1"/>
            <w:lang w:val="en-US"/>
          </w:rPr>
          <w:t>https://cast.ai/blog/cloud-pricing-comparison-aws-vs-azure-vs-google-cloud-platform/</w:t>
        </w:r>
      </w:hyperlink>
      <w:r w:rsidR="00143D5B" w:rsidRPr="009F6D64">
        <w:rPr>
          <w:rFonts w:ascii="Calibri" w:hAnsi="Calibri" w:cs="Calibri"/>
          <w:color w:val="000000" w:themeColor="text1"/>
          <w:lang w:val="en-US"/>
        </w:rPr>
        <w:t xml:space="preserve"> </w:t>
      </w:r>
    </w:p>
    <w:p w14:paraId="0FDD343F" w14:textId="77777777" w:rsidR="00ED3819" w:rsidRPr="009F6D64" w:rsidRDefault="00ED3819">
      <w:pPr>
        <w:rPr>
          <w:rFonts w:ascii="Calibri" w:hAnsi="Calibri" w:cs="Calibri"/>
          <w:color w:val="000000" w:themeColor="text1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1994"/>
        <w:gridCol w:w="2514"/>
        <w:gridCol w:w="2447"/>
      </w:tblGrid>
      <w:tr w:rsidR="009F6D64" w:rsidRPr="009F6D64" w14:paraId="2D555635" w14:textId="77777777" w:rsidTr="00C73758">
        <w:tc>
          <w:tcPr>
            <w:tcW w:w="2254" w:type="dxa"/>
          </w:tcPr>
          <w:p w14:paraId="5ECAB614" w14:textId="6F00A046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Cloud Service</w:t>
            </w:r>
          </w:p>
        </w:tc>
        <w:tc>
          <w:tcPr>
            <w:tcW w:w="1994" w:type="dxa"/>
          </w:tcPr>
          <w:p w14:paraId="21B81454" w14:textId="0C7EE686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Storage (GB/month)</w:t>
            </w:r>
          </w:p>
        </w:tc>
        <w:tc>
          <w:tcPr>
            <w:tcW w:w="2514" w:type="dxa"/>
          </w:tcPr>
          <w:p w14:paraId="2DF0A60B" w14:textId="73D86A9C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 xml:space="preserve">General Purpose Computing (per </w:t>
            </w:r>
            <w:proofErr w:type="spellStart"/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hr</w:t>
            </w:r>
            <w:proofErr w:type="spellEnd"/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)</w:t>
            </w:r>
          </w:p>
        </w:tc>
        <w:tc>
          <w:tcPr>
            <w:tcW w:w="2447" w:type="dxa"/>
          </w:tcPr>
          <w:p w14:paraId="041ED170" w14:textId="553189C2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 xml:space="preserve">Compute Optimized Computing (per </w:t>
            </w:r>
            <w:proofErr w:type="spellStart"/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hr</w:t>
            </w:r>
            <w:proofErr w:type="spellEnd"/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)</w:t>
            </w:r>
          </w:p>
        </w:tc>
      </w:tr>
      <w:tr w:rsidR="009F6D64" w:rsidRPr="009F6D64" w14:paraId="2625098F" w14:textId="77777777" w:rsidTr="00C73758">
        <w:tc>
          <w:tcPr>
            <w:tcW w:w="2254" w:type="dxa"/>
          </w:tcPr>
          <w:p w14:paraId="3DD902A6" w14:textId="40D34A4E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AWS</w:t>
            </w:r>
          </w:p>
        </w:tc>
        <w:tc>
          <w:tcPr>
            <w:tcW w:w="1994" w:type="dxa"/>
          </w:tcPr>
          <w:p w14:paraId="49477A83" w14:textId="3E4705FE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0.023</w:t>
            </w:r>
          </w:p>
        </w:tc>
        <w:tc>
          <w:tcPr>
            <w:tcW w:w="2514" w:type="dxa"/>
          </w:tcPr>
          <w:p w14:paraId="5633D61F" w14:textId="0CDF51EB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0.134</w:t>
            </w:r>
          </w:p>
        </w:tc>
        <w:tc>
          <w:tcPr>
            <w:tcW w:w="2447" w:type="dxa"/>
          </w:tcPr>
          <w:p w14:paraId="1DAA37A2" w14:textId="52C60E76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0.153</w:t>
            </w:r>
          </w:p>
        </w:tc>
      </w:tr>
      <w:tr w:rsidR="009F6D64" w:rsidRPr="009F6D64" w14:paraId="2EF5BE67" w14:textId="77777777" w:rsidTr="00C73758">
        <w:tc>
          <w:tcPr>
            <w:tcW w:w="2254" w:type="dxa"/>
          </w:tcPr>
          <w:p w14:paraId="75EC8644" w14:textId="18EF02CD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Microsoft Azure</w:t>
            </w:r>
          </w:p>
        </w:tc>
        <w:tc>
          <w:tcPr>
            <w:tcW w:w="1994" w:type="dxa"/>
          </w:tcPr>
          <w:p w14:paraId="0DE7DE4F" w14:textId="05BDE803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0.021</w:t>
            </w:r>
          </w:p>
        </w:tc>
        <w:tc>
          <w:tcPr>
            <w:tcW w:w="2514" w:type="dxa"/>
          </w:tcPr>
          <w:p w14:paraId="13483D11" w14:textId="6E182F35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0.166</w:t>
            </w:r>
          </w:p>
        </w:tc>
        <w:tc>
          <w:tcPr>
            <w:tcW w:w="2447" w:type="dxa"/>
          </w:tcPr>
          <w:p w14:paraId="555B69C6" w14:textId="584156BB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0.169</w:t>
            </w:r>
          </w:p>
        </w:tc>
      </w:tr>
      <w:tr w:rsidR="009F6D64" w:rsidRPr="009F6D64" w14:paraId="6FC232DE" w14:textId="77777777" w:rsidTr="00C73758">
        <w:tc>
          <w:tcPr>
            <w:tcW w:w="2254" w:type="dxa"/>
          </w:tcPr>
          <w:p w14:paraId="2496375B" w14:textId="28CE0D28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GCP</w:t>
            </w:r>
          </w:p>
        </w:tc>
        <w:tc>
          <w:tcPr>
            <w:tcW w:w="1994" w:type="dxa"/>
          </w:tcPr>
          <w:p w14:paraId="31D671E8" w14:textId="0FB6F499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0.023</w:t>
            </w:r>
          </w:p>
        </w:tc>
        <w:tc>
          <w:tcPr>
            <w:tcW w:w="2514" w:type="dxa"/>
          </w:tcPr>
          <w:p w14:paraId="0ADC8E93" w14:textId="57B6D9CD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0.151</w:t>
            </w:r>
          </w:p>
        </w:tc>
        <w:tc>
          <w:tcPr>
            <w:tcW w:w="2447" w:type="dxa"/>
          </w:tcPr>
          <w:p w14:paraId="4A566735" w14:textId="6E160F01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0.235</w:t>
            </w:r>
          </w:p>
        </w:tc>
      </w:tr>
      <w:tr w:rsidR="00C73758" w:rsidRPr="009F6D64" w14:paraId="6A76F5BC" w14:textId="77777777" w:rsidTr="00C73758">
        <w:tc>
          <w:tcPr>
            <w:tcW w:w="2254" w:type="dxa"/>
          </w:tcPr>
          <w:p w14:paraId="26187A52" w14:textId="04BE6EAE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 xml:space="preserve">Oracle </w:t>
            </w:r>
          </w:p>
        </w:tc>
        <w:tc>
          <w:tcPr>
            <w:tcW w:w="1994" w:type="dxa"/>
          </w:tcPr>
          <w:p w14:paraId="14195A48" w14:textId="6E565140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0.025</w:t>
            </w:r>
          </w:p>
        </w:tc>
        <w:tc>
          <w:tcPr>
            <w:tcW w:w="2514" w:type="dxa"/>
          </w:tcPr>
          <w:p w14:paraId="2BA9425E" w14:textId="58DEE151" w:rsidR="00C73758" w:rsidRPr="009F6D64" w:rsidRDefault="00C73758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0.104</w:t>
            </w:r>
          </w:p>
        </w:tc>
        <w:tc>
          <w:tcPr>
            <w:tcW w:w="2447" w:type="dxa"/>
          </w:tcPr>
          <w:p w14:paraId="1763CB32" w14:textId="2B8371A1" w:rsidR="00C73758" w:rsidRPr="009F6D64" w:rsidRDefault="00EC0F47">
            <w:pPr>
              <w:rPr>
                <w:rFonts w:ascii="Calibri" w:hAnsi="Calibri" w:cs="Calibri"/>
                <w:color w:val="000000" w:themeColor="text1"/>
                <w:lang w:val="en-US"/>
              </w:rPr>
            </w:pPr>
            <w:r w:rsidRPr="009F6D64">
              <w:rPr>
                <w:rFonts w:ascii="Calibri" w:hAnsi="Calibri" w:cs="Calibri"/>
                <w:color w:val="000000" w:themeColor="text1"/>
                <w:lang w:val="en-US"/>
              </w:rPr>
              <w:t>0.120</w:t>
            </w:r>
          </w:p>
        </w:tc>
      </w:tr>
    </w:tbl>
    <w:p w14:paraId="4295CA7F" w14:textId="2149801A" w:rsidR="00C73758" w:rsidRPr="009F6D64" w:rsidRDefault="00EC0F47" w:rsidP="00EC0F47">
      <w:pPr>
        <w:jc w:val="center"/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>Table 1: Prices provided by Cloud Services (in $) for US-East Region (Case Study)</w:t>
      </w:r>
    </w:p>
    <w:p w14:paraId="747594F0" w14:textId="77777777" w:rsidR="00C73758" w:rsidRPr="009F6D64" w:rsidRDefault="00C73758">
      <w:pPr>
        <w:rPr>
          <w:rFonts w:ascii="Calibri" w:hAnsi="Calibri" w:cs="Calibri"/>
          <w:color w:val="000000" w:themeColor="text1"/>
          <w:lang w:val="en-US"/>
        </w:rPr>
      </w:pPr>
    </w:p>
    <w:p w14:paraId="4B254E3E" w14:textId="2C507C33" w:rsidR="00ED3819" w:rsidRPr="009F6D64" w:rsidRDefault="009D368A" w:rsidP="009F6D64">
      <w:pPr>
        <w:rPr>
          <w:rFonts w:ascii="Calibri" w:hAnsi="Calibri" w:cs="Calibri"/>
          <w:color w:val="000000" w:themeColor="text1"/>
          <w:sz w:val="32"/>
          <w:szCs w:val="32"/>
          <w:lang w:val="en-US"/>
        </w:rPr>
      </w:pPr>
      <w:r w:rsidRPr="009F6D64">
        <w:rPr>
          <w:rFonts w:ascii="Calibri" w:hAnsi="Calibri" w:cs="Calibri"/>
          <w:color w:val="000000" w:themeColor="text1"/>
          <w:sz w:val="32"/>
          <w:szCs w:val="32"/>
          <w:lang w:val="en-US"/>
        </w:rPr>
        <w:t xml:space="preserve">Billing Perspective </w:t>
      </w:r>
    </w:p>
    <w:p w14:paraId="52F2163D" w14:textId="3AF665BB" w:rsidR="00B73407" w:rsidRPr="009F6D64" w:rsidRDefault="00B73407" w:rsidP="009F6D64">
      <w:p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>Major Takeaways:</w:t>
      </w:r>
    </w:p>
    <w:p w14:paraId="18ADF2E8" w14:textId="0CC7575E" w:rsidR="00B73407" w:rsidRPr="009F6D64" w:rsidRDefault="00DC74CB" w:rsidP="00B734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shd w:val="clear" w:color="auto" w:fill="FFFFFF"/>
        </w:rPr>
        <w:t>Cloud Storage Price: T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hese cloud service providers compete closely with one another and have set similar price ranges for storage services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.</w:t>
      </w:r>
    </w:p>
    <w:p w14:paraId="4D5FDB50" w14:textId="6A99CC04" w:rsidR="00DC74CB" w:rsidRPr="009F6D64" w:rsidRDefault="00DC74CB" w:rsidP="00B73407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Compute Pricing: Azure </w:t>
      </w:r>
      <w:r w:rsidR="00143D5B" w:rsidRPr="009F6D64">
        <w:rPr>
          <w:rFonts w:ascii="Calibri" w:hAnsi="Calibri" w:cs="Calibri"/>
          <w:color w:val="000000" w:themeColor="text1"/>
          <w:lang w:val="en-US"/>
        </w:rPr>
        <w:t xml:space="preserve">and GCP have the most expensive choices for General Purpose and Compute Optimized VM Instances, meanwhile AWS has the median value, with better services than Oracle (cheapest for these situations). </w:t>
      </w:r>
    </w:p>
    <w:p w14:paraId="512E0701" w14:textId="20E36768" w:rsidR="009F6D64" w:rsidRPr="009F6D64" w:rsidRDefault="00143D5B" w:rsidP="009F6D64">
      <w:pPr>
        <w:pStyle w:val="ListParagraph"/>
        <w:numPr>
          <w:ilvl w:val="0"/>
          <w:numId w:val="3"/>
        </w:num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>On-Demand Discounts: G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eneral-purpose instances with a 1-year commitment receive quite similar discount rate in </w:t>
      </w:r>
      <w:r w:rsidRPr="009F6D64">
        <w:rPr>
          <w:rStyle w:val="Strong"/>
          <w:rFonts w:ascii="Calibri" w:hAnsi="Calibri" w:cs="Calibri"/>
          <w:color w:val="000000" w:themeColor="text1"/>
          <w:shd w:val="clear" w:color="auto" w:fill="FFFFFF"/>
        </w:rPr>
        <w:t>AWS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 and </w:t>
      </w:r>
      <w:r w:rsidRPr="009F6D64">
        <w:rPr>
          <w:rStyle w:val="Strong"/>
          <w:rFonts w:ascii="Calibri" w:hAnsi="Calibri" w:cs="Calibri"/>
          <w:color w:val="000000" w:themeColor="text1"/>
          <w:shd w:val="clear" w:color="auto" w:fill="FFFFFF"/>
        </w:rPr>
        <w:t>Azure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. Still, AWS offers a cheaper alternative.</w:t>
      </w:r>
    </w:p>
    <w:p w14:paraId="615ED5A1" w14:textId="77777777" w:rsidR="009F6D64" w:rsidRPr="009F6D64" w:rsidRDefault="009F6D64" w:rsidP="009F6D64">
      <w:pPr>
        <w:pStyle w:val="ListParagraph"/>
        <w:rPr>
          <w:rFonts w:ascii="Calibri" w:hAnsi="Calibri" w:cs="Calibri"/>
          <w:color w:val="000000" w:themeColor="text1"/>
          <w:lang w:val="en-US"/>
        </w:rPr>
      </w:pPr>
    </w:p>
    <w:p w14:paraId="129E6A8A" w14:textId="476952D2" w:rsidR="009D368A" w:rsidRPr="009F6D64" w:rsidRDefault="009F6D64" w:rsidP="009D368A">
      <w:p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Recommended: </w:t>
      </w:r>
      <w:r w:rsidRPr="009F6D64">
        <w:rPr>
          <w:rFonts w:ascii="Calibri" w:hAnsi="Calibri" w:cs="Calibri"/>
          <w:b/>
          <w:bCs/>
          <w:color w:val="000000" w:themeColor="text1"/>
          <w:u w:val="single"/>
          <w:lang w:val="en-US"/>
        </w:rPr>
        <w:t>AWS</w:t>
      </w:r>
      <w:r w:rsidRPr="009F6D64">
        <w:rPr>
          <w:rFonts w:ascii="Calibri" w:hAnsi="Calibri" w:cs="Calibri"/>
          <w:b/>
          <w:bCs/>
          <w:color w:val="000000" w:themeColor="text1"/>
          <w:lang w:val="en-US"/>
        </w:rPr>
        <w:t>,</w:t>
      </w:r>
      <w:r w:rsidRPr="009F6D64">
        <w:rPr>
          <w:rFonts w:ascii="Calibri" w:hAnsi="Calibri" w:cs="Calibri"/>
          <w:color w:val="000000" w:themeColor="text1"/>
          <w:lang w:val="en-US"/>
        </w:rPr>
        <w:t xml:space="preserve"> 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because of its </w:t>
      </w:r>
      <w:r w:rsidRPr="009F6D64">
        <w:rPr>
          <w:rStyle w:val="Strong"/>
          <w:rFonts w:ascii="Calibri" w:hAnsi="Calibri" w:cs="Calibri"/>
          <w:color w:val="000000" w:themeColor="text1"/>
          <w:shd w:val="clear" w:color="auto" w:fill="FFFFFF"/>
        </w:rPr>
        <w:t>breadth and depth of services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>. The rich array of tools, including databases, analytics, management, IoT, security, and enterprise applications, makes AWS the right solution for many teams. </w:t>
      </w:r>
      <w:r w:rsidRPr="009F6D64">
        <w:rPr>
          <w:rFonts w:ascii="Calibri" w:hAnsi="Calibri" w:cs="Calibri"/>
          <w:color w:val="000000" w:themeColor="text1"/>
          <w:shd w:val="clear" w:color="auto" w:fill="FFFFFF"/>
        </w:rPr>
        <w:t xml:space="preserve">Cost-wise also it is not that expensive, and it is extremely convenient to use for countries outside India. </w:t>
      </w:r>
    </w:p>
    <w:p w14:paraId="51C54868" w14:textId="77777777" w:rsidR="009F6D64" w:rsidRPr="009F6D64" w:rsidRDefault="009F6D64" w:rsidP="009D368A">
      <w:pPr>
        <w:rPr>
          <w:rFonts w:ascii="Calibri" w:hAnsi="Calibri" w:cs="Calibri"/>
          <w:color w:val="000000" w:themeColor="text1"/>
          <w:lang w:val="en-US"/>
        </w:rPr>
      </w:pPr>
    </w:p>
    <w:p w14:paraId="1630681C" w14:textId="4F57F3D8" w:rsidR="009D368A" w:rsidRPr="009F6D64" w:rsidRDefault="009D368A" w:rsidP="009D368A">
      <w:pPr>
        <w:rPr>
          <w:rFonts w:ascii="Calibri" w:hAnsi="Calibri" w:cs="Calibri"/>
          <w:color w:val="000000" w:themeColor="text1"/>
          <w:sz w:val="36"/>
          <w:szCs w:val="36"/>
          <w:lang w:val="en-US"/>
        </w:rPr>
      </w:pPr>
      <w:r w:rsidRPr="009F6D64">
        <w:rPr>
          <w:rFonts w:ascii="Calibri" w:hAnsi="Calibri" w:cs="Calibri"/>
          <w:color w:val="000000" w:themeColor="text1"/>
          <w:sz w:val="36"/>
          <w:szCs w:val="36"/>
          <w:lang w:val="en-US"/>
        </w:rPr>
        <w:t>AWS EC2 Pricing</w:t>
      </w:r>
    </w:p>
    <w:p w14:paraId="1BA37D54" w14:textId="206C316E" w:rsidR="009D368A" w:rsidRPr="009F6D64" w:rsidRDefault="009D368A" w:rsidP="009D368A">
      <w:p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Reference link: </w:t>
      </w:r>
      <w:hyperlink r:id="rId6" w:history="1">
        <w:r w:rsidRPr="009F6D64">
          <w:rPr>
            <w:rStyle w:val="Hyperlink"/>
            <w:rFonts w:ascii="Calibri" w:hAnsi="Calibri" w:cs="Calibri"/>
            <w:color w:val="000000" w:themeColor="text1"/>
            <w:lang w:val="en-US"/>
          </w:rPr>
          <w:t>https://aws.amazon.com/ec2/pricing/</w:t>
        </w:r>
      </w:hyperlink>
      <w:r w:rsidRPr="009F6D64">
        <w:rPr>
          <w:rFonts w:ascii="Calibri" w:hAnsi="Calibri" w:cs="Calibri"/>
          <w:color w:val="000000" w:themeColor="text1"/>
          <w:lang w:val="en-US"/>
        </w:rPr>
        <w:t xml:space="preserve"> </w:t>
      </w:r>
    </w:p>
    <w:p w14:paraId="22B8153C" w14:textId="181E064C" w:rsidR="00011DE6" w:rsidRPr="009F6D64" w:rsidRDefault="00011DE6" w:rsidP="009D368A">
      <w:pPr>
        <w:rPr>
          <w:rFonts w:ascii="Calibri" w:hAnsi="Calibri" w:cs="Calibri"/>
          <w:color w:val="000000" w:themeColor="text1"/>
          <w:lang w:val="en-US"/>
        </w:rPr>
      </w:pPr>
      <w:hyperlink r:id="rId7" w:history="1">
        <w:r w:rsidRPr="009F6D64">
          <w:rPr>
            <w:rStyle w:val="Hyperlink"/>
            <w:rFonts w:ascii="Calibri" w:hAnsi="Calibri" w:cs="Calibri"/>
            <w:color w:val="000000" w:themeColor="text1"/>
            <w:lang w:val="en-US"/>
          </w:rPr>
          <w:t>https://calculator.aws/#/createCalculator/ec2-enhancement</w:t>
        </w:r>
      </w:hyperlink>
      <w:r w:rsidRPr="009F6D64">
        <w:rPr>
          <w:rFonts w:ascii="Calibri" w:hAnsi="Calibri" w:cs="Calibri"/>
          <w:color w:val="000000" w:themeColor="text1"/>
          <w:lang w:val="en-US"/>
        </w:rPr>
        <w:t xml:space="preserve"> </w:t>
      </w:r>
    </w:p>
    <w:p w14:paraId="518AF840" w14:textId="77777777" w:rsidR="00011DE6" w:rsidRPr="009F6D64" w:rsidRDefault="00011DE6" w:rsidP="009D368A">
      <w:pPr>
        <w:rPr>
          <w:rFonts w:ascii="Calibri" w:hAnsi="Calibri" w:cs="Calibri"/>
          <w:color w:val="000000" w:themeColor="text1"/>
          <w:lang w:val="en-US"/>
        </w:rPr>
      </w:pPr>
    </w:p>
    <w:p w14:paraId="05EEE62A" w14:textId="465CB0CF" w:rsidR="009D368A" w:rsidRPr="009F6D64" w:rsidRDefault="009D368A" w:rsidP="009D368A">
      <w:p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There are three types of </w:t>
      </w:r>
      <w:r w:rsidR="00011DE6" w:rsidRPr="009F6D64">
        <w:rPr>
          <w:rFonts w:ascii="Calibri" w:hAnsi="Calibri" w:cs="Calibri"/>
          <w:color w:val="000000" w:themeColor="text1"/>
          <w:lang w:val="en-US"/>
        </w:rPr>
        <w:t>EC2 Pricing available:</w:t>
      </w:r>
    </w:p>
    <w:p w14:paraId="78FF8D9D" w14:textId="3F7BF998" w:rsidR="00011DE6" w:rsidRPr="009F6D64" w:rsidRDefault="00011DE6" w:rsidP="00011DE6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On-Demand Instances: 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L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et you pay for compute capacity by the hour or second with no long-term commitments.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 xml:space="preserve"> Preferred for a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pplications with short-term, spiky, or unpredictable workloads that cannot be interrupted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 xml:space="preserve">, or 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being developed or tested on EC2 for the first time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.</w:t>
      </w:r>
    </w:p>
    <w:p w14:paraId="35EBC2DE" w14:textId="55973FA0" w:rsidR="00011DE6" w:rsidRPr="009F6D64" w:rsidRDefault="00011DE6" w:rsidP="00011DE6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t xml:space="preserve">Savings Plan: 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F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lexible pricing model that can help you reduce your bill by up to 72% compared to On-Demand prices, in exchange for a commitment to a consistent amount of usage (measured in $/hour) for a 1- or 3-year term.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 xml:space="preserve"> Preferred for c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ommitted and steady-state usage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.</w:t>
      </w:r>
    </w:p>
    <w:p w14:paraId="4DC8EC29" w14:textId="7B98B8A8" w:rsidR="00011DE6" w:rsidRPr="009F6D64" w:rsidRDefault="00011DE6" w:rsidP="00011DE6">
      <w:pPr>
        <w:pStyle w:val="ListParagraph"/>
        <w:numPr>
          <w:ilvl w:val="0"/>
          <w:numId w:val="4"/>
        </w:num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sz w:val="21"/>
          <w:szCs w:val="21"/>
        </w:rPr>
        <w:t>Spot Instances: L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et you take advantage of unused EC2 capacity in the AWS cloud and are available at a discount of up to 90% compared to On-Demand prices.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 xml:space="preserve"> Preferred for a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>pplications that have flexible start and end times</w:t>
      </w:r>
      <w:r w:rsidRPr="009F6D64">
        <w:rPr>
          <w:rFonts w:ascii="Calibri" w:hAnsi="Calibri" w:cs="Calibri"/>
          <w:color w:val="000000" w:themeColor="text1"/>
          <w:sz w:val="21"/>
          <w:szCs w:val="21"/>
        </w:rPr>
        <w:t xml:space="preserve">. </w:t>
      </w:r>
    </w:p>
    <w:p w14:paraId="36489633" w14:textId="77777777" w:rsidR="00011DE6" w:rsidRPr="009F6D64" w:rsidRDefault="00011DE6" w:rsidP="00011DE6">
      <w:pPr>
        <w:rPr>
          <w:rFonts w:ascii="Calibri" w:hAnsi="Calibri" w:cs="Calibri"/>
          <w:color w:val="000000" w:themeColor="text1"/>
          <w:lang w:val="en-US"/>
        </w:rPr>
      </w:pPr>
    </w:p>
    <w:p w14:paraId="34C3F2C9" w14:textId="6D2994EC" w:rsidR="00011DE6" w:rsidRPr="009F6D64" w:rsidRDefault="00011DE6" w:rsidP="00011DE6">
      <w:pPr>
        <w:rPr>
          <w:rFonts w:ascii="Calibri" w:hAnsi="Calibri" w:cs="Calibri"/>
          <w:color w:val="000000" w:themeColor="text1"/>
          <w:lang w:val="en-US"/>
        </w:rPr>
      </w:pPr>
      <w:r w:rsidRPr="009F6D64">
        <w:rPr>
          <w:rFonts w:ascii="Calibri" w:hAnsi="Calibri" w:cs="Calibri"/>
          <w:color w:val="000000" w:themeColor="text1"/>
          <w:lang w:val="en-US"/>
        </w:rPr>
        <w:lastRenderedPageBreak/>
        <w:t xml:space="preserve">Recommended: On-Demand Instances for Development Phase, and then once app is completely designed, we can shift to Savings Plan. </w:t>
      </w:r>
    </w:p>
    <w:p w14:paraId="27B19B14" w14:textId="77777777" w:rsidR="009D368A" w:rsidRPr="009F6D64" w:rsidRDefault="009D368A" w:rsidP="009D368A">
      <w:pPr>
        <w:rPr>
          <w:rFonts w:ascii="Calibri" w:hAnsi="Calibri" w:cs="Calibri"/>
          <w:color w:val="000000" w:themeColor="text1"/>
          <w:lang w:val="en-US"/>
        </w:rPr>
      </w:pPr>
    </w:p>
    <w:p w14:paraId="6871DA77" w14:textId="77777777" w:rsidR="009D368A" w:rsidRPr="009F6D64" w:rsidRDefault="009D368A" w:rsidP="009D368A">
      <w:pPr>
        <w:rPr>
          <w:rFonts w:ascii="Calibri" w:hAnsi="Calibri" w:cs="Calibri"/>
          <w:color w:val="000000" w:themeColor="text1"/>
          <w:sz w:val="36"/>
          <w:szCs w:val="36"/>
          <w:lang w:val="en-US"/>
        </w:rPr>
      </w:pPr>
    </w:p>
    <w:sectPr w:rsidR="009D368A" w:rsidRPr="009F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8AD"/>
    <w:multiLevelType w:val="hybridMultilevel"/>
    <w:tmpl w:val="1FE4B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951F1"/>
    <w:multiLevelType w:val="hybridMultilevel"/>
    <w:tmpl w:val="9AFE6AC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0B72"/>
    <w:multiLevelType w:val="hybridMultilevel"/>
    <w:tmpl w:val="F2DC87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CA7631"/>
    <w:multiLevelType w:val="hybridMultilevel"/>
    <w:tmpl w:val="589CDA42"/>
    <w:lvl w:ilvl="0" w:tplc="213AF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68781127">
    <w:abstractNumId w:val="2"/>
  </w:num>
  <w:num w:numId="2" w16cid:durableId="2026906272">
    <w:abstractNumId w:val="3"/>
  </w:num>
  <w:num w:numId="3" w16cid:durableId="999119874">
    <w:abstractNumId w:val="0"/>
  </w:num>
  <w:num w:numId="4" w16cid:durableId="176830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19"/>
    <w:rsid w:val="00011DE6"/>
    <w:rsid w:val="00026749"/>
    <w:rsid w:val="00143D5B"/>
    <w:rsid w:val="002B3E57"/>
    <w:rsid w:val="008619F4"/>
    <w:rsid w:val="009D368A"/>
    <w:rsid w:val="009F6D64"/>
    <w:rsid w:val="00B73407"/>
    <w:rsid w:val="00C70BF7"/>
    <w:rsid w:val="00C73758"/>
    <w:rsid w:val="00DC74CB"/>
    <w:rsid w:val="00EC0F47"/>
    <w:rsid w:val="00ED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11973"/>
  <w15:chartTrackingRefBased/>
  <w15:docId w15:val="{65F76D97-E5C7-CE44-9994-C752DD62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8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8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8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8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8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8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8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D38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3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43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lculator.aws/#/createCalculator/ec2-enhanc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ec2/pricing/" TargetMode="External"/><Relationship Id="rId5" Type="http://schemas.openxmlformats.org/officeDocument/2006/relationships/hyperlink" Target="https://cast.ai/blog/cloud-pricing-comparison-aws-vs-azure-vs-google-cloud-platfor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Aanvik Bhatnagar</dc:creator>
  <cp:keywords/>
  <dc:description/>
  <cp:lastModifiedBy>Aanvik Bhatnagar</cp:lastModifiedBy>
  <cp:revision>1</cp:revision>
  <dcterms:created xsi:type="dcterms:W3CDTF">2024-02-13T23:13:00Z</dcterms:created>
  <dcterms:modified xsi:type="dcterms:W3CDTF">2024-02-14T05:58:00Z</dcterms:modified>
</cp:coreProperties>
</file>