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описание SOLVEX</w:t>
      </w:r>
    </w:p>
    <w:p>
      <w:pPr>
        <w:pStyle w:val="Subtitle"/>
      </w:pPr>
      <w:r>
        <w:t>Архитектура приложения и готовность к публичному запуску</w:t>
      </w:r>
    </w:p>
    <w:p>
      <w:pPr>
        <w:pStyle w:val="Meta"/>
      </w:pPr>
      <w:r>
        <w:t>Материалы для жюри и участников проекта   |   Версия 30 сентября 2026</w:t>
      </w:r>
    </w:p>
    <w:p>
      <w:r>
        <w:rPr>
          <w:b w:val="0"/>
        </w:rPr>
        <w:t>SOLVEX — веб-приложение, в котором бизнес формулирует проблему с помощью AI Agent, изучает внешние материалы, публикует задачу и выбирает команду для работы. После выбора стороны ведут проект по этапам. Главная техническая особенность — разделение пользовательских данных, выводов AI и решений человека.</w:t>
      </w:r>
    </w:p>
    <w:p>
      <w:pPr>
        <w:pStyle w:val="Heading2"/>
      </w:pPr>
      <w:r>
        <w:t>1 Архитектура и состояние версии</w:t>
      </w:r>
    </w:p>
    <w:p>
      <w:r>
        <w:rPr>
          <w:b w:val="0"/>
        </w:rPr>
        <w:t>Реализован сквозной MVP с сервером, базой данных и настоящими обращениями к AI через API. Локальная версия работает на 127.0.0.1:8000. Основа описания — коммит a2144f1, ветка feat/evidence-quality-and-subscriptions. Наличие работающего MVP не означает завершённую подготовку к эксплуатации в интернете.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168"/>
        <w:gridCol w:w="51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Интерфейс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HTML, CSS, JavaScript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Главная, личный кабинет, чат, карточки, каталог и проекты; RU/EN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Сервер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Python, FastAPI, Uvicorn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API, права доступа, бизнес-правила, работа с AI и файлами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Хранилище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SQLite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Аккаунты, задачи, история, отклики, проекты, изображения и квоты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AI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OpenAI API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Диалог, структурирование, поиск и анализ откликов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Метаданные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Crossref REST API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Проверка библиографических сведений по точному DOI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</w:r>
      <w:r>
        <w:rPr>
          <w:b/>
        </w:rPr>
        <w:t>Путь запроса:</w:t>
      </w:r>
      <w:r>
        <w:rPr>
          <w:b w:val="0"/>
        </w:rPr>
        <w:t xml:space="preserve"> браузер → API SOLVEX → проверка сессии и прав → правила приложения и SQLite → при необходимости OpenAI или Crossref → сохранение результата → интерфейс. Ключ AI находится только на сервере. Браузер не обращается к провайдеру от имени пользователя напрямую.</w:t>
      </w:r>
    </w:p>
    <w:p>
      <w:pPr>
        <w:pStyle w:val="Heading2"/>
      </w:pPr>
      <w:r>
        <w:t>2 Организация кода и данных</w:t>
      </w:r>
    </w:p>
    <w:p>
      <w:r>
        <w:rPr>
          <w:b w:val="0"/>
        </w:rPr>
        <w:t>app/main.py собирает приложение; app/routes/ содержит маршруты; app/schemas.py — схемы данных; app/db.py — хранение и миграции; app/scoring.py — расчёт готовности; app/ai/ — AI-логику; web/ — интерфейс. Основные сущности: users и sessions; tasks и agent_messages; profiles и proposals; research_runs и saved_evidence; conversations; projects и milestones; subscriptions и ai_usage.</w:t>
      </w:r>
    </w:p>
    <w:p>
      <w:r>
        <w:rPr>
          <w:b w:val="0"/>
        </w:rPr>
        <w:t>Связи строятся вокруг владельца задачи и аккаунта команды. Один выбранный отклик может породить один проект. История исследования и переписка сохраняются между посещениями. Изображения пока хранятся в базе, поэтому рост фотографий увеличивает размер резервных копий.</w:t>
      </w:r>
    </w:p>
    <w:p>
      <w:r>
        <w:br w:type="page"/>
      </w:r>
    </w:p>
    <w:p>
      <w:pPr>
        <w:pStyle w:val="Heading1"/>
      </w:pPr>
      <w:r>
        <w:t>AI Agent и доказательная база</w:t>
      </w:r>
    </w:p>
    <w:p>
      <w:pPr>
        <w:pStyle w:val="Heading2"/>
      </w:pPr>
      <w:r>
        <w:t>3 Диалог и формирование карточки</w:t>
      </w:r>
    </w:p>
    <w:p>
      <w:r>
        <w:rPr>
          <w:b w:val="0"/>
        </w:rPr>
        <w:t>Пользователь описывает ситуацию обычным языком. Agent извлекает сведения, уточняет недостающее и предлагает изменения карточки. Для новых утверждений используются ссылки на исходные сообщения; сервер проверяет допустимость таких ссылок. Инструкции запрещают придумывать показатели, бюджет и сроки. Это снижает риск ошибок, но не устраняет его полностью.</w:t>
      </w:r>
    </w:p>
    <w:p>
      <w:r>
        <w:rPr>
          <w:b w:val="0"/>
        </w:rPr>
        <w:t>Бизнес редактирует и подтверждает поля сам. Изменённое AI поле требует повторного подтверждения. Повтор запроса с тем же идентификатором не создаёт второй результат; номер revision защищает от перезаписи более свежих правок. При ошибке провайдера приложение сообщает о сбое, а не выдаёт заранее написанный ответ за работу AI.</w:t>
      </w:r>
    </w:p>
    <w:p>
      <w:r>
        <w:rPr>
          <w:b w:val="0"/>
        </w:rPr>
        <w:t>Базовая конфигурация модели — gpt-4.1-mini-2025-04-14; серверные настройки допускают замену. Собственная языковая модель не обучалась. Ценность разработки находится в сценарии, хранении состояния, проверках происхождения сведений и связи диалога с задачами и проектами.</w:t>
      </w:r>
    </w:p>
    <w:p>
      <w:pPr>
        <w:pStyle w:val="Heading2"/>
      </w:pPr>
      <w:r>
        <w:t>4 Готовность карточки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2"/>
        <w:gridCol w:w="1728"/>
      </w:tblGrid>
      <w:tr>
        <w:trPr>
          <w:cantSplit/>
          <w:tblHeader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Подтверждённые содержательные поля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Вес</w:t>
            </w:r>
          </w:p>
        </w:tc>
      </w:tr>
      <w:tr>
        <w:trPr>
          <w:cantSplit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Исходные данные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Ожидаемый результат и критерии успеха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15 + 15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Контекст, потребность, ограничения, пользователи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10 × 4</w:t>
            </w:r>
          </w:p>
        </w:tc>
      </w:tr>
      <w:tr>
        <w:trPr>
          <w:cantSplit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Контакт и формат взаимодействия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5 + 5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Максимум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 xml:space="preserve">Считаются только подтверждённые поля с информацией; «не знаю» не приносит баллы. Диапазоны: 0–39 — черновик, 40–69 — рабочая карточка, 70–89 — готовая, 90–100 — приоритетная. </w:t>
      </w:r>
      <w:r>
        <w:rPr>
          <w:b/>
        </w:rPr>
        <w:t>Это показатель полноты описания, а не вероятность успеха.</w:t>
      </w:r>
      <w:r>
        <w:rPr>
          <w:b w:val="0"/>
        </w:rPr>
        <w:t xml:space="preserve"> Публикация разрешена и при низком результате, если есть название.</w:t>
      </w:r>
    </w:p>
    <w:p>
      <w:pPr>
        <w:pStyle w:val="Heading2"/>
      </w:pPr>
      <w:r>
        <w:t>5 Research и Evidence</w:t>
      </w:r>
    </w:p>
    <w:p>
      <w:r>
        <w:rPr>
          <w:b w:val="0"/>
        </w:rPr>
        <w:t>Поиск запускает пользователь после проверки поисковой формулировки. OpenAI web search возвращает материалы и ссылки; следующий AI-шаг связывает их с задачей и предлагает вопросы. URL берутся из аннотаций поиска. Затем сервер сверяет доступные DOI с Crossref, сохраняя точность даты — год, месяц или день. Отсутствующие даты остаются неизвестными.</w:t>
      </w:r>
    </w:p>
    <w:p>
      <w:r>
        <w:rPr>
          <w:b w:val="0"/>
        </w:rPr>
        <w:t>FACT обозначает пересказ внешнего материала, BUSINESS DATA — сведения пользователя, HYPOTHESIS — предположение. До трёх сопоставлений показывают возможное противоречие или разные условия исследований. DOI не подтверждает научную истинность; рецензирование и отзыв статьи автоматически не проверяются. Сохранение вывода в Evidence не подтверждает поле карточки и не повышает её баллы.</w:t>
      </w:r>
    </w:p>
    <w:p>
      <w:r>
        <w:br w:type="page"/>
      </w:r>
    </w:p>
    <w:p>
      <w:pPr>
        <w:pStyle w:val="Heading1"/>
      </w:pPr>
      <w:r>
        <w:t>Доступ и надёжность</w:t>
      </w:r>
    </w:p>
    <w:p>
      <w:pPr>
        <w:pStyle w:val="Heading2"/>
      </w:pPr>
      <w:r>
        <w:t>6 Роли и границы видимости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Объект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Кому доступен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Черновик и чат Agent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Бизнесу — владельцу задачи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Research и Evidence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Владельцу задачи; не публикуются вместе с карточкой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Опубликованная карточка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 каталоге; включая указанные публичные контакты и фотографии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Профиль организации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 соответствующих публичных представлениях; контакт вводится явно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Личная переписка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Бизнесу и конкретной команде данной беседы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Проект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Владельцу задачи и выбранной команде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Пароли хешируются Argon2id. Сессия передаётся cookie с HttpOnly и SameSite=Strict; в production включается Secure. Изменяющие запросы требуют CSRF-проверки. Сервер проверяет владельца и роль, а не доверяет ID из браузера. Ключи и база с пользовательскими данными не должны попадать в Git.</w:t>
      </w:r>
    </w:p>
    <w:p>
      <w:pPr>
        <w:pStyle w:val="Heading2"/>
      </w:pPr>
      <w:r>
        <w:t>7 Лимиты и обработка ошибок</w:t>
      </w:r>
    </w:p>
    <w:p>
      <w:r>
        <w:rPr>
          <w:b w:val="0"/>
        </w:rPr>
        <w:t>Free включает 10 AI-запросов и 2 исследования в день. Подготовленный Plus — 100 и 10 соответственно за $3,99 в месяц. Счётчики общие для аккаунта, сбрасываются в 00:00 UTC+05:00; модель и инструкции одинаковы. Ошибки освобождают резерв, актуальный кэш не списывается повторно. AI-разбор отклика также расходует один AI-запрос.</w:t>
      </w:r>
    </w:p>
    <w:p>
      <w:r>
        <w:rPr>
          <w:b w:val="0"/>
        </w:rPr>
        <w:t>Квоты резервируются атомарно в SQLite: reserved → completed или released. Зависший резерв истекает через 200 секунд. Дополнительно ограничены частые попытки AI и поиск. Есть отдельный предел 100 сообщений пользователя на одну задачу; далее доступно ручное редактирование. Research кэшируется на сутки с учётом задачи, запроса, языка и версии данных; при правках старый отчёт помечается устаревшим.</w:t>
      </w:r>
    </w:p>
    <w:p>
      <w:r>
        <w:rPr>
          <w:b w:val="0"/>
        </w:rPr>
        <w:t>Фотографии задач ограничены пятью файлами по 3 МиБ в форматах JPEG, PNG и WebP. Сервер декодирует и пересохраняет изображение, удаляет метаданные и уменьшает размер. Это загрузка иллюстраций, а не распознавание содержимого AI. Для конфликтующих правок проектов используется revision и ответ 409 с сохранением пользовательского ввода.</w:t>
      </w:r>
    </w:p>
    <w:p>
      <w:pPr>
        <w:pStyle w:val="Heading2"/>
      </w:pPr>
      <w:r>
        <w:t>8 Что проверено</w:t>
      </w:r>
    </w:p>
    <w:p>
      <w:r>
        <w:rPr>
          <w:b w:val="0"/>
        </w:rPr>
        <w:t>В журнале проверки версии зафиксированы 62 серверных и 58 AI-тестов — всего 120. Они покрывают изоляцию аккаунтов, квоты, повторы, ошибки, ссылки и метаданные. Проведены браузерные проверки RU/EN и мобильной ширины 390 px; отдельно — реальные вызовы Research. Часть UI-сценариев использует явно синтетические AI-ответы. Это функциональная проверка, не нагрузочный тест и не аудит безопасности.</w:t>
      </w:r>
    </w:p>
    <w:p>
      <w:r>
        <w:br w:type="page"/>
      </w:r>
    </w:p>
    <w:p>
      <w:pPr>
        <w:pStyle w:val="Heading1"/>
      </w:pPr>
      <w:r>
        <w:t>Подготовка к размещению в интернете</w:t>
      </w:r>
    </w:p>
    <w:p>
      <w:pPr>
        <w:pStyle w:val="Heading2"/>
      </w:pPr>
      <w:r>
        <w:t>9 Условия публичного запуска</w:t>
      </w:r>
    </w:p>
    <w:p>
      <w:r>
        <w:rPr>
          <w:b w:val="0"/>
        </w:rPr>
      </w:r>
      <w:r>
        <w:rPr>
          <w:b/>
        </w:rPr>
        <w:t>Сначала нужен контролируемый пилот.</w:t>
      </w:r>
      <w:r>
        <w:rPr>
          <w:b w:val="0"/>
        </w:rPr>
        <w:t xml:space="preserve"> Текущий MVP можно показывать жюри, однако публичное размещение требует отдельного этапа эксплуатации. На сервер следует переносить проверенную версию a2144f1 или её преемника после ревью; нельзя считать, что все изменения уже находятся в 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4464"/>
        <w:gridCol w:w="4464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Работа до запуска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Изолировать старые публичные demo CRUD API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Анонимный посетитель не меняет демонстрационные данные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HTTPS, production-настройки, постоянный диск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Secure-cookie работает; перезапуск не теряет базу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Резервные копии и восстановление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Восстановление проверено на отдельной среде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Мониторинг ошибок и бюджета AI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Есть ответственный, уведомления и порог остановки расходов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Восстановление доступа и проверка email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Пользователь возвращает доступ без ручного вмешательства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Правила данных и механизм жалоб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Понятны публикация контактов, удаление данных и рассмотрение жалоб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Нагрузочная проверка типовых сценариев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Измерены задержки, ошибки и блокировки записи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10 Подписка и дальнейшая архитектура</w:t>
      </w:r>
    </w:p>
    <w:p>
      <w:r>
        <w:rPr>
          <w:b w:val="0"/>
        </w:rPr>
        <w:t>Учёт тарифов реализован, но платёжный checkout возвращает BILLING_NOT_CONFIGURED. Visa, Mastercard и Kaspi пока не подключены. Понадобятся аккаунт продавца, условия провайдера, серверная проверка платёжных событий, отмена продления и возвраты. Успешный переход на страницу после оплаты сам по себе не должен активировать Plus.</w:t>
      </w:r>
    </w:p>
    <w:p>
      <w:r>
        <w:rPr>
          <w:b w:val="0"/>
        </w:rPr>
        <w:t>По мере подтверждения спроса целесообразны PostgreSQL, отдельное хранилище изображений, очередь долгих исследований и наблюдаемость расходов на один сценарий. Их внедрение должно следовать измеренным ограничениям SQLite и нагрузки. Микросервисы на старте не являются условием полезности продукта.</w:t>
      </w:r>
    </w:p>
    <w:p>
      <w:pPr>
        <w:pStyle w:val="Heading2"/>
      </w:pPr>
      <w:r>
        <w:t>Источники и проверяемость</w:t>
      </w:r>
    </w:p>
    <w:p>
      <w:pPr>
        <w:pStyle w:val="Source"/>
      </w:pPr>
      <w:hyperlink r:id="rId10">
        <w:r>
          <w:rPr>
            <w:color w:val="224D78"/>
          </w:rPr>
          <w:t>Код SOLVEX — зафиксированная версия a2144f1</w:t>
        </w:r>
      </w:hyperlink>
    </w:p>
    <w:p>
      <w:pPr>
        <w:pStyle w:val="Source"/>
      </w:pPr>
      <w:hyperlink r:id="rId11">
        <w:r>
          <w:rPr>
            <w:color w:val="224D78"/>
          </w:rPr>
          <w:t>Контракты приложения и модель карточки</w:t>
        </w:r>
      </w:hyperlink>
    </w:p>
    <w:p>
      <w:pPr>
        <w:pStyle w:val="Source"/>
      </w:pPr>
      <w:hyperlink r:id="rId12">
        <w:r>
          <w:rPr>
            <w:color w:val="224D78"/>
          </w:rPr>
          <w:t>Журнал функциональных проверок</w:t>
        </w:r>
      </w:hyperlink>
    </w:p>
    <w:p>
      <w:pPr>
        <w:pStyle w:val="Source"/>
      </w:pPr>
      <w:hyperlink r:id="rId13">
        <w:r>
          <w:rPr>
            <w:color w:val="224D78"/>
          </w:rPr>
          <w:t>Тарифы и серверный учёт запросов</w:t>
        </w:r>
      </w:hyperlink>
    </w:p>
    <w:p>
      <w:pPr>
        <w:pStyle w:val="Source"/>
      </w:pPr>
      <w:hyperlink r:id="rId14">
        <w:r>
          <w:rPr>
            <w:color w:val="224D78"/>
          </w:rPr>
          <w:t>Research — даты и сопоставление источников</w:t>
        </w:r>
      </w:hyperlink>
    </w:p>
    <w:p>
      <w:pPr>
        <w:pStyle w:val="Source"/>
      </w:pPr>
      <w:hyperlink r:id="rId15">
        <w:r>
          <w:rPr>
            <w:color w:val="224D78"/>
          </w:rPr>
          <w:t>OpenAI — официальный механизм web search</w:t>
        </w:r>
      </w:hyperlink>
    </w:p>
    <w:p>
      <w:pPr>
        <w:pStyle w:val="Source"/>
      </w:pPr>
      <w:hyperlink r:id="rId16">
        <w:r>
          <w:rPr>
            <w:color w:val="224D78"/>
          </w:rPr>
          <w:t>Crossref — получение библиографических метаданных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SOLVEX  •  30 сентября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</w:pPr>
    <w:rPr>
      <w:rFonts w:ascii="Calibri" w:hAnsi="Calibri" w:eastAsia="Calibri"/>
      <w:b w:val="0"/>
      <w:color w:val="000000"/>
      <w:sz w:val="18"/>
    </w:rPr>
  </w:style>
  <w:style w:type="paragraph" w:customStyle="1" w:styleId="Meta">
    <w:name w:val="Meta"/>
    <w:pPr>
      <w:spacing w:after="60"/>
    </w:pPr>
    <w:rPr>
      <w:rFonts w:ascii="Calibri" w:hAnsi="Calibri" w:eastAsia="Calibr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italiuer/SOLVEX/blob/a2144f1e5d135ce45cc74531b523c51f5b7c860e/README.md" TargetMode="External"/><Relationship Id="rId11" Type="http://schemas.openxmlformats.org/officeDocument/2006/relationships/hyperlink" Target="https://github.com/gitaliuer/SOLVEX/blob/a2144f1e5d135ce45cc74531b523c51f5b7c860e/docs/CONTRACTS.md" TargetMode="External"/><Relationship Id="rId12" Type="http://schemas.openxmlformats.org/officeDocument/2006/relationships/hyperlink" Target="https://github.com/gitaliuer/SOLVEX/blob/a2144f1e5d135ce45cc74531b523c51f5b7c860e/docs/EVAL.md" TargetMode="External"/><Relationship Id="rId13" Type="http://schemas.openxmlformats.org/officeDocument/2006/relationships/hyperlink" Target="https://github.com/gitaliuer/SOLVEX/blob/a2144f1e5d135ce45cc74531b523c51f5b7c860e/docs/SUBSCRIPTIONS.md" TargetMode="External"/><Relationship Id="rId14" Type="http://schemas.openxmlformats.org/officeDocument/2006/relationships/hyperlink" Target="https://github.com/gitaliuer/SOLVEX/blob/a2144f1e5d135ce45cc74531b523c51f5b7c860e/docs/EVIDENCE_QUALITY.md" TargetMode="External"/><Relationship Id="rId15" Type="http://schemas.openxmlformats.org/officeDocument/2006/relationships/hyperlink" Target="https://developers.openai.com/api/docs/guides/tools-web-search" TargetMode="External"/><Relationship Id="rId16" Type="http://schemas.openxmlformats.org/officeDocument/2006/relationships/hyperlink" Target="https://www.crossref.org/documentation/retrieve-metadata/rest-api/tips-for-using-the-crossref-rest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описание SOLVEX</dc:title>
  <dc:subject>Архитектура приложения и готовность к публичному запуску</dc:subject>
  <dc:creator>Команда SOLVEX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