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Развитие и монетизация SOLVEX</w:t>
      </w:r>
    </w:p>
    <w:p>
      <w:pPr>
        <w:pStyle w:val="Subtitle"/>
      </w:pPr>
      <w:r>
        <w:t>Путь от MVP к пилотам и устойчивой выручке</w:t>
      </w:r>
    </w:p>
    <w:p>
      <w:pPr>
        <w:pStyle w:val="Meta"/>
      </w:pPr>
      <w:r>
        <w:t>Материалы для жюри и участников проекта   |   Версия 30 сентября 2026</w:t>
      </w:r>
    </w:p>
    <w:p>
      <w:r>
        <w:rPr>
          <w:b w:val="0"/>
        </w:rPr>
        <w:t>Рекомендуемый следующий этап — небольшой управляемый пилот в одном сегменте. Главная проверка: помогает ли SOLVEX бизнесу сформулировать задачу и получить принятый результат быстрее и понятнее, чем привычная работа через объявления и переписку. Масштабирование имеет смысл после подтверждения этой пользы и положительной экономики.</w:t>
      </w:r>
    </w:p>
    <w:p>
      <w:pPr>
        <w:pStyle w:val="Heading2"/>
      </w:pPr>
      <w:r>
        <w:t>1 Исходная позиция</w:t>
      </w:r>
    </w:p>
    <w:p>
      <w:r>
        <w:rPr>
          <w:b w:val="0"/>
        </w:rPr>
        <w:t>Технический MVP уже поддерживает Agent, Research, публикацию, отклики, сообщения и проекты. Это продуктовая основа, но не доказательство рыночного спроса. Приведённые ниже количества клиентов, конверсии, бюджеты и выручка — плановые ориентиры и расчётные сценарии, а не достигнутые показатели.</w:t>
      </w:r>
    </w:p>
    <w:p>
      <w:pPr>
        <w:pStyle w:val="Heading2"/>
      </w:pPr>
      <w:r>
        <w:t>2 Первый сегмент и предложение</w:t>
      </w:r>
    </w:p>
    <w:p>
      <w:r>
        <w:rPr>
          <w:b w:val="0"/>
        </w:rPr>
        <w:t>Рабочая гипотеза для старта — небольшие компании торговли и услуг с ручным учётом, обработкой заявок и повторяющимися операционными потерями. Такие задачи удобно ограничить одним процессом и измерить до и после. Выбор сегмента нужно подтвердить интервью; сложные отраслевые исследования можно развивать после появления экспертов и подходящих команд.</w:t>
      </w:r>
    </w:p>
    <w:p>
      <w:r>
        <w:rPr>
          <w:b w:val="0"/>
        </w:rPr>
        <w:t>Первое предложение бизнесу: помочь описать одну проблему, согласовать критерий результата и получить содержательные предложения для короткого пилота. Исполнителям: понятный контекст и возможность показать результат. Нельзя обещать гарантированную экономию, поток заказов или верифицированные компетенции до появления соответствующих данных и процессов.</w:t>
      </w:r>
    </w:p>
    <w:p>
      <w:pPr>
        <w:pStyle w:val="Heading2"/>
      </w:pPr>
      <w:r>
        <w:t>3 Дорожная карта с условиями перехода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464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Период после старта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Условие следующего этапа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Первые 30 дней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Подготовить хостинг; провести 15 интервью; привлечь 10 бизнесов и 20 подходящих команд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Есть повторяющаяся проблема и 5 содержательных опубликованных задач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Дни 31–90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Сопроводить пилоты, измерить качество карточек, затраты и отклики; проверить готовность платить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Не менее 3 принятых этапов и 2 бизнесов с повторной задачей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Месяцы 3–6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Подключить оплату при готовности продавца; развить доверие, уведомления и управление организациями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Положительный вклад платной когорты после затрат на бесплатных пользователей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Месяцы 6–12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Повторить канал привлечения; расширить отрасль или регион; масштабировать инфраструктуру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Сохраняются качество откликов, удержание и приемлемая стоимость привлечения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Сроки — последовательность планирования, а не обещание релизов. Если задачи не получают качественных предложений, нужно сузить сегмент и доработать предложение, а не ускорять покупку рекламы.</w:t>
      </w:r>
    </w:p>
    <w:p>
      <w:r>
        <w:br w:type="page"/>
      </w:r>
    </w:p>
    <w:p>
      <w:pPr>
        <w:pStyle w:val="Heading1"/>
      </w:pPr>
      <w:r>
        <w:t>Развитие продукта и выход к клиентам</w:t>
      </w:r>
    </w:p>
    <w:p>
      <w:pPr>
        <w:pStyle w:val="Heading2"/>
      </w:pPr>
      <w:r>
        <w:t>4 Приоритеты продукта</w:t>
      </w:r>
    </w:p>
    <w:p>
      <w:r>
        <w:rPr>
          <w:b w:val="0"/>
        </w:rPr>
      </w:r>
      <w:r>
        <w:rPr>
          <w:b/>
        </w:rPr>
        <w:t>Готовность к эксплуатации.</w:t>
      </w:r>
      <w:r>
        <w:rPr>
          <w:b w:val="0"/>
        </w:rPr>
        <w:t xml:space="preserve"> HTTPS, постоянное хранение, резервные копии с проверкой восстановления, мониторинг расходов и ошибок, закрытие публичных demo-операций, восстановление доступа. До массового привлечения — понятные правила публикации данных и обработка жалоб.</w:t>
      </w:r>
    </w:p>
    <w:p>
      <w:r>
        <w:rPr>
          <w:b w:val="0"/>
        </w:rPr>
      </w:r>
      <w:r>
        <w:rPr>
          <w:b/>
        </w:rPr>
        <w:t>Доверие к Evidence.</w:t>
      </w:r>
      <w:r>
        <w:rPr>
          <w:b w:val="0"/>
        </w:rPr>
        <w:t xml:space="preserve"> Улучшить работу с первоисточниками, точными цитатами, методами исследований и признаками отзыва публикаций. Развить визуальную доску «проблема → фактор → источник → данные бизнеса → гипотеза». Автоматическое происхождение ссылки и экспертное подтверждение вывода должны оставаться разными уровнями проверки.</w:t>
      </w:r>
    </w:p>
    <w:p>
      <w:r>
        <w:rPr>
          <w:b w:val="0"/>
        </w:rPr>
      </w:r>
      <w:r>
        <w:rPr>
          <w:b/>
        </w:rPr>
        <w:t>Работа организаций.</w:t>
      </w:r>
      <w:r>
        <w:rPr>
          <w:b w:val="0"/>
        </w:rPr>
        <w:t xml:space="preserve"> Несколько сотрудников в компании, роли, закрытые задачи, приглашения, уведомления, общий бюджет AI и отчётность по пилотам. </w:t>
      </w:r>
      <w:r>
        <w:rPr>
          <w:b/>
        </w:rPr>
        <w:t>Работа с командами.</w:t>
      </w:r>
      <w:r>
        <w:rPr>
          <w:b w:val="0"/>
        </w:rPr>
        <w:t xml:space="preserve"> Проверка портфолио, репутация на основе принятых результатов и более точный подбор. Эти функции являются планами, не возможностями текущего релиза.</w:t>
      </w:r>
    </w:p>
    <w:p>
      <w:pPr>
        <w:pStyle w:val="Heading2"/>
      </w:pPr>
      <w:r>
        <w:t>5 Как получить первые реальные проекты</w:t>
      </w:r>
    </w:p>
    <w:p>
      <w:r>
        <w:rPr>
          <w:b w:val="0"/>
        </w:rPr>
        <w:t>Основатель лично проводит интервью с компаниями одного профиля: просит показать последнюю проблемную ситуацию, текущий способ решения, потери времени и процесс выбора подрядчика. Согласившемуся бизнесу помогает оформить одну задачу. Затем ищет несколько подходящих команд через профильные сообщества, университеты и партнёрские программы; потенциальный партнёр не называется действующим до договорённости.</w:t>
      </w:r>
    </w:p>
    <w:p>
      <w:r>
        <w:rPr>
          <w:b w:val="0"/>
        </w:rPr>
        <w:t>На первых проектах допустимо ручное сопровождение: проверить полноту задания, помочь сторонам договориться о первом этапе и собрать обратную связь. Часы такого сопровождения надо учитывать как затраты. Успешный кейс публикуется только с разрешения компании, исходным измерением, периодом проверки и описанием вклада команды.</w:t>
      </w:r>
    </w:p>
    <w:p>
      <w:pPr>
        <w:pStyle w:val="Heading2"/>
      </w:pPr>
      <w:r>
        <w:t>6 Метрики качества и роста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Как считать и использовать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Активация бизнеса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Доля новых бизнесов, подтвердивших содержательную карточку за 7 дней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Качество предложения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Доля задач с откликом, содержащим подход, срок и проверяемый первый результат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Скорость ответа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Медианное время от публикации до первого содержательного отклика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Доля задач пилотной когорты с принятым этапом за согласованный период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Повторное использование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Доля бизнесов, вернувшихся с новой задачей в течение 60 дней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Экономика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Стоимость AI и сопровождения на активный бизнес и принятый этап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Сравнить одинаковые учебные кейсы в форме и Agent по времени подготовки и независимой оценке полноты. Такой тест проверяет пользу AI лучше, чем количество сообщений. В маленькой выборке показывать и доли, и абсолютные количества, не делать вывод о всём рынке по нескольким участникам.</w:t>
      </w:r>
    </w:p>
    <w:p>
      <w:r>
        <w:br w:type="page"/>
      </w:r>
    </w:p>
    <w:p>
      <w:pPr>
        <w:pStyle w:val="Heading1"/>
      </w:pPr>
      <w:r>
        <w:t>Монетизация и себестоимость</w:t>
      </w:r>
    </w:p>
    <w:p>
      <w:pPr>
        <w:pStyle w:val="Heading2"/>
      </w:pPr>
      <w:r>
        <w:t>7 На чём зарабатывать</w:t>
      </w:r>
    </w:p>
    <w:p>
      <w:r>
        <w:rPr>
          <w:b w:val="0"/>
        </w:rPr>
      </w:r>
      <w:r>
        <w:rPr>
          <w:b/>
        </w:rPr>
        <w:t>Сейчас подготовлен Plus:</w:t>
      </w:r>
      <w:r>
        <w:rPr>
          <w:b w:val="0"/>
        </w:rPr>
        <w:t xml:space="preserve"> $3,99 в месяц за 100 AI-запросов и 10 исследований в день; Free — 10 и 2. Качество модели одинаковое, продаётся объём использования. Реальная оплата пока отсутствует. Visa/Mastercard и возможный Kaspi зависят от оформления продавца и выбранного подключения.</w:t>
      </w:r>
    </w:p>
    <w:p>
      <w:r>
        <w:rPr>
          <w:b w:val="0"/>
        </w:rPr>
      </w:r>
      <w:r>
        <w:rPr>
          <w:b/>
        </w:rPr>
        <w:t>Следующие гипотезы:</w:t>
      </w:r>
      <w:r>
        <w:rPr>
          <w:b w:val="0"/>
        </w:rPr>
        <w:t xml:space="preserve"> тариф организации за несколько сотрудников, закрытые задачи и отчётность; оплата организатором программы за набор и сопровождение пилотов; отдельная платная помощь в постановке задачи. Комиссия с проектов имеет смысл лишь после появления договорного и платёжного процесса. Продажа данных бизнеса и скрытая платная перестановка команд в рекомендациях не должны становиться основой модели.</w:t>
      </w:r>
    </w:p>
    <w:p>
      <w:pPr>
        <w:pStyle w:val="Heading2"/>
      </w:pPr>
      <w:r>
        <w:t>8 Проверка цены на расходы AI</w:t>
      </w:r>
    </w:p>
    <w:p>
      <w:r>
        <w:rPr>
          <w:b w:val="0"/>
        </w:rPr>
        <w:t>По официальным ценам GPT-4.1 mini: $0,40 за миллион входных и $1,60 за миллион выходных токенов. Web search стоит $0,01 за вызов; для этой модели поисковый контент тарифицируется блоком 8000 входных токенов на вызов. Цены проверены 30.09.2026; перед продажами сверить повторно. [1–2]</w:t>
      </w:r>
    </w:p>
    <w:p>
      <w:r>
        <w:rPr>
          <w:b w:val="0"/>
        </w:rPr>
      </w:r>
      <w:r>
        <w:rPr>
          <w:b/>
        </w:rPr>
        <w:t>Допущения расчёта:</w:t>
      </w:r>
      <w:r>
        <w:rPr>
          <w:b w:val="0"/>
        </w:rPr>
        <w:t xml:space="preserve"> один чат-запрос — 2000 входных и 500 выходных токенов, то есть $0,0016. Одно исследование — два поисковых вызова плюс суммарно 6000 прочих входных и 1800 выходных токенов за AI-этапы: $0,02 + $0,0064 + $0,0024 + $0,00288 = $0,03168. Это сценарий, а не измеренный средний расход; длинная история, повторы и число поисков меняют стоимость.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1440"/>
        <w:gridCol w:w="1728"/>
        <w:gridCol w:w="2160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Использование за 30 дней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Чат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Research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Расход AI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Умеренный Plus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$1,43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Полный лимит Plus каждый день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$14,30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Пример среднего Free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$0,14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Полный лимит Free каждый день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$2,38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</w:r>
      <w:r>
        <w:rPr>
          <w:b/>
        </w:rPr>
        <w:t>Вывод:</w:t>
      </w:r>
      <w:r>
        <w:rPr>
          <w:b w:val="0"/>
        </w:rPr>
        <w:t xml:space="preserve"> $3,99 нельзя считать устойчивой ценой при полном использовании лимитов. Даже один поисковый вызов на каждое из 300 исследований стоит около $3,96 с поисковыми токенами — ещё до обычного чата и генерации отчётов. До продаж нужны измерения, бюджет пилота и решение о будущей цене или объёме включённого использования.</w:t>
      </w:r>
    </w:p>
    <w:p>
      <w:r>
        <w:rPr>
          <w:b w:val="0"/>
        </w:rPr>
        <w:t>Снижать затраты можно кэшированием актуальных результатов, устранением дублей и ограничением злоупотреблений без ухудшения модели Free. Любые изменения обещанных коммерческих лимитов должны сообщаться заранее. Расходы на бесплатных пользователей нельзя исключать из бизнес-модели.</w:t>
      </w:r>
    </w:p>
    <w:p>
      <w:r>
        <w:br w:type="page"/>
      </w:r>
    </w:p>
    <w:p>
      <w:pPr>
        <w:pStyle w:val="Heading1"/>
      </w:pPr>
      <w:r>
        <w:t>Выручка и условия роста</w:t>
      </w:r>
    </w:p>
    <w:p>
      <w:pPr>
        <w:pStyle w:val="Heading2"/>
      </w:pPr>
      <w:r>
        <w:t>9 Оборот не равен прибыли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Платных подписчиков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Выручка в месяц при $3,99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$399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$1995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$3990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10 000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sz w:val="20"/>
              </w:rPr>
              <w:t>$39 900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Это арифметические сценарии регулярной выручки при полной оплате месяца, без возвратов, скидок и налогов. Они не являются прогнозом числа клиентов. Оборот проектов между компаниями и командами также не будет выручкой SOLVEX: при комиссии выручкой станет только её собственная доля.</w:t>
      </w:r>
    </w:p>
    <w:p>
      <w:pPr>
        <w:pStyle w:val="Heading2"/>
      </w:pPr>
      <w:r>
        <w:t>10 Пример экономики небольшой базы</w:t>
      </w:r>
    </w:p>
    <w:p>
      <w:r>
        <w:rPr>
          <w:b w:val="0"/>
        </w:rPr>
        <w:t>Допустим, есть 500 платных и 4500 бесплатных активных пользователей. Платный использует 300 чат-запросов и 30 исследований в месяц, бесплатный — 30 и 3. Берём расходы из предыдущей страницы, условную платёжную комиссию 5% и $300 постоянных расходов. Комиссия и постоянные расходы здесь — допущения, не предложение провайдера.</w:t>
      </w:r>
    </w:p>
    <w:p>
      <w:r>
        <w:rPr>
          <w:b w:val="0"/>
        </w:rPr>
        <w:t xml:space="preserve">Выручка $1995 минус комиссия $99,75, AI платных $715,20, AI бесплатных $643,68 и постоянные расходы $300 дают </w:t>
      </w:r>
      <w:r>
        <w:rPr>
          <w:b/>
        </w:rPr>
        <w:t>$236,37 до оплаты труда, налогов, привлечения и прочих затрат</w:t>
      </w:r>
      <w:r>
        <w:rPr>
          <w:b w:val="0"/>
        </w:rPr>
        <w:t>. Поэтому даже 500 подписчиков не доказывают прибыльность. При полном использовании Plus прямые расходы превышают доход от такого пользователя.</w:t>
      </w:r>
    </w:p>
    <w:p>
      <w:r>
        <w:rPr>
          <w:b w:val="0"/>
        </w:rPr>
        <w:t>При тех же допущениях и девяти активных Free на одного Plus вклад на платного после комиссии и AI обеих групп равен $1,07274. Для покрытия $300 постоянных расходов нужно примерно 280 платных; для $1500 — 1399. Изменение активности Free или Research существенно меняет порог. Без положительного вклада рост увеличивает убыток.</w:t>
      </w:r>
    </w:p>
    <w:p>
      <w:pPr>
        <w:pStyle w:val="Heading2"/>
      </w:pPr>
      <w:r>
        <w:t>11 Как принимать решение о масштабировании</w:t>
      </w:r>
    </w:p>
    <w:p>
      <w:r>
        <w:rPr>
          <w:b w:val="0"/>
        </w:rPr>
        <w:t>В первые 90 дней вести расходы по трём статьям: инфраструктура и AI, сопровождение пилотов, привлечение. Объём расходов утверждать после котировок и измерений. Начать с партнёрского и личного привлечения; рекламу тестировать небольшими партиями с заранее заданным порогом стоимости активированного платного клиента.</w:t>
      </w:r>
    </w:p>
    <w:p>
      <w:r>
        <w:rPr>
          <w:b w:val="0"/>
        </w:rPr>
        <w:t>Расширять продажи после повторных задач, принятых этапов и положительного вклада когорты с учётом Free. Если эти условия не выполнены — менять сегмент, предложение или тарифы. Для защиты перед жюри ближайшая цель: доказать пользу на нескольких реальных проектах и найти воспроизводимый способ получать следующий такой проект.</w:t>
      </w:r>
    </w:p>
    <w:p>
      <w:pPr>
        <w:pStyle w:val="Source"/>
      </w:pPr>
      <w:hyperlink r:id="rId10">
        <w:r>
          <w:rPr>
            <w:color w:val="224D78"/>
          </w:rPr>
          <w:t>1  OpenAI — цены GPT-4.1 mini</w:t>
        </w:r>
      </w:hyperlink>
    </w:p>
    <w:p>
      <w:pPr>
        <w:pStyle w:val="Source"/>
      </w:pPr>
      <w:hyperlink r:id="rId11">
        <w:r>
          <w:rPr>
            <w:color w:val="224D78"/>
          </w:rPr>
          <w:t>2  OpenAI — тарификация web search и поисковых токенов</w:t>
        </w:r>
      </w:hyperlink>
    </w:p>
    <w:p>
      <w:pPr>
        <w:pStyle w:val="Source"/>
      </w:pPr>
      <w:hyperlink r:id="rId12">
        <w:r>
          <w:rPr>
            <w:color w:val="224D78"/>
          </w:rPr>
          <w:t>SOLVEX — текущие тарифы и требования к будущей оплате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SOLVEX  •  30 сентября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</w:pPr>
    <w:rPr>
      <w:rFonts w:ascii="Calibri" w:hAnsi="Calibri" w:eastAsia="Calibri"/>
      <w:b w:val="0"/>
      <w:color w:val="000000"/>
      <w:sz w:val="18"/>
    </w:rPr>
  </w:style>
  <w:style w:type="paragraph" w:customStyle="1" w:styleId="Meta">
    <w:name w:val="Meta"/>
    <w:pPr>
      <w:spacing w:after="60"/>
    </w:pPr>
    <w:rPr>
      <w:rFonts w:ascii="Calibri" w:hAnsi="Calibri" w:eastAsia="Calibr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openai.com/api/docs/models/gpt-4.1-mini" TargetMode="External"/><Relationship Id="rId11" Type="http://schemas.openxmlformats.org/officeDocument/2006/relationships/hyperlink" Target="https://developers.openai.com/api/docs/pricing" TargetMode="External"/><Relationship Id="rId12" Type="http://schemas.openxmlformats.org/officeDocument/2006/relationships/hyperlink" Target="https://github.com/gitaliuer/SOLVEX/blob/a2144f1e5d135ce45cc74531b523c51f5b7c860e/docs/SUBSCRIP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Развитие и монетизация SOLVEX</dc:title>
  <dc:subject>Путь от MVP к пилотам и устойчивой выручке</dc:subject>
  <dc:creator>Команда SOLVEX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