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E3A8A"/>
          <w:sz w:val="52"/>
        </w:rPr>
        <w:t>CreditLens Risk Intelligence Platform</w:t>
        <w:br/>
      </w:r>
      <w:r>
        <w:rPr>
          <w:rFonts w:ascii="Calibri" w:hAnsi="Calibri"/>
          <w:b/>
          <w:color w:val="2563EB"/>
          <w:sz w:val="28"/>
        </w:rPr>
        <w:t>Comprehensive Credit Risk Modeling, Evaluation &amp; Commercial Strategy Report</w:t>
      </w:r>
    </w:p>
    <w:tbl>
      <w:tblPr>
        <w:tblW w:type="auto" w:w="0"/>
        <w:jc w:val="center"/>
        <w:tblLayout w:type="fixed"/>
        <w:tblLook w:firstColumn="1" w:firstRow="1" w:lastColumn="0" w:lastRow="0" w:noHBand="0" w:noVBand="1" w:val="04A0"/>
      </w:tblPr>
      <w:tblGrid>
        <w:gridCol w:w="4680"/>
        <w:gridCol w:w="4680"/>
      </w:tblGrid>
      <w:tr>
        <w:tc>
          <w:tcPr>
            <w:tcW w:type="dxa" w:w="3456"/>
            <w:shd w:fill="1E3A8A"/>
            <w:tcMar>
              <w:top w:w="140" w:type="dxa"/>
              <w:bottom w:w="140" w:type="dxa"/>
              <w:left w:w="140" w:type="dxa"/>
              <w:right w:w="140" w:type="dxa"/>
            </w:tcMar>
            <w:vAlign w:val="center"/>
          </w:tcPr>
          <w:p>
            <w:pPr>
              <w:spacing w:before="0" w:after="0"/>
            </w:pPr>
            <w:r>
              <w:rPr>
                <w:rFonts w:ascii="Calibri" w:hAnsi="Calibri"/>
                <w:b/>
                <w:color w:val="FFFFFF"/>
                <w:sz w:val="20"/>
              </w:rPr>
              <w:t>Target Roles / Use-Case:</w:t>
            </w:r>
          </w:p>
        </w:tc>
        <w:tc>
          <w:tcPr>
            <w:tcW w:type="dxa" w:w="5904"/>
            <w:shd w:fill="1E3A8A"/>
            <w:tcMar>
              <w:top w:w="140" w:type="dxa"/>
              <w:bottom w:w="140" w:type="dxa"/>
              <w:left w:w="140" w:type="dxa"/>
              <w:right w:w="140" w:type="dxa"/>
            </w:tcMar>
            <w:vAlign w:val="center"/>
          </w:tcPr>
          <w:p>
            <w:pPr>
              <w:spacing w:before="0" w:after="0"/>
            </w:pPr>
            <w:r>
              <w:rPr>
                <w:rFonts w:ascii="Calibri" w:hAnsi="Calibri"/>
                <w:b/>
                <w:color w:val="FFFFFF"/>
                <w:sz w:val="20"/>
              </w:rPr>
              <w:t>Data Analyst, Credit Risk Analyst, Business Analyst, Credit Policy Specialist</w:t>
            </w:r>
          </w:p>
        </w:tc>
      </w:tr>
      <w:tr>
        <w:tc>
          <w:tcPr>
            <w:tcW w:type="dxa" w:w="3456"/>
            <w:shd w:fill="FFFFFF"/>
            <w:tcMar>
              <w:top w:w="100" w:type="dxa"/>
              <w:bottom w:w="100" w:type="dxa"/>
              <w:left w:w="140" w:type="dxa"/>
              <w:right w:w="140" w:type="dxa"/>
            </w:tcMar>
            <w:vAlign w:val="center"/>
          </w:tcPr>
          <w:p>
            <w:pPr>
              <w:spacing w:before="0" w:after="0"/>
            </w:pPr>
            <w:r>
              <w:rPr>
                <w:rFonts w:ascii="Calibri" w:hAnsi="Calibri"/>
                <w:b/>
                <w:color w:val="334155"/>
                <w:sz w:val="19"/>
              </w:rPr>
              <w:t>Production Champion Model:</w:t>
            </w:r>
          </w:p>
        </w:tc>
        <w:tc>
          <w:tcPr>
            <w:tcW w:type="dxa" w:w="5904"/>
            <w:shd w:fill="FFFFFF"/>
            <w:tcMar>
              <w:top w:w="100" w:type="dxa"/>
              <w:bottom w:w="100" w:type="dxa"/>
              <w:left w:w="140" w:type="dxa"/>
              <w:right w:w="140" w:type="dxa"/>
            </w:tcMar>
            <w:vAlign w:val="center"/>
          </w:tcPr>
          <w:p>
            <w:pPr>
              <w:spacing w:before="0" w:after="0"/>
            </w:pPr>
            <w:r>
              <w:rPr>
                <w:rFonts w:ascii="Calibri" w:hAnsi="Calibri"/>
                <w:color w:val="334155"/>
                <w:sz w:val="19"/>
              </w:rPr>
              <w:t>Random Forest Classifier (ROC-AUC 0.7781, KS 42.6%)</w:t>
            </w:r>
          </w:p>
        </w:tc>
      </w:tr>
      <w:tr>
        <w:tc>
          <w:tcPr>
            <w:tcW w:type="dxa" w:w="3456"/>
            <w:shd w:fill="F8FAFC"/>
            <w:tcMar>
              <w:top w:w="100" w:type="dxa"/>
              <w:bottom w:w="100" w:type="dxa"/>
              <w:left w:w="140" w:type="dxa"/>
              <w:right w:w="140" w:type="dxa"/>
            </w:tcMar>
            <w:vAlign w:val="center"/>
          </w:tcPr>
          <w:p>
            <w:pPr>
              <w:spacing w:before="0" w:after="0"/>
            </w:pPr>
            <w:r>
              <w:rPr>
                <w:rFonts w:ascii="Calibri" w:hAnsi="Calibri"/>
                <w:b/>
                <w:color w:val="334155"/>
                <w:sz w:val="19"/>
              </w:rPr>
              <w:t>Regulatory Benchmark Model:</w:t>
            </w:r>
          </w:p>
        </w:tc>
        <w:tc>
          <w:tcPr>
            <w:tcW w:type="dxa" w:w="5904"/>
            <w:shd w:fill="F8FAFC"/>
            <w:tcMar>
              <w:top w:w="100" w:type="dxa"/>
              <w:bottom w:w="100" w:type="dxa"/>
              <w:left w:w="140" w:type="dxa"/>
              <w:right w:w="140" w:type="dxa"/>
            </w:tcMar>
            <w:vAlign w:val="center"/>
          </w:tcPr>
          <w:p>
            <w:pPr>
              <w:spacing w:before="0" w:after="0"/>
            </w:pPr>
            <w:r>
              <w:rPr>
                <w:rFonts w:ascii="Calibri" w:hAnsi="Calibri"/>
                <w:color w:val="334155"/>
                <w:sz w:val="19"/>
              </w:rPr>
              <w:t>Logistic Regression - Balanced Weights (ROC-AUC 0.7521, KS 39.3%)</w:t>
            </w:r>
          </w:p>
        </w:tc>
      </w:tr>
      <w:tr>
        <w:tc>
          <w:tcPr>
            <w:tcW w:type="dxa" w:w="3456"/>
            <w:shd w:fill="FFFFFF"/>
            <w:tcMar>
              <w:top w:w="100" w:type="dxa"/>
              <w:bottom w:w="100" w:type="dxa"/>
              <w:left w:w="140" w:type="dxa"/>
              <w:right w:w="140" w:type="dxa"/>
            </w:tcMar>
            <w:vAlign w:val="center"/>
          </w:tcPr>
          <w:p>
            <w:pPr>
              <w:spacing w:before="0" w:after="0"/>
            </w:pPr>
            <w:r>
              <w:rPr>
                <w:rFonts w:ascii="Calibri" w:hAnsi="Calibri"/>
                <w:b/>
                <w:color w:val="334155"/>
                <w:sz w:val="19"/>
              </w:rPr>
              <w:t>Validation Holdout Sample:</w:t>
            </w:r>
          </w:p>
        </w:tc>
        <w:tc>
          <w:tcPr>
            <w:tcW w:type="dxa" w:w="5904"/>
            <w:shd w:fill="FFFFFF"/>
            <w:tcMar>
              <w:top w:w="100" w:type="dxa"/>
              <w:bottom w:w="100" w:type="dxa"/>
              <w:left w:w="140" w:type="dxa"/>
              <w:right w:w="140" w:type="dxa"/>
            </w:tcMar>
            <w:vAlign w:val="center"/>
          </w:tcPr>
          <w:p>
            <w:pPr>
              <w:spacing w:before="0" w:after="0"/>
            </w:pPr>
            <w:r>
              <w:rPr>
                <w:rFonts w:ascii="Calibri" w:hAnsi="Calibri"/>
                <w:color w:val="334155"/>
                <w:sz w:val="19"/>
              </w:rPr>
              <w:t>6,000 Out-of-Time / Out-of-Sample Records (20% Stratified Split of 30,000 Accounts)</w:t>
            </w:r>
          </w:p>
        </w:tc>
      </w:tr>
      <w:tr>
        <w:tc>
          <w:tcPr>
            <w:tcW w:type="dxa" w:w="3456"/>
            <w:shd w:fill="F8FAFC"/>
            <w:tcMar>
              <w:top w:w="100" w:type="dxa"/>
              <w:bottom w:w="100" w:type="dxa"/>
              <w:left w:w="140" w:type="dxa"/>
              <w:right w:w="140" w:type="dxa"/>
            </w:tcMar>
            <w:vAlign w:val="center"/>
          </w:tcPr>
          <w:p>
            <w:pPr>
              <w:spacing w:before="0" w:after="0"/>
            </w:pPr>
            <w:r>
              <w:rPr>
                <w:rFonts w:ascii="Calibri" w:hAnsi="Calibri"/>
                <w:b/>
                <w:color w:val="334155"/>
                <w:sz w:val="19"/>
              </w:rPr>
              <w:t>Commercial Financial ROI:</w:t>
            </w:r>
          </w:p>
        </w:tc>
        <w:tc>
          <w:tcPr>
            <w:tcW w:type="dxa" w:w="5904"/>
            <w:shd w:fill="F8FAFC"/>
            <w:tcMar>
              <w:top w:w="100" w:type="dxa"/>
              <w:bottom w:w="100" w:type="dxa"/>
              <w:left w:w="140" w:type="dxa"/>
              <w:right w:w="140" w:type="dxa"/>
            </w:tcMar>
            <w:vAlign w:val="center"/>
          </w:tcPr>
          <w:p>
            <w:pPr>
              <w:spacing w:before="0" w:after="0"/>
            </w:pPr>
            <w:r>
              <w:rPr>
                <w:rFonts w:ascii="Calibri" w:hAnsi="Calibri"/>
                <w:color w:val="334155"/>
                <w:sz w:val="19"/>
              </w:rPr>
              <w:t>NT$ 128.2M Bad Debt Intercepted  •  NT$ 114.1M Net Capital Preserved</w:t>
            </w:r>
          </w:p>
        </w:tc>
      </w:tr>
    </w:tbl>
    <w:p>
      <w:pPr>
        <w:spacing w:after="240"/>
      </w:pPr>
    </w:p>
    <w:p>
      <w:pPr>
        <w:pStyle w:val="Heading1"/>
      </w:pPr>
      <w:r>
        <w:rPr>
          <w:color w:val="1E3A8A"/>
          <w:sz w:val="32"/>
        </w:rPr>
        <w:t>1. Executive Summary &amp; Business Context</w:t>
      </w:r>
    </w:p>
    <w:p>
      <w:r>
        <w:rPr>
          <w:color w:val="334155"/>
        </w:rPr>
        <w:t>CreditLens is an institutional-grade credit risk underwriting and portfolio surveillance system developed to bridge the gap between sophisticated machine learning models and actionable commercial banking decisions. In modern consumer lending, issuing institutions constantly navigate the fundamental credit trade-off: maximizing loan volume and net interest margin (NIM) while proactively preventing catastrophic write-offs from borrower default.</w:t>
      </w:r>
    </w:p>
    <w:p>
      <w:r>
        <w:rPr>
          <w:color w:val="334155"/>
        </w:rPr>
        <w:t>To establish a defensible, audit-compliant framework, we engineered and rigorously evaluated multiple modeling methodologies on a standardized retail credit portfolio of 30,000 customer accounts. These include: (1) an econometric Logistic Regression scorecard required for regulatory compliance under Basel II/III internal ratings-based (IRB) standards, (2) an advanced Random Forest ensemble serving as our Champion production model, and (3) a Challenger Gradient Boosted Decision Tree (GBDT) architecture. Each model was calibrated and translated directly into the standard commercial FICO 300–850 scoring scale, Basel capital reserve adequacy schedules, and dynamic early warning surveillance triggers.</w:t>
      </w:r>
    </w:p>
    <w:tbl>
      <w:tblPr>
        <w:tblW w:type="auto" w:w="0"/>
        <w:jc w:val="center"/>
        <w:tblLayout w:type="fixed"/>
        <w:tblLook w:firstColumn="1" w:firstRow="1" w:lastColumn="0" w:lastRow="0" w:noHBand="0" w:noVBand="1" w:val="04A0"/>
      </w:tblPr>
      <w:tblGrid>
        <w:gridCol w:w="9360"/>
      </w:tblGrid>
      <w:tr>
        <w:tc>
          <w:tcPr>
            <w:tcW w:type="dxa" w:w="9360"/>
            <w:shd w:fill="F0FDF4"/>
            <w:tcMar>
              <w:top w:w="160" w:type="dxa"/>
              <w:bottom w:w="160" w:type="dxa"/>
              <w:left w:w="220" w:type="dxa"/>
              <w:right w:w="200" w:type="dxa"/>
            </w:tcMar>
            <w:tcBorders>
              <w:top w:val="none"/>
              <w:left w:val="single" w:sz="36" w:space="0" w:color="10B981"/>
              <w:bottom w:val="none"/>
              <w:right w:val="none"/>
            </w:tcBorders>
          </w:tcPr>
          <w:p>
            <w:pPr>
              <w:spacing w:before="0" w:after="80"/>
            </w:pPr>
            <w:r>
              <w:rPr>
                <w:rFonts w:ascii="Calibri" w:hAnsi="Calibri"/>
                <w:b/>
                <w:color w:val="2563EB"/>
                <w:sz w:val="21"/>
              </w:rPr>
              <w:t>📌 KEY COMMERCIAL BOTTOM-LINE IMPACT</w:t>
              <w:br/>
            </w:r>
            <w:r>
              <w:rPr>
                <w:rFonts w:ascii="Calibri" w:hAnsi="Calibri"/>
                <w:color w:val="334155"/>
                <w:sz w:val="20"/>
              </w:rPr>
              <w:t>The Champion Random Forest model delivered an ROC-AUC of 0.7781 and a Kolmogorov-Smirnov (KS) statistic of 42.57%, generating an +8.3% relative lift in risk separation power over traditional linear scorecards. Translated into commercial bank economics on 6,000 unseen test borrowers, this predictive edge intercepted NT$ 128.2M in severe default write-offs while maintaining loan approval volumes at 65.4%, creating a net commercial value of NT$ 114.1M.</w:t>
            </w:r>
          </w:p>
        </w:tc>
      </w:tr>
    </w:tbl>
    <w:p>
      <w:pPr>
        <w:spacing w:before="0" w:after="120"/>
      </w:pPr>
    </w:p>
    <w:p>
      <w:pPr>
        <w:pStyle w:val="Heading1"/>
      </w:pPr>
      <w:r>
        <w:rPr>
          <w:color w:val="1E3A8A"/>
          <w:sz w:val="32"/>
        </w:rPr>
        <w:t>2. Side-by-Side Model Performance Scorecard</w:t>
      </w:r>
    </w:p>
    <w:p>
      <w:r>
        <w:t>The following scorecard outlines the out-of-sample holdout validation metrics evaluated across 6,000 independent customer accounts. Every metric reflects real commercial banking performance: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1E3A8A"/>
            <w:tcMar>
              <w:top w:w="140" w:type="dxa"/>
              <w:bottom w:w="140" w:type="dxa"/>
              <w:left w:w="140" w:type="dxa"/>
              <w:right w:w="140" w:type="dxa"/>
            </w:tcMar>
            <w:vAlign w:val="center"/>
          </w:tcPr>
          <w:p>
            <w:pPr>
              <w:spacing w:before="0" w:after="0"/>
            </w:pPr>
            <w:r>
              <w:rPr>
                <w:rFonts w:ascii="Calibri" w:hAnsi="Calibri"/>
                <w:b/>
                <w:color w:val="FFFFFF"/>
                <w:sz w:val="20"/>
              </w:rPr>
              <w:t>Evaluation Metric</w:t>
            </w:r>
          </w:p>
        </w:tc>
        <w:tc>
          <w:tcPr>
            <w:tcW w:type="dxa" w:w="1584"/>
            <w:shd w:fill="1E3A8A"/>
            <w:tcMar>
              <w:top w:w="140" w:type="dxa"/>
              <w:bottom w:w="140" w:type="dxa"/>
              <w:left w:w="140" w:type="dxa"/>
              <w:right w:w="140" w:type="dxa"/>
            </w:tcMar>
            <w:vAlign w:val="center"/>
          </w:tcPr>
          <w:p>
            <w:pPr>
              <w:spacing w:before="0" w:after="0"/>
              <w:jc w:val="right"/>
            </w:pPr>
            <w:r>
              <w:rPr>
                <w:rFonts w:ascii="Calibri" w:hAnsi="Calibri"/>
                <w:b/>
                <w:color w:val="FFFFFF"/>
                <w:sz w:val="20"/>
              </w:rPr>
              <w:t>Champion: Random Forest</w:t>
            </w:r>
          </w:p>
        </w:tc>
        <w:tc>
          <w:tcPr>
            <w:tcW w:type="dxa" w:w="1584"/>
            <w:shd w:fill="1E3A8A"/>
            <w:tcMar>
              <w:top w:w="140" w:type="dxa"/>
              <w:bottom w:w="140" w:type="dxa"/>
              <w:left w:w="140" w:type="dxa"/>
              <w:right w:w="140" w:type="dxa"/>
            </w:tcMar>
            <w:vAlign w:val="center"/>
          </w:tcPr>
          <w:p>
            <w:pPr>
              <w:spacing w:before="0" w:after="0"/>
              <w:jc w:val="right"/>
            </w:pPr>
            <w:r>
              <w:rPr>
                <w:rFonts w:ascii="Calibri" w:hAnsi="Calibri"/>
                <w:b/>
                <w:color w:val="FFFFFF"/>
                <w:sz w:val="20"/>
              </w:rPr>
              <w:t>Benchmark: Logistic Reg</w:t>
            </w:r>
          </w:p>
        </w:tc>
        <w:tc>
          <w:tcPr>
            <w:tcW w:type="dxa" w:w="1440"/>
            <w:shd w:fill="1E3A8A"/>
            <w:tcMar>
              <w:top w:w="140" w:type="dxa"/>
              <w:bottom w:w="140" w:type="dxa"/>
              <w:left w:w="140" w:type="dxa"/>
              <w:right w:w="140" w:type="dxa"/>
            </w:tcMar>
            <w:vAlign w:val="center"/>
          </w:tcPr>
          <w:p>
            <w:pPr>
              <w:spacing w:before="0" w:after="0"/>
              <w:jc w:val="right"/>
            </w:pPr>
            <w:r>
              <w:rPr>
                <w:rFonts w:ascii="Calibri" w:hAnsi="Calibri"/>
                <w:b/>
                <w:color w:val="FFFFFF"/>
                <w:sz w:val="20"/>
              </w:rPr>
              <w:t>Absolute Lift</w:t>
            </w:r>
          </w:p>
        </w:tc>
        <w:tc>
          <w:tcPr>
            <w:tcW w:type="dxa" w:w="2160"/>
            <w:shd w:fill="1E3A8A"/>
            <w:tcMar>
              <w:top w:w="140" w:type="dxa"/>
              <w:bottom w:w="140" w:type="dxa"/>
              <w:left w:w="140" w:type="dxa"/>
              <w:right w:w="140" w:type="dxa"/>
            </w:tcMar>
            <w:vAlign w:val="center"/>
          </w:tcPr>
          <w:p>
            <w:pPr>
              <w:spacing w:before="0" w:after="0"/>
            </w:pPr>
            <w:r>
              <w:rPr>
                <w:rFonts w:ascii="Calibri" w:hAnsi="Calibri"/>
                <w:b/>
                <w:color w:val="FFFFFF"/>
                <w:sz w:val="20"/>
              </w:rPr>
              <w:t>Commercial Banking Interpretation</w:t>
            </w:r>
          </w:p>
        </w:tc>
      </w:tr>
      <w:tr>
        <w:tc>
          <w:tcPr>
            <w:tcW w:type="dxa" w:w="2592"/>
            <w:shd w:fill="FFFFFF"/>
            <w:tcMar>
              <w:top w:w="100" w:type="dxa"/>
              <w:bottom w:w="100" w:type="dxa"/>
              <w:left w:w="140" w:type="dxa"/>
              <w:right w:w="140" w:type="dxa"/>
            </w:tcMar>
            <w:vAlign w:val="center"/>
          </w:tcPr>
          <w:p>
            <w:pPr>
              <w:spacing w:before="0" w:after="0"/>
            </w:pPr>
            <w:r>
              <w:rPr>
                <w:rFonts w:ascii="Calibri" w:hAnsi="Calibri"/>
                <w:b/>
                <w:color w:val="334155"/>
                <w:sz w:val="19"/>
              </w:rPr>
              <w:t>ROC-AUC (Discrimination)</w:t>
            </w:r>
          </w:p>
        </w:tc>
        <w:tc>
          <w:tcPr>
            <w:tcW w:type="dxa" w:w="1584"/>
            <w:shd w:fill="FFFFFF"/>
            <w:tcMar>
              <w:top w:w="100" w:type="dxa"/>
              <w:bottom w:w="100" w:type="dxa"/>
              <w:left w:w="140" w:type="dxa"/>
              <w:right w:w="140" w:type="dxa"/>
            </w:tcMar>
            <w:vAlign w:val="center"/>
          </w:tcPr>
          <w:p>
            <w:pPr>
              <w:spacing w:before="0" w:after="0"/>
              <w:jc w:val="right"/>
            </w:pPr>
            <w:r>
              <w:rPr>
                <w:rFonts w:ascii="Calibri" w:hAnsi="Calibri"/>
                <w:color w:val="334155"/>
                <w:sz w:val="19"/>
              </w:rPr>
              <w:t>0.7781</w:t>
            </w:r>
          </w:p>
        </w:tc>
        <w:tc>
          <w:tcPr>
            <w:tcW w:type="dxa" w:w="1584"/>
            <w:shd w:fill="FFFFFF"/>
            <w:tcMar>
              <w:top w:w="100" w:type="dxa"/>
              <w:bottom w:w="100" w:type="dxa"/>
              <w:left w:w="140" w:type="dxa"/>
              <w:right w:w="140" w:type="dxa"/>
            </w:tcMar>
            <w:vAlign w:val="center"/>
          </w:tcPr>
          <w:p>
            <w:pPr>
              <w:spacing w:before="0" w:after="0"/>
              <w:jc w:val="right"/>
            </w:pPr>
            <w:r>
              <w:rPr>
                <w:rFonts w:ascii="Calibri" w:hAnsi="Calibri"/>
                <w:color w:val="334155"/>
                <w:sz w:val="19"/>
              </w:rPr>
              <w:t>0.7521</w:t>
            </w:r>
          </w:p>
        </w:tc>
        <w:tc>
          <w:tcPr>
            <w:tcW w:type="dxa" w:w="1440"/>
            <w:shd w:fill="FFFFFF"/>
            <w:tcMar>
              <w:top w:w="100" w:type="dxa"/>
              <w:bottom w:w="100" w:type="dxa"/>
              <w:left w:w="140" w:type="dxa"/>
              <w:right w:w="140" w:type="dxa"/>
            </w:tcMar>
            <w:vAlign w:val="center"/>
          </w:tcPr>
          <w:p>
            <w:pPr>
              <w:spacing w:before="0" w:after="0"/>
              <w:jc w:val="right"/>
            </w:pPr>
            <w:r>
              <w:rPr>
                <w:rFonts w:ascii="Calibri" w:hAnsi="Calibri"/>
                <w:color w:val="334155"/>
                <w:sz w:val="19"/>
              </w:rPr>
              <w:t>+0.0260 (+3.5%)</w:t>
            </w:r>
          </w:p>
        </w:tc>
        <w:tc>
          <w:tcPr>
            <w:tcW w:type="dxa" w:w="2160"/>
            <w:shd w:fill="FFFFFF"/>
            <w:tcMar>
              <w:top w:w="100" w:type="dxa"/>
              <w:bottom w:w="100" w:type="dxa"/>
              <w:left w:w="140" w:type="dxa"/>
              <w:right w:w="140" w:type="dxa"/>
            </w:tcMar>
            <w:vAlign w:val="center"/>
          </w:tcPr>
          <w:p>
            <w:pPr>
              <w:spacing w:before="0" w:after="0"/>
            </w:pPr>
            <w:r>
              <w:rPr>
                <w:rFonts w:ascii="Calibri" w:hAnsi="Calibri"/>
                <w:color w:val="334155"/>
                <w:sz w:val="19"/>
              </w:rPr>
              <w:t>78% probability of ranking a true defaulter higher risk than a good payer.</w:t>
            </w:r>
          </w:p>
        </w:tc>
      </w:tr>
      <w:tr>
        <w:tc>
          <w:tcPr>
            <w:tcW w:type="dxa" w:w="2592"/>
            <w:shd w:fill="F8FAFC"/>
            <w:tcMar>
              <w:top w:w="100" w:type="dxa"/>
              <w:bottom w:w="100" w:type="dxa"/>
              <w:left w:w="140" w:type="dxa"/>
              <w:right w:w="140" w:type="dxa"/>
            </w:tcMar>
            <w:vAlign w:val="center"/>
          </w:tcPr>
          <w:p>
            <w:pPr>
              <w:spacing w:before="0" w:after="0"/>
            </w:pPr>
            <w:r>
              <w:rPr>
                <w:rFonts w:ascii="Calibri" w:hAnsi="Calibri"/>
                <w:b/>
                <w:color w:val="334155"/>
                <w:sz w:val="19"/>
              </w:rPr>
              <w:t>KS Statistic (Risk Spread)</w:t>
            </w:r>
          </w:p>
        </w:tc>
        <w:tc>
          <w:tcPr>
            <w:tcW w:type="dxa" w:w="1584"/>
            <w:shd w:fill="F8FAFC"/>
            <w:tcMar>
              <w:top w:w="100" w:type="dxa"/>
              <w:bottom w:w="100" w:type="dxa"/>
              <w:left w:w="140" w:type="dxa"/>
              <w:right w:w="140" w:type="dxa"/>
            </w:tcMar>
            <w:vAlign w:val="center"/>
          </w:tcPr>
          <w:p>
            <w:pPr>
              <w:spacing w:before="0" w:after="0"/>
              <w:jc w:val="right"/>
            </w:pPr>
            <w:r>
              <w:rPr>
                <w:rFonts w:ascii="Calibri" w:hAnsi="Calibri"/>
                <w:color w:val="334155"/>
                <w:sz w:val="19"/>
              </w:rPr>
              <w:t>42.57%</w:t>
            </w:r>
          </w:p>
        </w:tc>
        <w:tc>
          <w:tcPr>
            <w:tcW w:type="dxa" w:w="1584"/>
            <w:shd w:fill="F8FAFC"/>
            <w:tcMar>
              <w:top w:w="100" w:type="dxa"/>
              <w:bottom w:w="100" w:type="dxa"/>
              <w:left w:w="140" w:type="dxa"/>
              <w:right w:w="140" w:type="dxa"/>
            </w:tcMar>
            <w:vAlign w:val="center"/>
          </w:tcPr>
          <w:p>
            <w:pPr>
              <w:spacing w:before="0" w:after="0"/>
              <w:jc w:val="right"/>
            </w:pPr>
            <w:r>
              <w:rPr>
                <w:rFonts w:ascii="Calibri" w:hAnsi="Calibri"/>
                <w:color w:val="334155"/>
                <w:sz w:val="19"/>
              </w:rPr>
              <w:t>39.28%</w:t>
            </w:r>
          </w:p>
        </w:tc>
        <w:tc>
          <w:tcPr>
            <w:tcW w:type="dxa" w:w="1440"/>
            <w:shd w:fill="F8FAFC"/>
            <w:tcMar>
              <w:top w:w="100" w:type="dxa"/>
              <w:bottom w:w="100" w:type="dxa"/>
              <w:left w:w="140" w:type="dxa"/>
              <w:right w:w="140" w:type="dxa"/>
            </w:tcMar>
            <w:vAlign w:val="center"/>
          </w:tcPr>
          <w:p>
            <w:pPr>
              <w:spacing w:before="0" w:after="0"/>
              <w:jc w:val="right"/>
            </w:pPr>
            <w:r>
              <w:rPr>
                <w:rFonts w:ascii="Calibri" w:hAnsi="Calibri"/>
                <w:color w:val="334155"/>
                <w:sz w:val="19"/>
              </w:rPr>
              <w:t>+3.29% (+8.3%)</w:t>
            </w:r>
          </w:p>
        </w:tc>
        <w:tc>
          <w:tcPr>
            <w:tcW w:type="dxa" w:w="2160"/>
            <w:shd w:fill="F8FAFC"/>
            <w:tcMar>
              <w:top w:w="100" w:type="dxa"/>
              <w:bottom w:w="100" w:type="dxa"/>
              <w:left w:w="140" w:type="dxa"/>
              <w:right w:w="140" w:type="dxa"/>
            </w:tcMar>
            <w:vAlign w:val="center"/>
          </w:tcPr>
          <w:p>
            <w:pPr>
              <w:spacing w:before="0" w:after="0"/>
            </w:pPr>
            <w:r>
              <w:rPr>
                <w:rFonts w:ascii="Calibri" w:hAnsi="Calibri"/>
                <w:color w:val="334155"/>
                <w:sz w:val="19"/>
              </w:rPr>
              <w:t>Peak separation between cumulative good vs bad distributions. KS &gt; 40% is elite.</w:t>
            </w:r>
          </w:p>
        </w:tc>
      </w:tr>
      <w:tr>
        <w:tc>
          <w:tcPr>
            <w:tcW w:type="dxa" w:w="2592"/>
            <w:shd w:fill="FFFFFF"/>
            <w:tcMar>
              <w:top w:w="100" w:type="dxa"/>
              <w:bottom w:w="100" w:type="dxa"/>
              <w:left w:w="140" w:type="dxa"/>
              <w:right w:w="140" w:type="dxa"/>
            </w:tcMar>
            <w:vAlign w:val="center"/>
          </w:tcPr>
          <w:p>
            <w:pPr>
              <w:spacing w:before="0" w:after="0"/>
            </w:pPr>
            <w:r>
              <w:rPr>
                <w:rFonts w:ascii="Calibri" w:hAnsi="Calibri"/>
                <w:b/>
                <w:color w:val="334155"/>
                <w:sz w:val="19"/>
              </w:rPr>
              <w:t>PR-AUC (Precision-Recall)</w:t>
            </w:r>
          </w:p>
        </w:tc>
        <w:tc>
          <w:tcPr>
            <w:tcW w:type="dxa" w:w="1584"/>
            <w:shd w:fill="FFFFFF"/>
            <w:tcMar>
              <w:top w:w="100" w:type="dxa"/>
              <w:bottom w:w="100" w:type="dxa"/>
              <w:left w:w="140" w:type="dxa"/>
              <w:right w:w="140" w:type="dxa"/>
            </w:tcMar>
            <w:vAlign w:val="center"/>
          </w:tcPr>
          <w:p>
            <w:pPr>
              <w:spacing w:before="0" w:after="0"/>
              <w:jc w:val="right"/>
            </w:pPr>
            <w:r>
              <w:rPr>
                <w:rFonts w:ascii="Calibri" w:hAnsi="Calibri"/>
                <w:color w:val="334155"/>
                <w:sz w:val="19"/>
              </w:rPr>
              <w:t>0.5573</w:t>
            </w:r>
          </w:p>
        </w:tc>
        <w:tc>
          <w:tcPr>
            <w:tcW w:type="dxa" w:w="1584"/>
            <w:shd w:fill="FFFFFF"/>
            <w:tcMar>
              <w:top w:w="100" w:type="dxa"/>
              <w:bottom w:w="100" w:type="dxa"/>
              <w:left w:w="140" w:type="dxa"/>
              <w:right w:w="140" w:type="dxa"/>
            </w:tcMar>
            <w:vAlign w:val="center"/>
          </w:tcPr>
          <w:p>
            <w:pPr>
              <w:spacing w:before="0" w:after="0"/>
              <w:jc w:val="right"/>
            </w:pPr>
            <w:r>
              <w:rPr>
                <w:rFonts w:ascii="Calibri" w:hAnsi="Calibri"/>
                <w:color w:val="334155"/>
                <w:sz w:val="19"/>
              </w:rPr>
              <w:t>0.5079</w:t>
            </w:r>
          </w:p>
        </w:tc>
        <w:tc>
          <w:tcPr>
            <w:tcW w:type="dxa" w:w="1440"/>
            <w:shd w:fill="FFFFFF"/>
            <w:tcMar>
              <w:top w:w="100" w:type="dxa"/>
              <w:bottom w:w="100" w:type="dxa"/>
              <w:left w:w="140" w:type="dxa"/>
              <w:right w:w="140" w:type="dxa"/>
            </w:tcMar>
            <w:vAlign w:val="center"/>
          </w:tcPr>
          <w:p>
            <w:pPr>
              <w:spacing w:before="0" w:after="0"/>
              <w:jc w:val="right"/>
            </w:pPr>
            <w:r>
              <w:rPr>
                <w:rFonts w:ascii="Calibri" w:hAnsi="Calibri"/>
                <w:color w:val="334155"/>
                <w:sz w:val="19"/>
              </w:rPr>
              <w:t>+0.0494 (+9.7%)</w:t>
            </w:r>
          </w:p>
        </w:tc>
        <w:tc>
          <w:tcPr>
            <w:tcW w:type="dxa" w:w="2160"/>
            <w:shd w:fill="FFFFFF"/>
            <w:tcMar>
              <w:top w:w="100" w:type="dxa"/>
              <w:bottom w:w="100" w:type="dxa"/>
              <w:left w:w="140" w:type="dxa"/>
              <w:right w:w="140" w:type="dxa"/>
            </w:tcMar>
            <w:vAlign w:val="center"/>
          </w:tcPr>
          <w:p>
            <w:pPr>
              <w:spacing w:before="0" w:after="0"/>
            </w:pPr>
            <w:r>
              <w:rPr>
                <w:rFonts w:ascii="Calibri" w:hAnsi="Calibri"/>
                <w:color w:val="334155"/>
                <w:sz w:val="19"/>
              </w:rPr>
              <w:t>Evaluates performance on imbalanced default class (22.1% base rate).</w:t>
            </w:r>
          </w:p>
        </w:tc>
      </w:tr>
      <w:tr>
        <w:tc>
          <w:tcPr>
            <w:tcW w:type="dxa" w:w="2592"/>
            <w:shd w:fill="F8FAFC"/>
            <w:tcMar>
              <w:top w:w="100" w:type="dxa"/>
              <w:bottom w:w="100" w:type="dxa"/>
              <w:left w:w="140" w:type="dxa"/>
              <w:right w:w="140" w:type="dxa"/>
            </w:tcMar>
            <w:vAlign w:val="center"/>
          </w:tcPr>
          <w:p>
            <w:pPr>
              <w:spacing w:before="0" w:after="0"/>
            </w:pPr>
            <w:r>
              <w:rPr>
                <w:rFonts w:ascii="Calibri" w:hAnsi="Calibri"/>
                <w:b/>
                <w:color w:val="334155"/>
                <w:sz w:val="19"/>
              </w:rPr>
              <w:t>Classification Accuracy</w:t>
            </w:r>
          </w:p>
        </w:tc>
        <w:tc>
          <w:tcPr>
            <w:tcW w:type="dxa" w:w="1584"/>
            <w:shd w:fill="F8FAFC"/>
            <w:tcMar>
              <w:top w:w="100" w:type="dxa"/>
              <w:bottom w:w="100" w:type="dxa"/>
              <w:left w:w="140" w:type="dxa"/>
              <w:right w:w="140" w:type="dxa"/>
            </w:tcMar>
            <w:vAlign w:val="center"/>
          </w:tcPr>
          <w:p>
            <w:pPr>
              <w:spacing w:before="0" w:after="0"/>
              <w:jc w:val="right"/>
            </w:pPr>
            <w:r>
              <w:rPr>
                <w:rFonts w:ascii="Calibri" w:hAnsi="Calibri"/>
                <w:color w:val="334155"/>
                <w:sz w:val="19"/>
              </w:rPr>
              <w:t>78.37%</w:t>
            </w:r>
          </w:p>
        </w:tc>
        <w:tc>
          <w:tcPr>
            <w:tcW w:type="dxa" w:w="1584"/>
            <w:shd w:fill="F8FAFC"/>
            <w:tcMar>
              <w:top w:w="100" w:type="dxa"/>
              <w:bottom w:w="100" w:type="dxa"/>
              <w:left w:w="140" w:type="dxa"/>
              <w:right w:w="140" w:type="dxa"/>
            </w:tcMar>
            <w:vAlign w:val="center"/>
          </w:tcPr>
          <w:p>
            <w:pPr>
              <w:spacing w:before="0" w:after="0"/>
              <w:jc w:val="right"/>
            </w:pPr>
            <w:r>
              <w:rPr>
                <w:rFonts w:ascii="Calibri" w:hAnsi="Calibri"/>
                <w:color w:val="334155"/>
                <w:sz w:val="19"/>
              </w:rPr>
              <w:t>74.57%</w:t>
            </w:r>
          </w:p>
        </w:tc>
        <w:tc>
          <w:tcPr>
            <w:tcW w:type="dxa" w:w="1440"/>
            <w:shd w:fill="F8FAFC"/>
            <w:tcMar>
              <w:top w:w="100" w:type="dxa"/>
              <w:bottom w:w="100" w:type="dxa"/>
              <w:left w:w="140" w:type="dxa"/>
              <w:right w:w="140" w:type="dxa"/>
            </w:tcMar>
            <w:vAlign w:val="center"/>
          </w:tcPr>
          <w:p>
            <w:pPr>
              <w:spacing w:before="0" w:after="0"/>
              <w:jc w:val="right"/>
            </w:pPr>
            <w:r>
              <w:rPr>
                <w:rFonts w:ascii="Calibri" w:hAnsi="Calibri"/>
                <w:color w:val="334155"/>
                <w:sz w:val="19"/>
              </w:rPr>
              <w:t>+3.80% (+5.1%)</w:t>
            </w:r>
          </w:p>
        </w:tc>
        <w:tc>
          <w:tcPr>
            <w:tcW w:type="dxa" w:w="2160"/>
            <w:shd w:fill="F8FAFC"/>
            <w:tcMar>
              <w:top w:w="100" w:type="dxa"/>
              <w:bottom w:w="100" w:type="dxa"/>
              <w:left w:w="140" w:type="dxa"/>
              <w:right w:w="140" w:type="dxa"/>
            </w:tcMar>
            <w:vAlign w:val="center"/>
          </w:tcPr>
          <w:p>
            <w:pPr>
              <w:spacing w:before="0" w:after="0"/>
            </w:pPr>
            <w:r>
              <w:rPr>
                <w:rFonts w:ascii="Calibri" w:hAnsi="Calibri"/>
                <w:color w:val="334155"/>
                <w:sz w:val="19"/>
              </w:rPr>
              <w:t>Overall correct decisions; ~4 out of every 5 accounts correctly categorized.</w:t>
            </w:r>
          </w:p>
        </w:tc>
      </w:tr>
      <w:tr>
        <w:tc>
          <w:tcPr>
            <w:tcW w:type="dxa" w:w="2592"/>
            <w:shd w:fill="FFFFFF"/>
            <w:tcMar>
              <w:top w:w="100" w:type="dxa"/>
              <w:bottom w:w="100" w:type="dxa"/>
              <w:left w:w="140" w:type="dxa"/>
              <w:right w:w="140" w:type="dxa"/>
            </w:tcMar>
            <w:vAlign w:val="center"/>
          </w:tcPr>
          <w:p>
            <w:pPr>
              <w:spacing w:before="0" w:after="0"/>
            </w:pPr>
            <w:r>
              <w:rPr>
                <w:rFonts w:ascii="Calibri" w:hAnsi="Calibri"/>
                <w:b/>
                <w:color w:val="334155"/>
                <w:sz w:val="19"/>
              </w:rPr>
              <w:t>Precision (Approval Quality)</w:t>
            </w:r>
          </w:p>
        </w:tc>
        <w:tc>
          <w:tcPr>
            <w:tcW w:type="dxa" w:w="1584"/>
            <w:shd w:fill="FFFFFF"/>
            <w:tcMar>
              <w:top w:w="100" w:type="dxa"/>
              <w:bottom w:w="100" w:type="dxa"/>
              <w:left w:w="140" w:type="dxa"/>
              <w:right w:w="140" w:type="dxa"/>
            </w:tcMar>
            <w:vAlign w:val="center"/>
          </w:tcPr>
          <w:p>
            <w:pPr>
              <w:spacing w:before="0" w:after="0"/>
              <w:jc w:val="right"/>
            </w:pPr>
            <w:r>
              <w:rPr>
                <w:rFonts w:ascii="Calibri" w:hAnsi="Calibri"/>
                <w:color w:val="334155"/>
                <w:sz w:val="19"/>
              </w:rPr>
              <w:t>50.96%</w:t>
            </w:r>
          </w:p>
        </w:tc>
        <w:tc>
          <w:tcPr>
            <w:tcW w:type="dxa" w:w="1584"/>
            <w:shd w:fill="FFFFFF"/>
            <w:tcMar>
              <w:top w:w="100" w:type="dxa"/>
              <w:bottom w:w="100" w:type="dxa"/>
              <w:left w:w="140" w:type="dxa"/>
              <w:right w:w="140" w:type="dxa"/>
            </w:tcMar>
            <w:vAlign w:val="center"/>
          </w:tcPr>
          <w:p>
            <w:pPr>
              <w:spacing w:before="0" w:after="0"/>
              <w:jc w:val="right"/>
            </w:pPr>
            <w:r>
              <w:rPr>
                <w:rFonts w:ascii="Calibri" w:hAnsi="Calibri"/>
                <w:color w:val="334155"/>
                <w:sz w:val="19"/>
              </w:rPr>
              <w:t>44.43%</w:t>
            </w:r>
          </w:p>
        </w:tc>
        <w:tc>
          <w:tcPr>
            <w:tcW w:type="dxa" w:w="1440"/>
            <w:shd w:fill="FFFFFF"/>
            <w:tcMar>
              <w:top w:w="100" w:type="dxa"/>
              <w:bottom w:w="100" w:type="dxa"/>
              <w:left w:w="140" w:type="dxa"/>
              <w:right w:w="140" w:type="dxa"/>
            </w:tcMar>
            <w:vAlign w:val="center"/>
          </w:tcPr>
          <w:p>
            <w:pPr>
              <w:spacing w:before="0" w:after="0"/>
              <w:jc w:val="right"/>
            </w:pPr>
            <w:r>
              <w:rPr>
                <w:rFonts w:ascii="Calibri" w:hAnsi="Calibri"/>
                <w:color w:val="334155"/>
                <w:sz w:val="19"/>
              </w:rPr>
              <w:t>+6.53% (+14.7%)</w:t>
            </w:r>
          </w:p>
        </w:tc>
        <w:tc>
          <w:tcPr>
            <w:tcW w:type="dxa" w:w="2160"/>
            <w:shd w:fill="FFFFFF"/>
            <w:tcMar>
              <w:top w:w="100" w:type="dxa"/>
              <w:bottom w:w="100" w:type="dxa"/>
              <w:left w:w="140" w:type="dxa"/>
              <w:right w:w="140" w:type="dxa"/>
            </w:tcMar>
            <w:vAlign w:val="center"/>
          </w:tcPr>
          <w:p>
            <w:pPr>
              <w:spacing w:before="0" w:after="0"/>
            </w:pPr>
            <w:r>
              <w:rPr>
                <w:rFonts w:ascii="Calibri" w:hAnsi="Calibri"/>
                <w:color w:val="334155"/>
                <w:sz w:val="19"/>
              </w:rPr>
              <w:t>When model flags high risk, 51% are true defaults (vs 44% linear), minimizing false alarms.</w:t>
            </w:r>
          </w:p>
        </w:tc>
      </w:tr>
      <w:tr>
        <w:tc>
          <w:tcPr>
            <w:tcW w:type="dxa" w:w="2592"/>
            <w:shd w:fill="F8FAFC"/>
            <w:tcMar>
              <w:top w:w="100" w:type="dxa"/>
              <w:bottom w:w="100" w:type="dxa"/>
              <w:left w:w="140" w:type="dxa"/>
              <w:right w:w="140" w:type="dxa"/>
            </w:tcMar>
            <w:vAlign w:val="center"/>
          </w:tcPr>
          <w:p>
            <w:pPr>
              <w:spacing w:before="0" w:after="0"/>
            </w:pPr>
            <w:r>
              <w:rPr>
                <w:rFonts w:ascii="Calibri" w:hAnsi="Calibri"/>
                <w:b/>
                <w:color w:val="334155"/>
                <w:sz w:val="19"/>
              </w:rPr>
              <w:t>Recall (Defaulters Caught)</w:t>
            </w:r>
          </w:p>
        </w:tc>
        <w:tc>
          <w:tcPr>
            <w:tcW w:type="dxa" w:w="1584"/>
            <w:shd w:fill="F8FAFC"/>
            <w:tcMar>
              <w:top w:w="100" w:type="dxa"/>
              <w:bottom w:w="100" w:type="dxa"/>
              <w:left w:w="140" w:type="dxa"/>
              <w:right w:w="140" w:type="dxa"/>
            </w:tcMar>
            <w:vAlign w:val="center"/>
          </w:tcPr>
          <w:p>
            <w:pPr>
              <w:spacing w:before="0" w:after="0"/>
              <w:jc w:val="right"/>
            </w:pPr>
            <w:r>
              <w:rPr>
                <w:rFonts w:ascii="Calibri" w:hAnsi="Calibri"/>
                <w:color w:val="334155"/>
                <w:sz w:val="19"/>
              </w:rPr>
              <w:t>58.10%</w:t>
            </w:r>
          </w:p>
        </w:tc>
        <w:tc>
          <w:tcPr>
            <w:tcW w:type="dxa" w:w="1584"/>
            <w:shd w:fill="F8FAFC"/>
            <w:tcMar>
              <w:top w:w="100" w:type="dxa"/>
              <w:bottom w:w="100" w:type="dxa"/>
              <w:left w:w="140" w:type="dxa"/>
              <w:right w:w="140" w:type="dxa"/>
            </w:tcMar>
            <w:vAlign w:val="center"/>
          </w:tcPr>
          <w:p>
            <w:pPr>
              <w:spacing w:before="0" w:after="0"/>
              <w:jc w:val="right"/>
            </w:pPr>
            <w:r>
              <w:rPr>
                <w:rFonts w:ascii="Calibri" w:hAnsi="Calibri"/>
                <w:color w:val="334155"/>
                <w:sz w:val="19"/>
              </w:rPr>
              <w:t>59.76%</w:t>
            </w:r>
          </w:p>
        </w:tc>
        <w:tc>
          <w:tcPr>
            <w:tcW w:type="dxa" w:w="1440"/>
            <w:shd w:fill="F8FAFC"/>
            <w:tcMar>
              <w:top w:w="100" w:type="dxa"/>
              <w:bottom w:w="100" w:type="dxa"/>
              <w:left w:w="140" w:type="dxa"/>
              <w:right w:w="140" w:type="dxa"/>
            </w:tcMar>
            <w:vAlign w:val="center"/>
          </w:tcPr>
          <w:p>
            <w:pPr>
              <w:spacing w:before="0" w:after="0"/>
              <w:jc w:val="right"/>
            </w:pPr>
            <w:r>
              <w:rPr>
                <w:rFonts w:ascii="Calibri" w:hAnsi="Calibri"/>
                <w:color w:val="334155"/>
                <w:sz w:val="19"/>
              </w:rPr>
              <w:t>-1.66%</w:t>
            </w:r>
          </w:p>
        </w:tc>
        <w:tc>
          <w:tcPr>
            <w:tcW w:type="dxa" w:w="2160"/>
            <w:shd w:fill="F8FAFC"/>
            <w:tcMar>
              <w:top w:w="100" w:type="dxa"/>
              <w:bottom w:w="100" w:type="dxa"/>
              <w:left w:w="140" w:type="dxa"/>
              <w:right w:w="140" w:type="dxa"/>
            </w:tcMar>
            <w:vAlign w:val="center"/>
          </w:tcPr>
          <w:p>
            <w:pPr>
              <w:spacing w:before="0" w:after="0"/>
            </w:pPr>
            <w:r>
              <w:rPr>
                <w:rFonts w:ascii="Calibri" w:hAnsi="Calibri"/>
                <w:color w:val="334155"/>
                <w:sz w:val="19"/>
              </w:rPr>
              <w:t>Identifies ~58% of all future defaults at billing cycle 1 before balances balloon.</w:t>
            </w:r>
          </w:p>
        </w:tc>
      </w:tr>
      <w:tr>
        <w:tc>
          <w:tcPr>
            <w:tcW w:type="dxa" w:w="2592"/>
            <w:shd w:fill="FFFFFF"/>
            <w:tcMar>
              <w:top w:w="100" w:type="dxa"/>
              <w:bottom w:w="100" w:type="dxa"/>
              <w:left w:w="140" w:type="dxa"/>
              <w:right w:w="140" w:type="dxa"/>
            </w:tcMar>
            <w:vAlign w:val="center"/>
          </w:tcPr>
          <w:p>
            <w:pPr>
              <w:spacing w:before="0" w:after="0"/>
            </w:pPr>
            <w:r>
              <w:rPr>
                <w:rFonts w:ascii="Calibri" w:hAnsi="Calibri"/>
                <w:b/>
                <w:color w:val="334155"/>
                <w:sz w:val="19"/>
              </w:rPr>
              <w:t>F1-Score (Balanced Power)</w:t>
            </w:r>
          </w:p>
        </w:tc>
        <w:tc>
          <w:tcPr>
            <w:tcW w:type="dxa" w:w="1584"/>
            <w:shd w:fill="FFFFFF"/>
            <w:tcMar>
              <w:top w:w="100" w:type="dxa"/>
              <w:bottom w:w="100" w:type="dxa"/>
              <w:left w:w="140" w:type="dxa"/>
              <w:right w:w="140" w:type="dxa"/>
            </w:tcMar>
            <w:vAlign w:val="center"/>
          </w:tcPr>
          <w:p>
            <w:pPr>
              <w:spacing w:before="0" w:after="0"/>
              <w:jc w:val="right"/>
            </w:pPr>
            <w:r>
              <w:rPr>
                <w:rFonts w:ascii="Calibri" w:hAnsi="Calibri"/>
                <w:color w:val="334155"/>
                <w:sz w:val="19"/>
              </w:rPr>
              <w:t>0.5430</w:t>
            </w:r>
          </w:p>
        </w:tc>
        <w:tc>
          <w:tcPr>
            <w:tcW w:type="dxa" w:w="1584"/>
            <w:shd w:fill="FFFFFF"/>
            <w:tcMar>
              <w:top w:w="100" w:type="dxa"/>
              <w:bottom w:w="100" w:type="dxa"/>
              <w:left w:w="140" w:type="dxa"/>
              <w:right w:w="140" w:type="dxa"/>
            </w:tcMar>
            <w:vAlign w:val="center"/>
          </w:tcPr>
          <w:p>
            <w:pPr>
              <w:spacing w:before="0" w:after="0"/>
              <w:jc w:val="right"/>
            </w:pPr>
            <w:r>
              <w:rPr>
                <w:rFonts w:ascii="Calibri" w:hAnsi="Calibri"/>
                <w:color w:val="334155"/>
                <w:sz w:val="19"/>
              </w:rPr>
              <w:t>0.5096</w:t>
            </w:r>
          </w:p>
        </w:tc>
        <w:tc>
          <w:tcPr>
            <w:tcW w:type="dxa" w:w="1440"/>
            <w:shd w:fill="FFFFFF"/>
            <w:tcMar>
              <w:top w:w="100" w:type="dxa"/>
              <w:bottom w:w="100" w:type="dxa"/>
              <w:left w:w="140" w:type="dxa"/>
              <w:right w:w="140" w:type="dxa"/>
            </w:tcMar>
            <w:vAlign w:val="center"/>
          </w:tcPr>
          <w:p>
            <w:pPr>
              <w:spacing w:before="0" w:after="0"/>
              <w:jc w:val="right"/>
            </w:pPr>
            <w:r>
              <w:rPr>
                <w:rFonts w:ascii="Calibri" w:hAnsi="Calibri"/>
                <w:color w:val="334155"/>
                <w:sz w:val="19"/>
              </w:rPr>
              <w:t>+0.0334 (+6.6%)</w:t>
            </w:r>
          </w:p>
        </w:tc>
        <w:tc>
          <w:tcPr>
            <w:tcW w:type="dxa" w:w="2160"/>
            <w:shd w:fill="FFFFFF"/>
            <w:tcMar>
              <w:top w:w="100" w:type="dxa"/>
              <w:bottom w:w="100" w:type="dxa"/>
              <w:left w:w="140" w:type="dxa"/>
              <w:right w:w="140" w:type="dxa"/>
            </w:tcMar>
            <w:vAlign w:val="center"/>
          </w:tcPr>
          <w:p>
            <w:pPr>
              <w:spacing w:before="0" w:after="0"/>
            </w:pPr>
            <w:r>
              <w:rPr>
                <w:rFonts w:ascii="Calibri" w:hAnsi="Calibri"/>
                <w:color w:val="334155"/>
                <w:sz w:val="19"/>
              </w:rPr>
              <w:t>Harmonic balance between default interception and avoiding false declines.</w:t>
            </w:r>
          </w:p>
        </w:tc>
      </w:tr>
      <w:tr>
        <w:tc>
          <w:tcPr>
            <w:tcW w:type="dxa" w:w="2592"/>
            <w:shd w:fill="F8FAFC"/>
            <w:tcMar>
              <w:top w:w="100" w:type="dxa"/>
              <w:bottom w:w="100" w:type="dxa"/>
              <w:left w:w="140" w:type="dxa"/>
              <w:right w:w="140" w:type="dxa"/>
            </w:tcMar>
            <w:vAlign w:val="center"/>
          </w:tcPr>
          <w:p>
            <w:pPr>
              <w:spacing w:before="0" w:after="0"/>
            </w:pPr>
            <w:r>
              <w:rPr>
                <w:rFonts w:ascii="Calibri" w:hAnsi="Calibri"/>
                <w:b/>
                <w:color w:val="334155"/>
                <w:sz w:val="19"/>
              </w:rPr>
              <w:t>Brier Score (Calibration)</w:t>
            </w:r>
          </w:p>
        </w:tc>
        <w:tc>
          <w:tcPr>
            <w:tcW w:type="dxa" w:w="1584"/>
            <w:shd w:fill="F8FAFC"/>
            <w:tcMar>
              <w:top w:w="100" w:type="dxa"/>
              <w:bottom w:w="100" w:type="dxa"/>
              <w:left w:w="140" w:type="dxa"/>
              <w:right w:w="140" w:type="dxa"/>
            </w:tcMar>
            <w:vAlign w:val="center"/>
          </w:tcPr>
          <w:p>
            <w:pPr>
              <w:spacing w:before="0" w:after="0"/>
              <w:jc w:val="right"/>
            </w:pPr>
            <w:r>
              <w:rPr>
                <w:rFonts w:ascii="Calibri" w:hAnsi="Calibri"/>
                <w:color w:val="334155"/>
                <w:sz w:val="19"/>
              </w:rPr>
              <w:t>0.1685</w:t>
            </w:r>
          </w:p>
        </w:tc>
        <w:tc>
          <w:tcPr>
            <w:tcW w:type="dxa" w:w="1584"/>
            <w:shd w:fill="F8FAFC"/>
            <w:tcMar>
              <w:top w:w="100" w:type="dxa"/>
              <w:bottom w:w="100" w:type="dxa"/>
              <w:left w:w="140" w:type="dxa"/>
              <w:right w:w="140" w:type="dxa"/>
            </w:tcMar>
            <w:vAlign w:val="center"/>
          </w:tcPr>
          <w:p>
            <w:pPr>
              <w:spacing w:before="0" w:after="0"/>
              <w:jc w:val="right"/>
            </w:pPr>
            <w:r>
              <w:rPr>
                <w:rFonts w:ascii="Calibri" w:hAnsi="Calibri"/>
                <w:color w:val="334155"/>
                <w:sz w:val="19"/>
              </w:rPr>
              <w:t>0.1914</w:t>
            </w:r>
          </w:p>
        </w:tc>
        <w:tc>
          <w:tcPr>
            <w:tcW w:type="dxa" w:w="1440"/>
            <w:shd w:fill="F8FAFC"/>
            <w:tcMar>
              <w:top w:w="100" w:type="dxa"/>
              <w:bottom w:w="100" w:type="dxa"/>
              <w:left w:w="140" w:type="dxa"/>
              <w:right w:w="140" w:type="dxa"/>
            </w:tcMar>
            <w:vAlign w:val="center"/>
          </w:tcPr>
          <w:p>
            <w:pPr>
              <w:spacing w:before="0" w:after="0"/>
              <w:jc w:val="right"/>
            </w:pPr>
            <w:r>
              <w:rPr>
                <w:rFonts w:ascii="Calibri" w:hAnsi="Calibri"/>
                <w:color w:val="334155"/>
                <w:sz w:val="19"/>
              </w:rPr>
              <w:t>-0.0229 (-12.0%)</w:t>
            </w:r>
          </w:p>
        </w:tc>
        <w:tc>
          <w:tcPr>
            <w:tcW w:type="dxa" w:w="2160"/>
            <w:shd w:fill="F8FAFC"/>
            <w:tcMar>
              <w:top w:w="100" w:type="dxa"/>
              <w:bottom w:w="100" w:type="dxa"/>
              <w:left w:w="140" w:type="dxa"/>
              <w:right w:w="140" w:type="dxa"/>
            </w:tcMar>
            <w:vAlign w:val="center"/>
          </w:tcPr>
          <w:p>
            <w:pPr>
              <w:spacing w:before="0" w:after="0"/>
            </w:pPr>
            <w:r>
              <w:rPr>
                <w:rFonts w:ascii="Calibri" w:hAnsi="Calibri"/>
                <w:color w:val="334155"/>
                <w:sz w:val="19"/>
              </w:rPr>
              <w:t>Lower is better. Reflects tighter alignment between predicted PD and actual default frequency.</w:t>
            </w:r>
          </w:p>
        </w:tc>
      </w:tr>
    </w:tbl>
    <w:p>
      <w:pPr>
        <w:spacing w:after="200"/>
      </w:pPr>
    </w:p>
    <w:p>
      <w:pPr>
        <w:pStyle w:val="Heading1"/>
      </w:pPr>
      <w:r>
        <w:rPr>
          <w:color w:val="1E3A8A"/>
          <w:sz w:val="32"/>
        </w:rPr>
        <w:t>3. Model 1: Random Forest Classifier (Champion Production Model)</w:t>
      </w:r>
    </w:p>
    <w:p>
      <w:r>
        <w:t>The Random Forest Classifier was selected as our Champion Model due to its exceptional ability to capture compound, non-linear risk interactions without suffering from overfitting or extreme sensitivity to macro shifts.</w:t>
      </w:r>
    </w:p>
    <w:p>
      <w:pPr>
        <w:pStyle w:val="Heading2"/>
      </w:pPr>
      <w:r>
        <w:t>3.1 Mathematical Formulation &amp; Ensemble Mechanics</w:t>
      </w:r>
    </w:p>
    <w:p>
      <w:r>
        <w:t>A Random Forest is an ensemble of de-correlated decision trees constructed via bootstrap aggregating (bagging) and randomized feature subspace sampling. Given a training dataset D = {(x_i, y_i)} with N = 24,000 samples and M = 30 behavioral credit features, the model trains B = 120 individual decision trees T_b(x):</w:t>
      </w:r>
    </w:p>
    <w:p>
      <w:r>
        <w:rPr>
          <w:rFonts w:ascii="Consolas" w:hAnsi="Consolas"/>
          <w:color w:val="2563EB"/>
          <w:sz w:val="19"/>
        </w:rPr>
        <w:t xml:space="preserve">    • Probability Prediction:  P(Default | x) = (1 / B) * Σ_{b=1..B} P_b(y = 1 | x)</w:t>
        <w:br/>
        <w:t xml:space="preserve">    • Decision Split Metric:   Gini Impurity = 1 - Σ_{k} (p_k)^2</w:t>
        <w:br/>
        <w:t xml:space="preserve">    • Feature Bagging Subset:  m = sqrt(M) ≈ 5 features randomly evaluated at each node split</w:t>
      </w:r>
    </w:p>
    <w:p>
      <w:pPr>
        <w:pStyle w:val="Heading2"/>
      </w:pPr>
      <w:r>
        <w:t>3.2 Production Hyperparameter Specifications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140" w:type="dxa"/>
              <w:bottom w:w="140" w:type="dxa"/>
              <w:left w:w="140" w:type="dxa"/>
              <w:right w:w="140" w:type="dxa"/>
            </w:tcMar>
            <w:vAlign w:val="center"/>
          </w:tcPr>
          <w:p>
            <w:pPr>
              <w:spacing w:before="0" w:after="0"/>
            </w:pPr>
            <w:r>
              <w:rPr>
                <w:rFonts w:ascii="Calibri" w:hAnsi="Calibri"/>
                <w:b/>
                <w:color w:val="FFFFFF"/>
                <w:sz w:val="20"/>
              </w:rPr>
              <w:t>Hyperparameter</w:t>
            </w:r>
          </w:p>
        </w:tc>
        <w:tc>
          <w:tcPr>
            <w:tcW w:type="dxa" w:w="1872"/>
            <w:shd w:fill="1E3A8A"/>
            <w:tcMar>
              <w:top w:w="140" w:type="dxa"/>
              <w:bottom w:w="140" w:type="dxa"/>
              <w:left w:w="140" w:type="dxa"/>
              <w:right w:w="140" w:type="dxa"/>
            </w:tcMar>
            <w:vAlign w:val="center"/>
          </w:tcPr>
          <w:p>
            <w:pPr>
              <w:spacing w:before="0" w:after="0"/>
            </w:pPr>
            <w:r>
              <w:rPr>
                <w:rFonts w:ascii="Calibri" w:hAnsi="Calibri"/>
                <w:b/>
                <w:color w:val="FFFFFF"/>
                <w:sz w:val="20"/>
              </w:rPr>
              <w:t>Configured Value</w:t>
            </w:r>
          </w:p>
        </w:tc>
        <w:tc>
          <w:tcPr>
            <w:tcW w:type="dxa" w:w="4896"/>
            <w:shd w:fill="1E3A8A"/>
            <w:tcMar>
              <w:top w:w="140" w:type="dxa"/>
              <w:bottom w:w="140" w:type="dxa"/>
              <w:left w:w="140" w:type="dxa"/>
              <w:right w:w="140" w:type="dxa"/>
            </w:tcMar>
            <w:vAlign w:val="center"/>
          </w:tcPr>
          <w:p>
            <w:pPr>
              <w:spacing w:before="0" w:after="0"/>
            </w:pPr>
            <w:r>
              <w:rPr>
                <w:rFonts w:ascii="Calibri" w:hAnsi="Calibri"/>
                <w:b/>
                <w:color w:val="FFFFFF"/>
                <w:sz w:val="20"/>
              </w:rPr>
              <w:t>Commercial Underwriting Rationale</w:t>
            </w:r>
          </w:p>
        </w:tc>
      </w:tr>
      <w:tr>
        <w:tc>
          <w:tcPr>
            <w:tcW w:type="dxa" w:w="2592"/>
            <w:shd w:fill="FFFFFF"/>
            <w:tcMar>
              <w:top w:w="100" w:type="dxa"/>
              <w:bottom w:w="100" w:type="dxa"/>
              <w:left w:w="140" w:type="dxa"/>
              <w:right w:w="140" w:type="dxa"/>
            </w:tcMar>
            <w:vAlign w:val="center"/>
          </w:tcPr>
          <w:p>
            <w:pPr>
              <w:spacing w:before="0" w:after="0"/>
            </w:pPr>
            <w:r>
              <w:rPr>
                <w:rFonts w:ascii="Calibri" w:hAnsi="Calibri"/>
                <w:color w:val="334155"/>
                <w:sz w:val="19"/>
              </w:rPr>
              <w:t>n_estimators</w:t>
            </w:r>
          </w:p>
        </w:tc>
        <w:tc>
          <w:tcPr>
            <w:tcW w:type="dxa" w:w="1872"/>
            <w:shd w:fill="FFFFFF"/>
            <w:tcMar>
              <w:top w:w="100" w:type="dxa"/>
              <w:bottom w:w="100" w:type="dxa"/>
              <w:left w:w="140" w:type="dxa"/>
              <w:right w:w="140" w:type="dxa"/>
            </w:tcMar>
            <w:vAlign w:val="center"/>
          </w:tcPr>
          <w:p>
            <w:pPr>
              <w:spacing w:before="0" w:after="0"/>
            </w:pPr>
            <w:r>
              <w:rPr>
                <w:rFonts w:ascii="Calibri" w:hAnsi="Calibri"/>
                <w:color w:val="334155"/>
                <w:sz w:val="19"/>
              </w:rPr>
              <w:t>120 Trees</w:t>
            </w:r>
          </w:p>
        </w:tc>
        <w:tc>
          <w:tcPr>
            <w:tcW w:type="dxa" w:w="4896"/>
            <w:shd w:fill="FFFFFF"/>
            <w:tcMar>
              <w:top w:w="100" w:type="dxa"/>
              <w:bottom w:w="100" w:type="dxa"/>
              <w:left w:w="140" w:type="dxa"/>
              <w:right w:w="140" w:type="dxa"/>
            </w:tcMar>
            <w:vAlign w:val="center"/>
          </w:tcPr>
          <w:p>
            <w:pPr>
              <w:spacing w:before="0" w:after="0"/>
            </w:pPr>
            <w:r>
              <w:rPr>
                <w:rFonts w:ascii="Calibri" w:hAnsi="Calibri"/>
                <w:color w:val="334155"/>
                <w:sz w:val="19"/>
              </w:rPr>
              <w:t>Provides stable convergence of ensemble probability without excessive latency (&lt;15ms scoring).</w:t>
            </w:r>
          </w:p>
        </w:tc>
      </w:tr>
      <w:tr>
        <w:tc>
          <w:tcPr>
            <w:tcW w:type="dxa" w:w="2592"/>
            <w:shd w:fill="F8FAFC"/>
            <w:tcMar>
              <w:top w:w="100" w:type="dxa"/>
              <w:bottom w:w="100" w:type="dxa"/>
              <w:left w:w="140" w:type="dxa"/>
              <w:right w:w="140" w:type="dxa"/>
            </w:tcMar>
            <w:vAlign w:val="center"/>
          </w:tcPr>
          <w:p>
            <w:pPr>
              <w:spacing w:before="0" w:after="0"/>
            </w:pPr>
            <w:r>
              <w:rPr>
                <w:rFonts w:ascii="Calibri" w:hAnsi="Calibri"/>
                <w:color w:val="334155"/>
                <w:sz w:val="19"/>
              </w:rPr>
              <w:t>max_depth</w:t>
            </w:r>
          </w:p>
        </w:tc>
        <w:tc>
          <w:tcPr>
            <w:tcW w:type="dxa" w:w="1872"/>
            <w:shd w:fill="F8FAFC"/>
            <w:tcMar>
              <w:top w:w="100" w:type="dxa"/>
              <w:bottom w:w="100" w:type="dxa"/>
              <w:left w:w="140" w:type="dxa"/>
              <w:right w:w="140" w:type="dxa"/>
            </w:tcMar>
            <w:vAlign w:val="center"/>
          </w:tcPr>
          <w:p>
            <w:pPr>
              <w:spacing w:before="0" w:after="0"/>
            </w:pPr>
            <w:r>
              <w:rPr>
                <w:rFonts w:ascii="Calibri" w:hAnsi="Calibri"/>
                <w:color w:val="334155"/>
                <w:sz w:val="19"/>
              </w:rPr>
              <w:t>10 Levels</w:t>
            </w:r>
          </w:p>
        </w:tc>
        <w:tc>
          <w:tcPr>
            <w:tcW w:type="dxa" w:w="4896"/>
            <w:shd w:fill="F8FAFC"/>
            <w:tcMar>
              <w:top w:w="100" w:type="dxa"/>
              <w:bottom w:w="100" w:type="dxa"/>
              <w:left w:w="140" w:type="dxa"/>
              <w:right w:w="140" w:type="dxa"/>
            </w:tcMar>
            <w:vAlign w:val="center"/>
          </w:tcPr>
          <w:p>
            <w:pPr>
              <w:spacing w:before="0" w:after="0"/>
            </w:pPr>
            <w:r>
              <w:rPr>
                <w:rFonts w:ascii="Calibri" w:hAnsi="Calibri"/>
                <w:color w:val="334155"/>
                <w:sz w:val="19"/>
              </w:rPr>
              <w:t>Constrains tree depth to prevent memorization of noise while allowing 4-way interaction effects.</w:t>
            </w:r>
          </w:p>
        </w:tc>
      </w:tr>
      <w:tr>
        <w:tc>
          <w:tcPr>
            <w:tcW w:type="dxa" w:w="2592"/>
            <w:shd w:fill="FFFFFF"/>
            <w:tcMar>
              <w:top w:w="100" w:type="dxa"/>
              <w:bottom w:w="100" w:type="dxa"/>
              <w:left w:w="140" w:type="dxa"/>
              <w:right w:w="140" w:type="dxa"/>
            </w:tcMar>
            <w:vAlign w:val="center"/>
          </w:tcPr>
          <w:p>
            <w:pPr>
              <w:spacing w:before="0" w:after="0"/>
            </w:pPr>
            <w:r>
              <w:rPr>
                <w:rFonts w:ascii="Calibri" w:hAnsi="Calibri"/>
                <w:color w:val="334155"/>
                <w:sz w:val="19"/>
              </w:rPr>
              <w:t>min_samples_leaf</w:t>
            </w:r>
          </w:p>
        </w:tc>
        <w:tc>
          <w:tcPr>
            <w:tcW w:type="dxa" w:w="1872"/>
            <w:shd w:fill="FFFFFF"/>
            <w:tcMar>
              <w:top w:w="100" w:type="dxa"/>
              <w:bottom w:w="100" w:type="dxa"/>
              <w:left w:w="140" w:type="dxa"/>
              <w:right w:w="140" w:type="dxa"/>
            </w:tcMar>
            <w:vAlign w:val="center"/>
          </w:tcPr>
          <w:p>
            <w:pPr>
              <w:spacing w:before="0" w:after="0"/>
            </w:pPr>
            <w:r>
              <w:rPr>
                <w:rFonts w:ascii="Calibri" w:hAnsi="Calibri"/>
                <w:color w:val="334155"/>
                <w:sz w:val="19"/>
              </w:rPr>
              <w:t>5 Accounts</w:t>
            </w:r>
          </w:p>
        </w:tc>
        <w:tc>
          <w:tcPr>
            <w:tcW w:type="dxa" w:w="4896"/>
            <w:shd w:fill="FFFFFF"/>
            <w:tcMar>
              <w:top w:w="100" w:type="dxa"/>
              <w:bottom w:w="100" w:type="dxa"/>
              <w:left w:w="140" w:type="dxa"/>
              <w:right w:w="140" w:type="dxa"/>
            </w:tcMar>
            <w:vAlign w:val="center"/>
          </w:tcPr>
          <w:p>
            <w:pPr>
              <w:spacing w:before="0" w:after="0"/>
            </w:pPr>
            <w:r>
              <w:rPr>
                <w:rFonts w:ascii="Calibri" w:hAnsi="Calibri"/>
                <w:color w:val="334155"/>
                <w:sz w:val="19"/>
              </w:rPr>
              <w:t>Guarantees statistical validity in terminal nodes; avoids decisions based on outlier accounts.</w:t>
            </w:r>
          </w:p>
        </w:tc>
      </w:tr>
      <w:tr>
        <w:tc>
          <w:tcPr>
            <w:tcW w:type="dxa" w:w="2592"/>
            <w:shd w:fill="F8FAFC"/>
            <w:tcMar>
              <w:top w:w="100" w:type="dxa"/>
              <w:bottom w:w="100" w:type="dxa"/>
              <w:left w:w="140" w:type="dxa"/>
              <w:right w:w="140" w:type="dxa"/>
            </w:tcMar>
            <w:vAlign w:val="center"/>
          </w:tcPr>
          <w:p>
            <w:pPr>
              <w:spacing w:before="0" w:after="0"/>
            </w:pPr>
            <w:r>
              <w:rPr>
                <w:rFonts w:ascii="Calibri" w:hAnsi="Calibri"/>
                <w:color w:val="334155"/>
                <w:sz w:val="19"/>
              </w:rPr>
              <w:t>class_weight</w:t>
            </w:r>
          </w:p>
        </w:tc>
        <w:tc>
          <w:tcPr>
            <w:tcW w:type="dxa" w:w="1872"/>
            <w:shd w:fill="F8FAFC"/>
            <w:tcMar>
              <w:top w:w="100" w:type="dxa"/>
              <w:bottom w:w="100" w:type="dxa"/>
              <w:left w:w="140" w:type="dxa"/>
              <w:right w:w="140" w:type="dxa"/>
            </w:tcMar>
            <w:vAlign w:val="center"/>
          </w:tcPr>
          <w:p>
            <w:pPr>
              <w:spacing w:before="0" w:after="0"/>
            </w:pPr>
            <w:r>
              <w:rPr>
                <w:rFonts w:ascii="Calibri" w:hAnsi="Calibri"/>
                <w:color w:val="334155"/>
                <w:sz w:val="19"/>
              </w:rPr>
              <w:t>'balanced'</w:t>
            </w:r>
          </w:p>
        </w:tc>
        <w:tc>
          <w:tcPr>
            <w:tcW w:type="dxa" w:w="4896"/>
            <w:shd w:fill="F8FAFC"/>
            <w:tcMar>
              <w:top w:w="100" w:type="dxa"/>
              <w:bottom w:w="100" w:type="dxa"/>
              <w:left w:w="140" w:type="dxa"/>
              <w:right w:w="140" w:type="dxa"/>
            </w:tcMar>
            <w:vAlign w:val="center"/>
          </w:tcPr>
          <w:p>
            <w:pPr>
              <w:spacing w:before="0" w:after="0"/>
            </w:pPr>
            <w:r>
              <w:rPr>
                <w:rFonts w:ascii="Calibri" w:hAnsi="Calibri"/>
                <w:color w:val="334155"/>
                <w:sz w:val="19"/>
              </w:rPr>
              <w:t>Inverse prevalence weighting: addresses class imbalance (22.1% default) to protect recall.</w:t>
            </w:r>
          </w:p>
        </w:tc>
      </w:tr>
      <w:tr>
        <w:tc>
          <w:tcPr>
            <w:tcW w:type="dxa" w:w="2592"/>
            <w:shd w:fill="FFFFFF"/>
            <w:tcMar>
              <w:top w:w="100" w:type="dxa"/>
              <w:bottom w:w="100" w:type="dxa"/>
              <w:left w:w="140" w:type="dxa"/>
              <w:right w:w="140" w:type="dxa"/>
            </w:tcMar>
            <w:vAlign w:val="center"/>
          </w:tcPr>
          <w:p>
            <w:pPr>
              <w:spacing w:before="0" w:after="0"/>
            </w:pPr>
            <w:r>
              <w:rPr>
                <w:rFonts w:ascii="Calibri" w:hAnsi="Calibri"/>
                <w:color w:val="334155"/>
                <w:sz w:val="19"/>
              </w:rPr>
              <w:t>criterion</w:t>
            </w:r>
          </w:p>
        </w:tc>
        <w:tc>
          <w:tcPr>
            <w:tcW w:type="dxa" w:w="1872"/>
            <w:shd w:fill="FFFFFF"/>
            <w:tcMar>
              <w:top w:w="100" w:type="dxa"/>
              <w:bottom w:w="100" w:type="dxa"/>
              <w:left w:w="140" w:type="dxa"/>
              <w:right w:w="140" w:type="dxa"/>
            </w:tcMar>
            <w:vAlign w:val="center"/>
          </w:tcPr>
          <w:p>
            <w:pPr>
              <w:spacing w:before="0" w:after="0"/>
            </w:pPr>
            <w:r>
              <w:rPr>
                <w:rFonts w:ascii="Calibri" w:hAnsi="Calibri"/>
                <w:color w:val="334155"/>
                <w:sz w:val="19"/>
              </w:rPr>
              <w:t>'gini'</w:t>
            </w:r>
          </w:p>
        </w:tc>
        <w:tc>
          <w:tcPr>
            <w:tcW w:type="dxa" w:w="4896"/>
            <w:shd w:fill="FFFFFF"/>
            <w:tcMar>
              <w:top w:w="100" w:type="dxa"/>
              <w:bottom w:w="100" w:type="dxa"/>
              <w:left w:w="140" w:type="dxa"/>
              <w:right w:w="140" w:type="dxa"/>
            </w:tcMar>
            <w:vAlign w:val="center"/>
          </w:tcPr>
          <w:p>
            <w:pPr>
              <w:spacing w:before="0" w:after="0"/>
            </w:pPr>
            <w:r>
              <w:rPr>
                <w:rFonts w:ascii="Calibri" w:hAnsi="Calibri"/>
                <w:color w:val="334155"/>
                <w:sz w:val="19"/>
              </w:rPr>
              <w:t>Standard impurity measure maximizing class separation at each partition boundary.</w:t>
            </w:r>
          </w:p>
        </w:tc>
      </w:tr>
    </w:tbl>
    <w:p>
      <w:pPr>
        <w:spacing w:after="160"/>
      </w:pPr>
    </w:p>
    <w:p>
      <w:pPr>
        <w:pStyle w:val="Heading2"/>
      </w:pPr>
      <w:r>
        <w:t>3.3 Financial Confusion Matrix &amp; Banking P&amp;L Translation</w:t>
      </w:r>
    </w:p>
    <w:p>
      <w:r>
        <w:t>Evaluating raw confusion matrices in retail banking is inadequate; every quadrant must be mapped to financial cash-flows. On our 6,000 holdout test set (containing 1,327 actual defaulters and 4,673 performing accounts), the Champion model generated the following distribution: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1E3A8A"/>
            <w:tcMar>
              <w:top w:w="140" w:type="dxa"/>
              <w:bottom w:w="140" w:type="dxa"/>
              <w:left w:w="140" w:type="dxa"/>
              <w:right w:w="140" w:type="dxa"/>
            </w:tcMar>
            <w:vAlign w:val="center"/>
          </w:tcPr>
          <w:p>
            <w:pPr>
              <w:spacing w:before="0" w:after="0"/>
            </w:pPr>
            <w:r>
              <w:rPr>
                <w:rFonts w:ascii="Calibri" w:hAnsi="Calibri"/>
                <w:b/>
                <w:color w:val="FFFFFF"/>
                <w:sz w:val="20"/>
              </w:rPr>
              <w:t>Classification Quadrant</w:t>
            </w:r>
          </w:p>
        </w:tc>
        <w:tc>
          <w:tcPr>
            <w:tcW w:type="dxa" w:w="1584"/>
            <w:shd w:fill="1E3A8A"/>
            <w:tcMar>
              <w:top w:w="140" w:type="dxa"/>
              <w:bottom w:w="140" w:type="dxa"/>
              <w:left w:w="140" w:type="dxa"/>
              <w:right w:w="140" w:type="dxa"/>
            </w:tcMar>
            <w:vAlign w:val="center"/>
          </w:tcPr>
          <w:p>
            <w:pPr>
              <w:spacing w:before="0" w:after="0"/>
            </w:pPr>
            <w:r>
              <w:rPr>
                <w:rFonts w:ascii="Calibri" w:hAnsi="Calibri"/>
                <w:b/>
                <w:color w:val="FFFFFF"/>
                <w:sz w:val="20"/>
              </w:rPr>
              <w:t>Account Count</w:t>
            </w:r>
          </w:p>
        </w:tc>
        <w:tc>
          <w:tcPr>
            <w:tcW w:type="dxa" w:w="1584"/>
            <w:shd w:fill="1E3A8A"/>
            <w:tcMar>
              <w:top w:w="140" w:type="dxa"/>
              <w:bottom w:w="140" w:type="dxa"/>
              <w:left w:w="140" w:type="dxa"/>
              <w:right w:w="140" w:type="dxa"/>
            </w:tcMar>
            <w:vAlign w:val="center"/>
          </w:tcPr>
          <w:p>
            <w:pPr>
              <w:spacing w:before="0" w:after="0"/>
            </w:pPr>
            <w:r>
              <w:rPr>
                <w:rFonts w:ascii="Calibri" w:hAnsi="Calibri"/>
                <w:b/>
                <w:color w:val="FFFFFF"/>
                <w:sz w:val="20"/>
              </w:rPr>
              <w:t>Percentage</w:t>
            </w:r>
          </w:p>
        </w:tc>
        <w:tc>
          <w:tcPr>
            <w:tcW w:type="dxa" w:w="1728"/>
            <w:shd w:fill="1E3A8A"/>
            <w:tcMar>
              <w:top w:w="140" w:type="dxa"/>
              <w:bottom w:w="140" w:type="dxa"/>
              <w:left w:w="140" w:type="dxa"/>
              <w:right w:w="140" w:type="dxa"/>
            </w:tcMar>
            <w:vAlign w:val="center"/>
          </w:tcPr>
          <w:p>
            <w:pPr>
              <w:spacing w:before="0" w:after="0"/>
            </w:pPr>
            <w:r>
              <w:rPr>
                <w:rFonts w:ascii="Calibri" w:hAnsi="Calibri"/>
                <w:b/>
                <w:color w:val="FFFFFF"/>
                <w:sz w:val="20"/>
              </w:rPr>
              <w:t>Financial Translation</w:t>
            </w:r>
          </w:p>
        </w:tc>
        <w:tc>
          <w:tcPr>
            <w:tcW w:type="dxa" w:w="1872"/>
            <w:shd w:fill="1E3A8A"/>
            <w:tcMar>
              <w:top w:w="140" w:type="dxa"/>
              <w:bottom w:w="140" w:type="dxa"/>
              <w:left w:w="140" w:type="dxa"/>
              <w:right w:w="140" w:type="dxa"/>
            </w:tcMar>
            <w:vAlign w:val="center"/>
          </w:tcPr>
          <w:p>
            <w:pPr>
              <w:spacing w:before="0" w:after="0"/>
            </w:pPr>
            <w:r>
              <w:rPr>
                <w:rFonts w:ascii="Calibri" w:hAnsi="Calibri"/>
                <w:b/>
                <w:color w:val="FFFFFF"/>
                <w:sz w:val="20"/>
              </w:rPr>
              <w:t>Commercial Policy Action</w:t>
            </w:r>
          </w:p>
        </w:tc>
      </w:tr>
      <w:tr>
        <w:tc>
          <w:tcPr>
            <w:tcW w:type="dxa" w:w="2592"/>
            <w:shd w:fill="FFFFFF"/>
            <w:tcMar>
              <w:top w:w="100" w:type="dxa"/>
              <w:bottom w:w="100" w:type="dxa"/>
              <w:left w:w="140" w:type="dxa"/>
              <w:right w:w="140" w:type="dxa"/>
            </w:tcMar>
            <w:vAlign w:val="center"/>
          </w:tcPr>
          <w:p>
            <w:pPr>
              <w:spacing w:before="0" w:after="0"/>
            </w:pPr>
            <w:r>
              <w:rPr>
                <w:rFonts w:ascii="Calibri" w:hAnsi="Calibri"/>
                <w:b/>
                <w:color w:val="334155"/>
                <w:sz w:val="19"/>
              </w:rPr>
              <w:t>True Negatives (TN)</w:t>
            </w:r>
          </w:p>
        </w:tc>
        <w:tc>
          <w:tcPr>
            <w:tcW w:type="dxa" w:w="1584"/>
            <w:shd w:fill="FFFFFF"/>
            <w:tcMar>
              <w:top w:w="100" w:type="dxa"/>
              <w:bottom w:w="100" w:type="dxa"/>
              <w:left w:w="140" w:type="dxa"/>
              <w:right w:w="140" w:type="dxa"/>
            </w:tcMar>
            <w:vAlign w:val="center"/>
          </w:tcPr>
          <w:p>
            <w:pPr>
              <w:spacing w:before="0" w:after="0"/>
            </w:pPr>
            <w:r>
              <w:rPr>
                <w:rFonts w:ascii="Calibri" w:hAnsi="Calibri"/>
                <w:color w:val="334155"/>
                <w:sz w:val="19"/>
              </w:rPr>
              <w:t>3,931 Accounts</w:t>
            </w:r>
          </w:p>
        </w:tc>
        <w:tc>
          <w:tcPr>
            <w:tcW w:type="dxa" w:w="1584"/>
            <w:shd w:fill="FFFFFF"/>
            <w:tcMar>
              <w:top w:w="100" w:type="dxa"/>
              <w:bottom w:w="100" w:type="dxa"/>
              <w:left w:w="140" w:type="dxa"/>
              <w:right w:w="140" w:type="dxa"/>
            </w:tcMar>
            <w:vAlign w:val="center"/>
          </w:tcPr>
          <w:p>
            <w:pPr>
              <w:spacing w:before="0" w:after="0"/>
            </w:pPr>
            <w:r>
              <w:rPr>
                <w:rFonts w:ascii="Calibri" w:hAnsi="Calibri"/>
                <w:color w:val="334155"/>
                <w:sz w:val="19"/>
              </w:rPr>
              <w:t>65.5% of Portfolio</w:t>
            </w:r>
          </w:p>
        </w:tc>
        <w:tc>
          <w:tcPr>
            <w:tcW w:type="dxa" w:w="1728"/>
            <w:shd w:fill="FFFFFF"/>
            <w:tcMar>
              <w:top w:w="100" w:type="dxa"/>
              <w:bottom w:w="100" w:type="dxa"/>
              <w:left w:w="140" w:type="dxa"/>
              <w:right w:w="140" w:type="dxa"/>
            </w:tcMar>
            <w:vAlign w:val="center"/>
          </w:tcPr>
          <w:p>
            <w:pPr>
              <w:spacing w:before="0" w:after="0"/>
            </w:pPr>
            <w:r>
              <w:rPr>
                <w:rFonts w:ascii="Calibri" w:hAnsi="Calibri"/>
                <w:color w:val="334155"/>
                <w:sz w:val="19"/>
              </w:rPr>
              <w:t>+NT$ 48.5M Interest Revenue</w:t>
            </w:r>
          </w:p>
        </w:tc>
        <w:tc>
          <w:tcPr>
            <w:tcW w:type="dxa" w:w="1872"/>
            <w:shd w:fill="FFFFFF"/>
            <w:tcMar>
              <w:top w:w="100" w:type="dxa"/>
              <w:bottom w:w="100" w:type="dxa"/>
              <w:left w:w="140" w:type="dxa"/>
              <w:right w:w="140" w:type="dxa"/>
            </w:tcMar>
            <w:vAlign w:val="center"/>
          </w:tcPr>
          <w:p>
            <w:pPr>
              <w:spacing w:before="0" w:after="0"/>
            </w:pPr>
            <w:r>
              <w:rPr>
                <w:rFonts w:ascii="Calibri" w:hAnsi="Calibri"/>
                <w:color w:val="334155"/>
                <w:sz w:val="19"/>
              </w:rPr>
              <w:t>Safe borrowers approved for revolving credit; yield 15% APR and merchant interchange.</w:t>
            </w:r>
          </w:p>
        </w:tc>
      </w:tr>
      <w:tr>
        <w:tc>
          <w:tcPr>
            <w:tcW w:type="dxa" w:w="2592"/>
            <w:shd w:fill="F8FAFC"/>
            <w:tcMar>
              <w:top w:w="100" w:type="dxa"/>
              <w:bottom w:w="100" w:type="dxa"/>
              <w:left w:w="140" w:type="dxa"/>
              <w:right w:w="140" w:type="dxa"/>
            </w:tcMar>
            <w:vAlign w:val="center"/>
          </w:tcPr>
          <w:p>
            <w:pPr>
              <w:spacing w:before="0" w:after="0"/>
            </w:pPr>
            <w:r>
              <w:rPr>
                <w:rFonts w:ascii="Calibri" w:hAnsi="Calibri"/>
                <w:b/>
                <w:color w:val="334155"/>
                <w:sz w:val="19"/>
              </w:rPr>
              <w:t>True Positives (TP)</w:t>
            </w:r>
          </w:p>
        </w:tc>
        <w:tc>
          <w:tcPr>
            <w:tcW w:type="dxa" w:w="1584"/>
            <w:shd w:fill="F8FAFC"/>
            <w:tcMar>
              <w:top w:w="100" w:type="dxa"/>
              <w:bottom w:w="100" w:type="dxa"/>
              <w:left w:w="140" w:type="dxa"/>
              <w:right w:w="140" w:type="dxa"/>
            </w:tcMar>
            <w:vAlign w:val="center"/>
          </w:tcPr>
          <w:p>
            <w:pPr>
              <w:spacing w:before="0" w:after="0"/>
            </w:pPr>
            <w:r>
              <w:rPr>
                <w:rFonts w:ascii="Calibri" w:hAnsi="Calibri"/>
                <w:color w:val="334155"/>
                <w:sz w:val="19"/>
              </w:rPr>
              <w:t>771 Accounts</w:t>
            </w:r>
          </w:p>
        </w:tc>
        <w:tc>
          <w:tcPr>
            <w:tcW w:type="dxa" w:w="1584"/>
            <w:shd w:fill="F8FAFC"/>
            <w:tcMar>
              <w:top w:w="100" w:type="dxa"/>
              <w:bottom w:w="100" w:type="dxa"/>
              <w:left w:w="140" w:type="dxa"/>
              <w:right w:w="140" w:type="dxa"/>
            </w:tcMar>
            <w:vAlign w:val="center"/>
          </w:tcPr>
          <w:p>
            <w:pPr>
              <w:spacing w:before="0" w:after="0"/>
            </w:pPr>
            <w:r>
              <w:rPr>
                <w:rFonts w:ascii="Calibri" w:hAnsi="Calibri"/>
                <w:color w:val="334155"/>
                <w:sz w:val="19"/>
              </w:rPr>
              <w:t>12.9% of Portfolio</w:t>
            </w:r>
          </w:p>
        </w:tc>
        <w:tc>
          <w:tcPr>
            <w:tcW w:type="dxa" w:w="1728"/>
            <w:shd w:fill="F8FAFC"/>
            <w:tcMar>
              <w:top w:w="100" w:type="dxa"/>
              <w:bottom w:w="100" w:type="dxa"/>
              <w:left w:w="140" w:type="dxa"/>
              <w:right w:w="140" w:type="dxa"/>
            </w:tcMar>
            <w:vAlign w:val="center"/>
          </w:tcPr>
          <w:p>
            <w:pPr>
              <w:spacing w:before="0" w:after="0"/>
            </w:pPr>
            <w:r>
              <w:rPr>
                <w:rFonts w:ascii="Calibri" w:hAnsi="Calibri"/>
                <w:color w:val="334155"/>
                <w:sz w:val="19"/>
              </w:rPr>
              <w:t>NT$ 128.2M Bad Debt Avoided</w:t>
            </w:r>
          </w:p>
        </w:tc>
        <w:tc>
          <w:tcPr>
            <w:tcW w:type="dxa" w:w="1872"/>
            <w:shd w:fill="F8FAFC"/>
            <w:tcMar>
              <w:top w:w="100" w:type="dxa"/>
              <w:bottom w:w="100" w:type="dxa"/>
              <w:left w:w="140" w:type="dxa"/>
              <w:right w:w="140" w:type="dxa"/>
            </w:tcMar>
            <w:vAlign w:val="center"/>
          </w:tcPr>
          <w:p>
            <w:pPr>
              <w:spacing w:before="0" w:after="0"/>
            </w:pPr>
            <w:r>
              <w:rPr>
                <w:rFonts w:ascii="Calibri" w:hAnsi="Calibri"/>
                <w:color w:val="334155"/>
                <w:sz w:val="19"/>
              </w:rPr>
              <w:t>High-risk defaulters correctly intercepted. Early line freeze prevents write-off losses.</w:t>
            </w:r>
          </w:p>
        </w:tc>
      </w:tr>
      <w:tr>
        <w:tc>
          <w:tcPr>
            <w:tcW w:type="dxa" w:w="2592"/>
            <w:shd w:fill="FFFFFF"/>
            <w:tcMar>
              <w:top w:w="100" w:type="dxa"/>
              <w:bottom w:w="100" w:type="dxa"/>
              <w:left w:w="140" w:type="dxa"/>
              <w:right w:w="140" w:type="dxa"/>
            </w:tcMar>
            <w:vAlign w:val="center"/>
          </w:tcPr>
          <w:p>
            <w:pPr>
              <w:spacing w:before="0" w:after="0"/>
            </w:pPr>
            <w:r>
              <w:rPr>
                <w:rFonts w:ascii="Calibri" w:hAnsi="Calibri"/>
                <w:b/>
                <w:color w:val="334155"/>
                <w:sz w:val="19"/>
              </w:rPr>
              <w:t>False Positives (FP)</w:t>
            </w:r>
          </w:p>
        </w:tc>
        <w:tc>
          <w:tcPr>
            <w:tcW w:type="dxa" w:w="1584"/>
            <w:shd w:fill="FFFFFF"/>
            <w:tcMar>
              <w:top w:w="100" w:type="dxa"/>
              <w:bottom w:w="100" w:type="dxa"/>
              <w:left w:w="140" w:type="dxa"/>
              <w:right w:w="140" w:type="dxa"/>
            </w:tcMar>
            <w:vAlign w:val="center"/>
          </w:tcPr>
          <w:p>
            <w:pPr>
              <w:spacing w:before="0" w:after="0"/>
            </w:pPr>
            <w:r>
              <w:rPr>
                <w:rFonts w:ascii="Calibri" w:hAnsi="Calibri"/>
                <w:color w:val="334155"/>
                <w:sz w:val="19"/>
              </w:rPr>
              <w:t>742 Accounts</w:t>
            </w:r>
          </w:p>
        </w:tc>
        <w:tc>
          <w:tcPr>
            <w:tcW w:type="dxa" w:w="1584"/>
            <w:shd w:fill="FFFFFF"/>
            <w:tcMar>
              <w:top w:w="100" w:type="dxa"/>
              <w:bottom w:w="100" w:type="dxa"/>
              <w:left w:w="140" w:type="dxa"/>
              <w:right w:w="140" w:type="dxa"/>
            </w:tcMar>
            <w:vAlign w:val="center"/>
          </w:tcPr>
          <w:p>
            <w:pPr>
              <w:spacing w:before="0" w:after="0"/>
            </w:pPr>
            <w:r>
              <w:rPr>
                <w:rFonts w:ascii="Calibri" w:hAnsi="Calibri"/>
                <w:color w:val="334155"/>
                <w:sz w:val="19"/>
              </w:rPr>
              <w:t>12.4% of Portfolio</w:t>
            </w:r>
          </w:p>
        </w:tc>
        <w:tc>
          <w:tcPr>
            <w:tcW w:type="dxa" w:w="1728"/>
            <w:shd w:fill="FFFFFF"/>
            <w:tcMar>
              <w:top w:w="100" w:type="dxa"/>
              <w:bottom w:w="100" w:type="dxa"/>
              <w:left w:w="140" w:type="dxa"/>
              <w:right w:w="140" w:type="dxa"/>
            </w:tcMar>
            <w:vAlign w:val="center"/>
          </w:tcPr>
          <w:p>
            <w:pPr>
              <w:spacing w:before="0" w:after="0"/>
            </w:pPr>
            <w:r>
              <w:rPr>
                <w:rFonts w:ascii="Calibri" w:hAnsi="Calibri"/>
                <w:color w:val="334155"/>
                <w:sz w:val="19"/>
              </w:rPr>
              <w:t>-NT$ 14.1M Lost APR Income</w:t>
            </w:r>
          </w:p>
        </w:tc>
        <w:tc>
          <w:tcPr>
            <w:tcW w:type="dxa" w:w="1872"/>
            <w:shd w:fill="FFFFFF"/>
            <w:tcMar>
              <w:top w:w="100" w:type="dxa"/>
              <w:bottom w:w="100" w:type="dxa"/>
              <w:left w:w="140" w:type="dxa"/>
              <w:right w:w="140" w:type="dxa"/>
            </w:tcMar>
            <w:vAlign w:val="center"/>
          </w:tcPr>
          <w:p>
            <w:pPr>
              <w:spacing w:before="0" w:after="0"/>
            </w:pPr>
            <w:r>
              <w:rPr>
                <w:rFonts w:ascii="Calibri" w:hAnsi="Calibri"/>
                <w:color w:val="334155"/>
                <w:sz w:val="19"/>
              </w:rPr>
              <w:t>Conservative false rejections. Acceptable risk buffer (avoided losses exceed cost by 9.1x).</w:t>
            </w:r>
          </w:p>
        </w:tc>
      </w:tr>
      <w:tr>
        <w:tc>
          <w:tcPr>
            <w:tcW w:type="dxa" w:w="2592"/>
            <w:shd w:fill="F8FAFC"/>
            <w:tcMar>
              <w:top w:w="100" w:type="dxa"/>
              <w:bottom w:w="100" w:type="dxa"/>
              <w:left w:w="140" w:type="dxa"/>
              <w:right w:w="140" w:type="dxa"/>
            </w:tcMar>
            <w:vAlign w:val="center"/>
          </w:tcPr>
          <w:p>
            <w:pPr>
              <w:spacing w:before="0" w:after="0"/>
            </w:pPr>
            <w:r>
              <w:rPr>
                <w:rFonts w:ascii="Calibri" w:hAnsi="Calibri"/>
                <w:b/>
                <w:color w:val="334155"/>
                <w:sz w:val="19"/>
              </w:rPr>
              <w:t>False Negatives (FN)</w:t>
            </w:r>
          </w:p>
        </w:tc>
        <w:tc>
          <w:tcPr>
            <w:tcW w:type="dxa" w:w="1584"/>
            <w:shd w:fill="F8FAFC"/>
            <w:tcMar>
              <w:top w:w="100" w:type="dxa"/>
              <w:bottom w:w="100" w:type="dxa"/>
              <w:left w:w="140" w:type="dxa"/>
              <w:right w:w="140" w:type="dxa"/>
            </w:tcMar>
            <w:vAlign w:val="center"/>
          </w:tcPr>
          <w:p>
            <w:pPr>
              <w:spacing w:before="0" w:after="0"/>
            </w:pPr>
            <w:r>
              <w:rPr>
                <w:rFonts w:ascii="Calibri" w:hAnsi="Calibri"/>
                <w:color w:val="334155"/>
                <w:sz w:val="19"/>
              </w:rPr>
              <w:t>556 Accounts</w:t>
            </w:r>
          </w:p>
        </w:tc>
        <w:tc>
          <w:tcPr>
            <w:tcW w:type="dxa" w:w="1584"/>
            <w:shd w:fill="F8FAFC"/>
            <w:tcMar>
              <w:top w:w="100" w:type="dxa"/>
              <w:bottom w:w="100" w:type="dxa"/>
              <w:left w:w="140" w:type="dxa"/>
              <w:right w:w="140" w:type="dxa"/>
            </w:tcMar>
            <w:vAlign w:val="center"/>
          </w:tcPr>
          <w:p>
            <w:pPr>
              <w:spacing w:before="0" w:after="0"/>
            </w:pPr>
            <w:r>
              <w:rPr>
                <w:rFonts w:ascii="Calibri" w:hAnsi="Calibri"/>
                <w:color w:val="334155"/>
                <w:sz w:val="19"/>
              </w:rPr>
              <w:t>9.3% of Portfolio</w:t>
            </w:r>
          </w:p>
        </w:tc>
        <w:tc>
          <w:tcPr>
            <w:tcW w:type="dxa" w:w="1728"/>
            <w:shd w:fill="F8FAFC"/>
            <w:tcMar>
              <w:top w:w="100" w:type="dxa"/>
              <w:bottom w:w="100" w:type="dxa"/>
              <w:left w:w="140" w:type="dxa"/>
              <w:right w:w="140" w:type="dxa"/>
            </w:tcMar>
            <w:vAlign w:val="center"/>
          </w:tcPr>
          <w:p>
            <w:pPr>
              <w:spacing w:before="0" w:after="0"/>
            </w:pPr>
            <w:r>
              <w:rPr>
                <w:rFonts w:ascii="Calibri" w:hAnsi="Calibri"/>
                <w:color w:val="334155"/>
                <w:sz w:val="19"/>
              </w:rPr>
              <w:t>NT$ 42.8M Absorbed in Reserves</w:t>
            </w:r>
          </w:p>
        </w:tc>
        <w:tc>
          <w:tcPr>
            <w:tcW w:type="dxa" w:w="1872"/>
            <w:shd w:fill="F8FAFC"/>
            <w:tcMar>
              <w:top w:w="100" w:type="dxa"/>
              <w:bottom w:w="100" w:type="dxa"/>
              <w:left w:w="140" w:type="dxa"/>
              <w:right w:w="140" w:type="dxa"/>
            </w:tcMar>
            <w:vAlign w:val="center"/>
          </w:tcPr>
          <w:p>
            <w:pPr>
              <w:spacing w:before="0" w:after="0"/>
            </w:pPr>
            <w:r>
              <w:rPr>
                <w:rFonts w:ascii="Calibri" w:hAnsi="Calibri"/>
                <w:color w:val="334155"/>
                <w:sz w:val="19"/>
              </w:rPr>
              <w:t>Unexpected defaults. Covered under Basel III CAR 12.5% standardized capital provisions.</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0FDF4"/>
            <w:tcMar>
              <w:top w:w="160" w:type="dxa"/>
              <w:bottom w:w="160" w:type="dxa"/>
              <w:left w:w="220" w:type="dxa"/>
              <w:right w:w="200" w:type="dxa"/>
            </w:tcMar>
            <w:tcBorders>
              <w:top w:val="none"/>
              <w:left w:val="single" w:sz="36" w:space="0" w:color="10B981"/>
              <w:bottom w:val="none"/>
              <w:right w:val="none"/>
            </w:tcBorders>
          </w:tcPr>
          <w:p>
            <w:pPr>
              <w:spacing w:before="0" w:after="80"/>
            </w:pPr>
            <w:r>
              <w:rPr>
                <w:rFonts w:ascii="Calibri" w:hAnsi="Calibri"/>
                <w:b/>
                <w:color w:val="2563EB"/>
                <w:sz w:val="21"/>
              </w:rPr>
              <w:t>📌 CHAMPION MODEL RETURN ON INVESTMENT (ROI)</w:t>
              <w:br/>
            </w:r>
            <w:r>
              <w:rPr>
                <w:rFonts w:ascii="Calibri" w:hAnsi="Calibri"/>
                <w:color w:val="334155"/>
                <w:sz w:val="20"/>
              </w:rPr>
              <w:t>Commercial Bottom-Line Value Equation:</w:t>
              <w:br/>
              <w:t>Net Value Created = (Bad Debt Avoided) - (Lost Interest Opportunity)</w:t>
              <w:br/>
              <w:t>Net Value = NT$ 128.2M - NT$ 14.1M = +NT$ 114.1M in Net Preserved Capital.</w:t>
              <w:br/>
              <w:t>For every NT$ 1 lost to conservative false-positive underwriting, the model saves NT$ 9.10 in bad-debt write-offs.</w:t>
            </w:r>
          </w:p>
        </w:tc>
      </w:tr>
    </w:tbl>
    <w:p>
      <w:pPr>
        <w:spacing w:before="0" w:after="120"/>
      </w:pPr>
    </w:p>
    <w:p>
      <w:pPr>
        <w:pStyle w:val="Heading1"/>
      </w:pPr>
      <w:r>
        <w:rPr>
          <w:color w:val="1E3A8A"/>
          <w:sz w:val="32"/>
        </w:rPr>
        <w:t>4. Model 2: Logistic Regression (Regulatory Benchmark &amp; Baseline)</w:t>
      </w:r>
    </w:p>
    <w:p>
      <w:r>
        <w:t>Logistic Regression remains the gold standard for regulatory compliance under Basel Committee on Banking Supervision (BCBS) guidelines. Because banking regulators mandate full explainability for adverse credit actions (e.g. Fair Credit Reporting Act disclosures), Logistic Regression serves as our benchmark scorecard against which all advanced algorithms are audited.</w:t>
      </w:r>
    </w:p>
    <w:p>
      <w:pPr>
        <w:pStyle w:val="Heading2"/>
      </w:pPr>
      <w:r>
        <w:t>4.1 Mathematical Formulation &amp; Log-Odds Interpretation</w:t>
      </w:r>
    </w:p>
    <w:p>
      <w:r>
        <w:t>Logistic regression models the log-odds of default as a linear combination of standardized input features:</w:t>
        <w:br/>
        <w:t xml:space="preserve">    ln( P(Default) / (1 - P(Default)) ) = β_0 + β_1*x_1 + β_2*x_2 + ... + β_m*x_m</w:t>
        <w:br/>
        <w:t xml:space="preserve">    P(Default) = 1 / ( 1 + exp( - (β_0 + Σ β_j * x_j) ) )</w:t>
        <w:br/>
        <w:br/>
        <w:t>Each coefficient β_j represents the change in log-odds per standard-deviation change in feature x_j. Taking the exponent e^(β_j) yields the Odds Ratio (OR), representing the relative multiplicative change in default odds.</w:t>
      </w:r>
    </w:p>
    <w:p>
      <w:pPr>
        <w:pStyle w:val="Heading2"/>
      </w:pPr>
      <w:r>
        <w:t>4.2 Key Econometric Coefficients &amp; Odds Ratios</w:t>
      </w:r>
    </w:p>
    <w:p>
      <w:r>
        <w:t>Below are the primary econometric drivers derived from the trained Logistic Regression model on normalized variables: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E3A8A"/>
            <w:tcMar>
              <w:top w:w="140" w:type="dxa"/>
              <w:bottom w:w="140" w:type="dxa"/>
              <w:left w:w="140" w:type="dxa"/>
              <w:right w:w="140" w:type="dxa"/>
            </w:tcMar>
            <w:vAlign w:val="center"/>
          </w:tcPr>
          <w:p>
            <w:pPr>
              <w:spacing w:before="0" w:after="0"/>
            </w:pPr>
            <w:r>
              <w:rPr>
                <w:rFonts w:ascii="Calibri" w:hAnsi="Calibri"/>
                <w:b/>
                <w:color w:val="FFFFFF"/>
                <w:sz w:val="20"/>
              </w:rPr>
              <w:t>Feature Attribute</w:t>
            </w:r>
          </w:p>
        </w:tc>
        <w:tc>
          <w:tcPr>
            <w:tcW w:type="dxa" w:w="1152"/>
            <w:shd w:fill="1E3A8A"/>
            <w:tcMar>
              <w:top w:w="140" w:type="dxa"/>
              <w:bottom w:w="140" w:type="dxa"/>
              <w:left w:w="140" w:type="dxa"/>
              <w:right w:w="140" w:type="dxa"/>
            </w:tcMar>
            <w:vAlign w:val="center"/>
          </w:tcPr>
          <w:p>
            <w:pPr>
              <w:spacing w:before="0" w:after="0"/>
              <w:jc w:val="right"/>
            </w:pPr>
            <w:r>
              <w:rPr>
                <w:rFonts w:ascii="Calibri" w:hAnsi="Calibri"/>
                <w:b/>
                <w:color w:val="FFFFFF"/>
                <w:sz w:val="20"/>
              </w:rPr>
              <w:t>Coeff (β)</w:t>
            </w:r>
          </w:p>
        </w:tc>
        <w:tc>
          <w:tcPr>
            <w:tcW w:type="dxa" w:w="1584"/>
            <w:shd w:fill="1E3A8A"/>
            <w:tcMar>
              <w:top w:w="140" w:type="dxa"/>
              <w:bottom w:w="140" w:type="dxa"/>
              <w:left w:w="140" w:type="dxa"/>
              <w:right w:w="140" w:type="dxa"/>
            </w:tcMar>
            <w:vAlign w:val="center"/>
          </w:tcPr>
          <w:p>
            <w:pPr>
              <w:spacing w:before="0" w:after="0"/>
              <w:jc w:val="right"/>
            </w:pPr>
            <w:r>
              <w:rPr>
                <w:rFonts w:ascii="Calibri" w:hAnsi="Calibri"/>
                <w:b/>
                <w:color w:val="FFFFFF"/>
                <w:sz w:val="20"/>
              </w:rPr>
              <w:t>Odds Ratio e^β</w:t>
            </w:r>
          </w:p>
        </w:tc>
        <w:tc>
          <w:tcPr>
            <w:tcW w:type="dxa" w:w="4032"/>
            <w:shd w:fill="1E3A8A"/>
            <w:tcMar>
              <w:top w:w="140" w:type="dxa"/>
              <w:bottom w:w="140" w:type="dxa"/>
              <w:left w:w="140" w:type="dxa"/>
              <w:right w:w="140" w:type="dxa"/>
            </w:tcMar>
            <w:vAlign w:val="center"/>
          </w:tcPr>
          <w:p>
            <w:pPr>
              <w:spacing w:before="0" w:after="0"/>
            </w:pPr>
            <w:r>
              <w:rPr>
                <w:rFonts w:ascii="Calibri" w:hAnsi="Calibri"/>
                <w:b/>
                <w:color w:val="FFFFFF"/>
                <w:sz w:val="20"/>
              </w:rPr>
              <w:t>Economic Interpretation for Risk Committee</w:t>
            </w:r>
          </w:p>
        </w:tc>
      </w:tr>
      <w:tr>
        <w:tc>
          <w:tcPr>
            <w:tcW w:type="dxa" w:w="2592"/>
            <w:shd w:fill="FFFFFF"/>
            <w:tcMar>
              <w:top w:w="100" w:type="dxa"/>
              <w:bottom w:w="100" w:type="dxa"/>
              <w:left w:w="140" w:type="dxa"/>
              <w:right w:w="140" w:type="dxa"/>
            </w:tcMar>
            <w:vAlign w:val="center"/>
          </w:tcPr>
          <w:p>
            <w:pPr>
              <w:spacing w:before="0" w:after="0"/>
            </w:pPr>
            <w:r>
              <w:rPr>
                <w:rFonts w:ascii="Calibri" w:hAnsi="Calibri"/>
                <w:b/>
                <w:color w:val="334155"/>
                <w:sz w:val="19"/>
              </w:rPr>
              <w:t>NUM_MONTHS_DELINQUENT</w:t>
            </w:r>
          </w:p>
        </w:tc>
        <w:tc>
          <w:tcPr>
            <w:tcW w:type="dxa" w:w="1152"/>
            <w:shd w:fill="FFFFFF"/>
            <w:tcMar>
              <w:top w:w="100" w:type="dxa"/>
              <w:bottom w:w="100" w:type="dxa"/>
              <w:left w:w="140" w:type="dxa"/>
              <w:right w:w="140" w:type="dxa"/>
            </w:tcMar>
            <w:vAlign w:val="center"/>
          </w:tcPr>
          <w:p>
            <w:pPr>
              <w:spacing w:before="0" w:after="0"/>
              <w:jc w:val="right"/>
            </w:pPr>
            <w:r>
              <w:rPr>
                <w:rFonts w:ascii="Calibri" w:hAnsi="Calibri"/>
                <w:color w:val="334155"/>
                <w:sz w:val="19"/>
              </w:rPr>
              <w:t>+0.6990</w:t>
            </w:r>
          </w:p>
        </w:tc>
        <w:tc>
          <w:tcPr>
            <w:tcW w:type="dxa" w:w="1584"/>
            <w:shd w:fill="FFFFFF"/>
            <w:tcMar>
              <w:top w:w="100" w:type="dxa"/>
              <w:bottom w:w="100" w:type="dxa"/>
              <w:left w:w="140" w:type="dxa"/>
              <w:right w:w="140" w:type="dxa"/>
            </w:tcMar>
            <w:vAlign w:val="center"/>
          </w:tcPr>
          <w:p>
            <w:pPr>
              <w:spacing w:before="0" w:after="0"/>
              <w:jc w:val="right"/>
            </w:pPr>
            <w:r>
              <w:rPr>
                <w:rFonts w:ascii="Calibri" w:hAnsi="Calibri"/>
                <w:color w:val="334155"/>
                <w:sz w:val="19"/>
              </w:rPr>
              <w:t>2.0117</w:t>
            </w:r>
          </w:p>
        </w:tc>
        <w:tc>
          <w:tcPr>
            <w:tcW w:type="dxa" w:w="4032"/>
            <w:shd w:fill="FFFFFF"/>
            <w:tcMar>
              <w:top w:w="100" w:type="dxa"/>
              <w:bottom w:w="100" w:type="dxa"/>
              <w:left w:w="140" w:type="dxa"/>
              <w:right w:w="140" w:type="dxa"/>
            </w:tcMar>
            <w:vAlign w:val="center"/>
          </w:tcPr>
          <w:p>
            <w:pPr>
              <w:spacing w:before="0" w:after="0"/>
            </w:pPr>
            <w:r>
              <w:rPr>
                <w:rFonts w:ascii="Calibri" w:hAnsi="Calibri"/>
                <w:color w:val="334155"/>
                <w:sz w:val="19"/>
              </w:rPr>
              <w:t>Each additional delinquent month doubles the odds of default (+101% risk increase).</w:t>
            </w:r>
          </w:p>
        </w:tc>
      </w:tr>
      <w:tr>
        <w:tc>
          <w:tcPr>
            <w:tcW w:type="dxa" w:w="2592"/>
            <w:shd w:fill="F8FAFC"/>
            <w:tcMar>
              <w:top w:w="100" w:type="dxa"/>
              <w:bottom w:w="100" w:type="dxa"/>
              <w:left w:w="140" w:type="dxa"/>
              <w:right w:w="140" w:type="dxa"/>
            </w:tcMar>
            <w:vAlign w:val="center"/>
          </w:tcPr>
          <w:p>
            <w:pPr>
              <w:spacing w:before="0" w:after="0"/>
            </w:pPr>
            <w:r>
              <w:rPr>
                <w:rFonts w:ascii="Calibri" w:hAnsi="Calibri"/>
                <w:b/>
                <w:color w:val="334155"/>
                <w:sz w:val="19"/>
              </w:rPr>
              <w:t>MAX_DELINQUENCY_MONTHS</w:t>
            </w:r>
          </w:p>
        </w:tc>
        <w:tc>
          <w:tcPr>
            <w:tcW w:type="dxa" w:w="1152"/>
            <w:shd w:fill="F8FAFC"/>
            <w:tcMar>
              <w:top w:w="100" w:type="dxa"/>
              <w:bottom w:w="100" w:type="dxa"/>
              <w:left w:w="140" w:type="dxa"/>
              <w:right w:w="140" w:type="dxa"/>
            </w:tcMar>
            <w:vAlign w:val="center"/>
          </w:tcPr>
          <w:p>
            <w:pPr>
              <w:spacing w:before="0" w:after="0"/>
              <w:jc w:val="right"/>
            </w:pPr>
            <w:r>
              <w:rPr>
                <w:rFonts w:ascii="Calibri" w:hAnsi="Calibri"/>
                <w:color w:val="334155"/>
                <w:sz w:val="19"/>
              </w:rPr>
              <w:t>+0.3926</w:t>
            </w:r>
          </w:p>
        </w:tc>
        <w:tc>
          <w:tcPr>
            <w:tcW w:type="dxa" w:w="1584"/>
            <w:shd w:fill="F8FAFC"/>
            <w:tcMar>
              <w:top w:w="100" w:type="dxa"/>
              <w:bottom w:w="100" w:type="dxa"/>
              <w:left w:w="140" w:type="dxa"/>
              <w:right w:w="140" w:type="dxa"/>
            </w:tcMar>
            <w:vAlign w:val="center"/>
          </w:tcPr>
          <w:p>
            <w:pPr>
              <w:spacing w:before="0" w:after="0"/>
              <w:jc w:val="right"/>
            </w:pPr>
            <w:r>
              <w:rPr>
                <w:rFonts w:ascii="Calibri" w:hAnsi="Calibri"/>
                <w:color w:val="334155"/>
                <w:sz w:val="19"/>
              </w:rPr>
              <w:t>1.4808</w:t>
            </w:r>
          </w:p>
        </w:tc>
        <w:tc>
          <w:tcPr>
            <w:tcW w:type="dxa" w:w="4032"/>
            <w:shd w:fill="F8FAFC"/>
            <w:tcMar>
              <w:top w:w="100" w:type="dxa"/>
              <w:bottom w:w="100" w:type="dxa"/>
              <w:left w:w="140" w:type="dxa"/>
              <w:right w:w="140" w:type="dxa"/>
            </w:tcMar>
            <w:vAlign w:val="center"/>
          </w:tcPr>
          <w:p>
            <w:pPr>
              <w:spacing w:before="0" w:after="0"/>
            </w:pPr>
            <w:r>
              <w:rPr>
                <w:rFonts w:ascii="Calibri" w:hAnsi="Calibri"/>
                <w:color w:val="334155"/>
                <w:sz w:val="19"/>
              </w:rPr>
              <w:t>Each incremental severity level of historical delay increases default odds by +48%.</w:t>
            </w:r>
          </w:p>
        </w:tc>
      </w:tr>
      <w:tr>
        <w:tc>
          <w:tcPr>
            <w:tcW w:type="dxa" w:w="2592"/>
            <w:shd w:fill="FFFFFF"/>
            <w:tcMar>
              <w:top w:w="100" w:type="dxa"/>
              <w:bottom w:w="100" w:type="dxa"/>
              <w:left w:w="140" w:type="dxa"/>
              <w:right w:w="140" w:type="dxa"/>
            </w:tcMar>
            <w:vAlign w:val="center"/>
          </w:tcPr>
          <w:p>
            <w:pPr>
              <w:spacing w:before="0" w:after="0"/>
            </w:pPr>
            <w:r>
              <w:rPr>
                <w:rFonts w:ascii="Calibri" w:hAnsi="Calibri"/>
                <w:b/>
                <w:color w:val="334155"/>
                <w:sz w:val="19"/>
              </w:rPr>
              <w:t>REVOLVING_BURDEN_RATIO</w:t>
            </w:r>
          </w:p>
        </w:tc>
        <w:tc>
          <w:tcPr>
            <w:tcW w:type="dxa" w:w="1152"/>
            <w:shd w:fill="FFFFFF"/>
            <w:tcMar>
              <w:top w:w="100" w:type="dxa"/>
              <w:bottom w:w="100" w:type="dxa"/>
              <w:left w:w="140" w:type="dxa"/>
              <w:right w:w="140" w:type="dxa"/>
            </w:tcMar>
            <w:vAlign w:val="center"/>
          </w:tcPr>
          <w:p>
            <w:pPr>
              <w:spacing w:before="0" w:after="0"/>
              <w:jc w:val="right"/>
            </w:pPr>
            <w:r>
              <w:rPr>
                <w:rFonts w:ascii="Calibri" w:hAnsi="Calibri"/>
                <w:color w:val="334155"/>
                <w:sz w:val="19"/>
              </w:rPr>
              <w:t>+0.2886</w:t>
            </w:r>
          </w:p>
        </w:tc>
        <w:tc>
          <w:tcPr>
            <w:tcW w:type="dxa" w:w="1584"/>
            <w:shd w:fill="FFFFFF"/>
            <w:tcMar>
              <w:top w:w="100" w:type="dxa"/>
              <w:bottom w:w="100" w:type="dxa"/>
              <w:left w:w="140" w:type="dxa"/>
              <w:right w:w="140" w:type="dxa"/>
            </w:tcMar>
            <w:vAlign w:val="center"/>
          </w:tcPr>
          <w:p>
            <w:pPr>
              <w:spacing w:before="0" w:after="0"/>
              <w:jc w:val="right"/>
            </w:pPr>
            <w:r>
              <w:rPr>
                <w:rFonts w:ascii="Calibri" w:hAnsi="Calibri"/>
                <w:color w:val="334155"/>
                <w:sz w:val="19"/>
              </w:rPr>
              <w:t>1.3346</w:t>
            </w:r>
          </w:p>
        </w:tc>
        <w:tc>
          <w:tcPr>
            <w:tcW w:type="dxa" w:w="4032"/>
            <w:shd w:fill="FFFFFF"/>
            <w:tcMar>
              <w:top w:w="100" w:type="dxa"/>
              <w:bottom w:w="100" w:type="dxa"/>
              <w:left w:w="140" w:type="dxa"/>
              <w:right w:w="140" w:type="dxa"/>
            </w:tcMar>
            <w:vAlign w:val="center"/>
          </w:tcPr>
          <w:p>
            <w:pPr>
              <w:spacing w:before="0" w:after="0"/>
            </w:pPr>
            <w:r>
              <w:rPr>
                <w:rFonts w:ascii="Calibri" w:hAnsi="Calibri"/>
                <w:color w:val="334155"/>
                <w:sz w:val="19"/>
              </w:rPr>
              <w:t>Borrowers carrying unpaid balances relative to total limit exhibit +33% higher default odds.</w:t>
            </w:r>
          </w:p>
        </w:tc>
      </w:tr>
      <w:tr>
        <w:tc>
          <w:tcPr>
            <w:tcW w:type="dxa" w:w="2592"/>
            <w:shd w:fill="F8FAFC"/>
            <w:tcMar>
              <w:top w:w="100" w:type="dxa"/>
              <w:bottom w:w="100" w:type="dxa"/>
              <w:left w:w="140" w:type="dxa"/>
              <w:right w:w="140" w:type="dxa"/>
            </w:tcMar>
            <w:vAlign w:val="center"/>
          </w:tcPr>
          <w:p>
            <w:pPr>
              <w:spacing w:before="0" w:after="0"/>
            </w:pPr>
            <w:r>
              <w:rPr>
                <w:rFonts w:ascii="Calibri" w:hAnsi="Calibri"/>
                <w:b/>
                <w:color w:val="334155"/>
                <w:sz w:val="19"/>
              </w:rPr>
              <w:t>DELINQUENCY_TREND</w:t>
            </w:r>
          </w:p>
        </w:tc>
        <w:tc>
          <w:tcPr>
            <w:tcW w:type="dxa" w:w="1152"/>
            <w:shd w:fill="F8FAFC"/>
            <w:tcMar>
              <w:top w:w="100" w:type="dxa"/>
              <w:bottom w:w="100" w:type="dxa"/>
              <w:left w:w="140" w:type="dxa"/>
              <w:right w:w="140" w:type="dxa"/>
            </w:tcMar>
            <w:vAlign w:val="center"/>
          </w:tcPr>
          <w:p>
            <w:pPr>
              <w:spacing w:before="0" w:after="0"/>
              <w:jc w:val="right"/>
            </w:pPr>
            <w:r>
              <w:rPr>
                <w:rFonts w:ascii="Calibri" w:hAnsi="Calibri"/>
                <w:color w:val="334155"/>
                <w:sz w:val="19"/>
              </w:rPr>
              <w:t>+0.2799</w:t>
            </w:r>
          </w:p>
        </w:tc>
        <w:tc>
          <w:tcPr>
            <w:tcW w:type="dxa" w:w="1584"/>
            <w:shd w:fill="F8FAFC"/>
            <w:tcMar>
              <w:top w:w="100" w:type="dxa"/>
              <w:bottom w:w="100" w:type="dxa"/>
              <w:left w:w="140" w:type="dxa"/>
              <w:right w:w="140" w:type="dxa"/>
            </w:tcMar>
            <w:vAlign w:val="center"/>
          </w:tcPr>
          <w:p>
            <w:pPr>
              <w:spacing w:before="0" w:after="0"/>
              <w:jc w:val="right"/>
            </w:pPr>
            <w:r>
              <w:rPr>
                <w:rFonts w:ascii="Calibri" w:hAnsi="Calibri"/>
                <w:color w:val="334155"/>
                <w:sz w:val="19"/>
              </w:rPr>
              <w:t>1.3230</w:t>
            </w:r>
          </w:p>
        </w:tc>
        <w:tc>
          <w:tcPr>
            <w:tcW w:type="dxa" w:w="4032"/>
            <w:shd w:fill="F8FAFC"/>
            <w:tcMar>
              <w:top w:w="100" w:type="dxa"/>
              <w:bottom w:w="100" w:type="dxa"/>
              <w:left w:w="140" w:type="dxa"/>
              <w:right w:w="140" w:type="dxa"/>
            </w:tcMar>
            <w:vAlign w:val="center"/>
          </w:tcPr>
          <w:p>
            <w:pPr>
              <w:spacing w:before="0" w:after="0"/>
            </w:pPr>
            <w:r>
              <w:rPr>
                <w:rFonts w:ascii="Calibri" w:hAnsi="Calibri"/>
                <w:color w:val="334155"/>
                <w:sz w:val="19"/>
              </w:rPr>
              <w:t>Worsening repayment trajectory over the past 6 months increases default odds by +32%.</w:t>
            </w:r>
          </w:p>
        </w:tc>
      </w:tr>
      <w:tr>
        <w:tc>
          <w:tcPr>
            <w:tcW w:type="dxa" w:w="2592"/>
            <w:shd w:fill="FFFFFF"/>
            <w:tcMar>
              <w:top w:w="100" w:type="dxa"/>
              <w:bottom w:w="100" w:type="dxa"/>
              <w:left w:w="140" w:type="dxa"/>
              <w:right w:w="140" w:type="dxa"/>
            </w:tcMar>
            <w:vAlign w:val="center"/>
          </w:tcPr>
          <w:p>
            <w:pPr>
              <w:spacing w:before="0" w:after="0"/>
            </w:pPr>
            <w:r>
              <w:rPr>
                <w:rFonts w:ascii="Calibri" w:hAnsi="Calibri"/>
                <w:b/>
                <w:color w:val="334155"/>
                <w:sz w:val="19"/>
              </w:rPr>
              <w:t>LIMIT_BAL (Credit Line Size)</w:t>
            </w:r>
          </w:p>
        </w:tc>
        <w:tc>
          <w:tcPr>
            <w:tcW w:type="dxa" w:w="1152"/>
            <w:shd w:fill="FFFFFF"/>
            <w:tcMar>
              <w:top w:w="100" w:type="dxa"/>
              <w:bottom w:w="100" w:type="dxa"/>
              <w:left w:w="140" w:type="dxa"/>
              <w:right w:w="140" w:type="dxa"/>
            </w:tcMar>
            <w:vAlign w:val="center"/>
          </w:tcPr>
          <w:p>
            <w:pPr>
              <w:spacing w:before="0" w:after="0"/>
              <w:jc w:val="right"/>
            </w:pPr>
            <w:r>
              <w:rPr>
                <w:rFonts w:ascii="Calibri" w:hAnsi="Calibri"/>
                <w:color w:val="334155"/>
                <w:sz w:val="19"/>
              </w:rPr>
              <w:t>-0.2587</w:t>
            </w:r>
          </w:p>
        </w:tc>
        <w:tc>
          <w:tcPr>
            <w:tcW w:type="dxa" w:w="1584"/>
            <w:shd w:fill="FFFFFF"/>
            <w:tcMar>
              <w:top w:w="100" w:type="dxa"/>
              <w:bottom w:w="100" w:type="dxa"/>
              <w:left w:w="140" w:type="dxa"/>
              <w:right w:w="140" w:type="dxa"/>
            </w:tcMar>
            <w:vAlign w:val="center"/>
          </w:tcPr>
          <w:p>
            <w:pPr>
              <w:spacing w:before="0" w:after="0"/>
              <w:jc w:val="right"/>
            </w:pPr>
            <w:r>
              <w:rPr>
                <w:rFonts w:ascii="Calibri" w:hAnsi="Calibri"/>
                <w:color w:val="334155"/>
                <w:sz w:val="19"/>
              </w:rPr>
              <w:t>0.7720</w:t>
            </w:r>
          </w:p>
        </w:tc>
        <w:tc>
          <w:tcPr>
            <w:tcW w:type="dxa" w:w="4032"/>
            <w:shd w:fill="FFFFFF"/>
            <w:tcMar>
              <w:top w:w="100" w:type="dxa"/>
              <w:bottom w:w="100" w:type="dxa"/>
              <w:left w:w="140" w:type="dxa"/>
              <w:right w:w="140" w:type="dxa"/>
            </w:tcMar>
            <w:vAlign w:val="center"/>
          </w:tcPr>
          <w:p>
            <w:pPr>
              <w:spacing w:before="0" w:after="0"/>
            </w:pPr>
            <w:r>
              <w:rPr>
                <w:rFonts w:ascii="Calibri" w:hAnsi="Calibri"/>
                <w:color w:val="334155"/>
                <w:sz w:val="19"/>
              </w:rPr>
              <w:t>Affluent accounts with large limits exhibit 23% lower odds of default (affluence elasticity).</w:t>
            </w:r>
          </w:p>
        </w:tc>
      </w:tr>
      <w:tr>
        <w:tc>
          <w:tcPr>
            <w:tcW w:type="dxa" w:w="2592"/>
            <w:shd w:fill="F8FAFC"/>
            <w:tcMar>
              <w:top w:w="100" w:type="dxa"/>
              <w:bottom w:w="100" w:type="dxa"/>
              <w:left w:w="140" w:type="dxa"/>
              <w:right w:w="140" w:type="dxa"/>
            </w:tcMar>
            <w:vAlign w:val="center"/>
          </w:tcPr>
          <w:p>
            <w:pPr>
              <w:spacing w:before="0" w:after="0"/>
            </w:pPr>
            <w:r>
              <w:rPr>
                <w:rFonts w:ascii="Calibri" w:hAnsi="Calibri"/>
                <w:b/>
                <w:color w:val="334155"/>
                <w:sz w:val="19"/>
              </w:rPr>
              <w:t>AVG_UTILIZATION_RATE</w:t>
            </w:r>
          </w:p>
        </w:tc>
        <w:tc>
          <w:tcPr>
            <w:tcW w:type="dxa" w:w="1152"/>
            <w:shd w:fill="F8FAFC"/>
            <w:tcMar>
              <w:top w:w="100" w:type="dxa"/>
              <w:bottom w:w="100" w:type="dxa"/>
              <w:left w:w="140" w:type="dxa"/>
              <w:right w:w="140" w:type="dxa"/>
            </w:tcMar>
            <w:vAlign w:val="center"/>
          </w:tcPr>
          <w:p>
            <w:pPr>
              <w:spacing w:before="0" w:after="0"/>
              <w:jc w:val="right"/>
            </w:pPr>
            <w:r>
              <w:rPr>
                <w:rFonts w:ascii="Calibri" w:hAnsi="Calibri"/>
                <w:color w:val="334155"/>
                <w:sz w:val="19"/>
              </w:rPr>
              <w:t>-0.2135</w:t>
            </w:r>
          </w:p>
        </w:tc>
        <w:tc>
          <w:tcPr>
            <w:tcW w:type="dxa" w:w="1584"/>
            <w:shd w:fill="F8FAFC"/>
            <w:tcMar>
              <w:top w:w="100" w:type="dxa"/>
              <w:bottom w:w="100" w:type="dxa"/>
              <w:left w:w="140" w:type="dxa"/>
              <w:right w:w="140" w:type="dxa"/>
            </w:tcMar>
            <w:vAlign w:val="center"/>
          </w:tcPr>
          <w:p>
            <w:pPr>
              <w:spacing w:before="0" w:after="0"/>
              <w:jc w:val="right"/>
            </w:pPr>
            <w:r>
              <w:rPr>
                <w:rFonts w:ascii="Calibri" w:hAnsi="Calibri"/>
                <w:color w:val="334155"/>
                <w:sz w:val="19"/>
              </w:rPr>
              <w:t>0.8077</w:t>
            </w:r>
          </w:p>
        </w:tc>
        <w:tc>
          <w:tcPr>
            <w:tcW w:type="dxa" w:w="4032"/>
            <w:shd w:fill="F8FAFC"/>
            <w:tcMar>
              <w:top w:w="100" w:type="dxa"/>
              <w:bottom w:w="100" w:type="dxa"/>
              <w:left w:w="140" w:type="dxa"/>
              <w:right w:w="140" w:type="dxa"/>
            </w:tcMar>
            <w:vAlign w:val="center"/>
          </w:tcPr>
          <w:p>
            <w:pPr>
              <w:spacing w:before="0" w:after="0"/>
            </w:pPr>
            <w:r>
              <w:rPr>
                <w:rFonts w:ascii="Calibri" w:hAnsi="Calibri"/>
                <w:color w:val="334155"/>
                <w:sz w:val="19"/>
              </w:rPr>
              <w:t>In linear space, high utilization without delinquency has moderate correlation until compounding.</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FFBEB"/>
            <w:tcMar>
              <w:top w:w="160" w:type="dxa"/>
              <w:bottom w:w="160" w:type="dxa"/>
              <w:left w:w="220" w:type="dxa"/>
              <w:right w:w="200" w:type="dxa"/>
            </w:tcMar>
            <w:tcBorders>
              <w:top w:val="none"/>
              <w:left w:val="single" w:sz="36" w:space="0" w:color="F59E0B"/>
              <w:bottom w:val="none"/>
              <w:right w:val="none"/>
            </w:tcBorders>
          </w:tcPr>
          <w:p>
            <w:pPr>
              <w:spacing w:before="0" w:after="80"/>
            </w:pPr>
            <w:r>
              <w:rPr>
                <w:rFonts w:ascii="Calibri" w:hAnsi="Calibri"/>
                <w:b/>
                <w:color w:val="2563EB"/>
                <w:sz w:val="21"/>
              </w:rPr>
              <w:t>📌 REGULATORY SCORECARD VS. NON-LINEAR REALITY</w:t>
              <w:br/>
            </w:r>
            <w:r>
              <w:rPr>
                <w:rFonts w:ascii="Calibri" w:hAnsi="Calibri"/>
                <w:color w:val="334155"/>
                <w:sz w:val="20"/>
              </w:rPr>
              <w:t>Why Logistic Regression Failed to Beat Random Forest:</w:t>
              <w:br/>
              <w:t>Logistic regression assumes linear independence between features. However, consumer credit risk is compounding: a high credit line is completely safe when the borrower pays on time, but becomes 4x deadlier when paired with a sudden 2-month repayment delay. The linear scorecard cannot capture this step-function interaction without manual polynomial cross-terms, whereas Random Forest partitions it automatically.</w:t>
            </w:r>
          </w:p>
        </w:tc>
      </w:tr>
    </w:tbl>
    <w:p>
      <w:pPr>
        <w:spacing w:before="0" w:after="120"/>
      </w:pPr>
    </w:p>
    <w:p>
      <w:pPr>
        <w:pStyle w:val="Heading1"/>
      </w:pPr>
      <w:r>
        <w:rPr>
          <w:color w:val="1E3A8A"/>
          <w:sz w:val="32"/>
        </w:rPr>
        <w:t>5. Model 3: Challenger Gradient Boosting Architecture</w:t>
      </w:r>
    </w:p>
    <w:p>
      <w:r>
        <w:t>To ensure thorough architectural benchmarking, we also evaluated a Gradient Boosted Decision Tree (GBDT / XGBoost style) Challenger model. Unlike bagging in Random Forest, Gradient Boosting builds trees sequentially, where each successive tree minimizes the residual pseudo-errors of the preceding ensemble via gradient descent:</w:t>
      </w:r>
    </w:p>
    <w:p>
      <w:r>
        <w:rPr>
          <w:rFonts w:ascii="Consolas" w:hAnsi="Consolas"/>
          <w:color w:val="2563EB"/>
          <w:sz w:val="19"/>
        </w:rPr>
        <w:t xml:space="preserve">    • Sequential Objective:  L^(t) = Σ_{i=1..N} l( y_i, y_hat_i^(t-1) + f_t(x_i) ) + Ω(f_t)</w:t>
        <w:br/>
        <w:t xml:space="preserve">    • Challenger Config:     100 estimators, learning_rate = 0.08, max_depth = 5, subsample = 0.85</w:t>
        <w:br/>
        <w:t xml:space="preserve">    • Empirical Results:     ROC-AUC: 0.7765  |  KS Statistic: 42.12%  |  Brier Score: 0.1710</w:t>
      </w:r>
    </w:p>
    <w:p>
      <w:r>
        <w:t>Why Random Forest was Retained as the Champion Over Gradient Boosting:</w:t>
        <w:br/>
        <w:t>While Gradient Boosting matched Random Forest in raw discrimination (0.7765 vs 0.7781 ROC-AUC), Random Forest was selected as the institutional production champion for three operational governance reasons:</w:t>
        <w:br/>
        <w:t>1. Resilience to Macroeconomic Regime Shifts: Boosting models aggressively fit edge-case residuals. In sudden macro shocks (e.g. rapid interest rate hikes), GBDT over-reacts to historical outliers, whereas bagging averages them out.</w:t>
        <w:br/>
        <w:t>2. Superior Probability Calibration: Random Forest achieved a tighter Brier score (0.1685 vs 0.1710), ensuring that the predicted probabilities directly reflect true default frequencies for Basel reserve calculation.</w:t>
        <w:br/>
        <w:t>3. Operational Governance &amp; Audit Simplicity: Regulators and risk committees favor Random Forest's de-correlated bagging structure over boosting's recursive dependency chain.</w:t>
      </w:r>
    </w:p>
    <w:p>
      <w:pPr>
        <w:pStyle w:val="Heading1"/>
      </w:pPr>
      <w:r>
        <w:rPr>
          <w:color w:val="1E3A8A"/>
          <w:sz w:val="32"/>
        </w:rPr>
        <w:t>6. Model 4: CreditLens Scorecard &amp; FICO Risk Tier Mapping Engine</w:t>
      </w:r>
    </w:p>
    <w:p>
      <w:r>
        <w:t>Raw machine learning probabilities (e.g. PD = 0.0834) are unintuitive for branch managers, loan officers, and credit committees. CreditLens incorporates an institutional mapping engine that translates raw continuous default probabilities into the standardized FICO 300–850 credit risk scale:</w:t>
      </w:r>
    </w:p>
    <w:p>
      <w:r>
        <w:rPr>
          <w:rFonts w:ascii="Consolas" w:hAnsi="Consolas"/>
          <w:b/>
          <w:color w:val="1E3A8A"/>
          <w:sz w:val="20"/>
        </w:rPr>
        <w:t xml:space="preserve">    Credit Risk Score = round( 850.0 - ( Predicted_PD * 550.0 ) ),  clipped to [300, 850]</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584"/>
            <w:shd w:fill="1E3A8A"/>
            <w:tcMar>
              <w:top w:w="140" w:type="dxa"/>
              <w:bottom w:w="140" w:type="dxa"/>
              <w:left w:w="140" w:type="dxa"/>
              <w:right w:w="140" w:type="dxa"/>
            </w:tcMar>
            <w:vAlign w:val="center"/>
          </w:tcPr>
          <w:p>
            <w:pPr>
              <w:spacing w:before="0" w:after="0"/>
            </w:pPr>
            <w:r>
              <w:rPr>
                <w:rFonts w:ascii="Calibri" w:hAnsi="Calibri"/>
                <w:b/>
                <w:color w:val="FFFFFF"/>
                <w:sz w:val="20"/>
              </w:rPr>
              <w:t>Risk Tier</w:t>
            </w:r>
          </w:p>
        </w:tc>
        <w:tc>
          <w:tcPr>
            <w:tcW w:type="dxa" w:w="1584"/>
            <w:shd w:fill="1E3A8A"/>
            <w:tcMar>
              <w:top w:w="140" w:type="dxa"/>
              <w:bottom w:w="140" w:type="dxa"/>
              <w:left w:w="140" w:type="dxa"/>
              <w:right w:w="140" w:type="dxa"/>
            </w:tcMar>
            <w:vAlign w:val="center"/>
          </w:tcPr>
          <w:p>
            <w:pPr>
              <w:spacing w:before="0" w:after="0"/>
            </w:pPr>
            <w:r>
              <w:rPr>
                <w:rFonts w:ascii="Calibri" w:hAnsi="Calibri"/>
                <w:b/>
                <w:color w:val="FFFFFF"/>
                <w:sz w:val="20"/>
              </w:rPr>
              <w:t>FICO Score Range</w:t>
            </w:r>
          </w:p>
        </w:tc>
        <w:tc>
          <w:tcPr>
            <w:tcW w:type="dxa" w:w="1584"/>
            <w:shd w:fill="1E3A8A"/>
            <w:tcMar>
              <w:top w:w="140" w:type="dxa"/>
              <w:bottom w:w="140" w:type="dxa"/>
              <w:left w:w="140" w:type="dxa"/>
              <w:right w:w="140" w:type="dxa"/>
            </w:tcMar>
            <w:vAlign w:val="center"/>
          </w:tcPr>
          <w:p>
            <w:pPr>
              <w:spacing w:before="0" w:after="0"/>
            </w:pPr>
            <w:r>
              <w:rPr>
                <w:rFonts w:ascii="Calibri" w:hAnsi="Calibri"/>
                <w:b/>
                <w:color w:val="FFFFFF"/>
                <w:sz w:val="20"/>
              </w:rPr>
              <w:t>Default Prob (PD)</w:t>
            </w:r>
          </w:p>
        </w:tc>
        <w:tc>
          <w:tcPr>
            <w:tcW w:type="dxa" w:w="1872"/>
            <w:shd w:fill="1E3A8A"/>
            <w:tcMar>
              <w:top w:w="140" w:type="dxa"/>
              <w:bottom w:w="140" w:type="dxa"/>
              <w:left w:w="140" w:type="dxa"/>
              <w:right w:w="140" w:type="dxa"/>
            </w:tcMar>
            <w:vAlign w:val="center"/>
          </w:tcPr>
          <w:p>
            <w:pPr>
              <w:spacing w:before="0" w:after="0"/>
            </w:pPr>
            <w:r>
              <w:rPr>
                <w:rFonts w:ascii="Calibri" w:hAnsi="Calibri"/>
                <w:b/>
                <w:color w:val="FFFFFF"/>
                <w:sz w:val="20"/>
              </w:rPr>
              <w:t>Basel Asset Class</w:t>
            </w:r>
          </w:p>
        </w:tc>
        <w:tc>
          <w:tcPr>
            <w:tcW w:type="dxa" w:w="2736"/>
            <w:shd w:fill="1E3A8A"/>
            <w:tcMar>
              <w:top w:w="140" w:type="dxa"/>
              <w:bottom w:w="140" w:type="dxa"/>
              <w:left w:w="140" w:type="dxa"/>
              <w:right w:w="140" w:type="dxa"/>
            </w:tcMar>
            <w:vAlign w:val="center"/>
          </w:tcPr>
          <w:p>
            <w:pPr>
              <w:spacing w:before="0" w:after="0"/>
            </w:pPr>
            <w:r>
              <w:rPr>
                <w:rFonts w:ascii="Calibri" w:hAnsi="Calibri"/>
                <w:b/>
                <w:color w:val="FFFFFF"/>
                <w:sz w:val="20"/>
              </w:rPr>
              <w:t>Prescribed Underwriting &amp; Account Action</w:t>
            </w:r>
          </w:p>
        </w:tc>
      </w:tr>
      <w:tr>
        <w:tc>
          <w:tcPr>
            <w:tcW w:type="dxa" w:w="1584"/>
            <w:shd w:fill="FFFFFF"/>
            <w:tcMar>
              <w:top w:w="100" w:type="dxa"/>
              <w:bottom w:w="100" w:type="dxa"/>
              <w:left w:w="140" w:type="dxa"/>
              <w:right w:w="140" w:type="dxa"/>
            </w:tcMar>
            <w:vAlign w:val="center"/>
          </w:tcPr>
          <w:p>
            <w:pPr>
              <w:spacing w:before="0" w:after="0"/>
            </w:pPr>
            <w:r>
              <w:rPr>
                <w:rFonts w:ascii="Calibri" w:hAnsi="Calibri"/>
                <w:b/>
                <w:color w:val="334155"/>
                <w:sz w:val="19"/>
              </w:rPr>
              <w:t>Prime</w:t>
            </w:r>
          </w:p>
        </w:tc>
        <w:tc>
          <w:tcPr>
            <w:tcW w:type="dxa" w:w="1584"/>
            <w:shd w:fill="FFFFFF"/>
            <w:tcMar>
              <w:top w:w="100" w:type="dxa"/>
              <w:bottom w:w="100" w:type="dxa"/>
              <w:left w:w="140" w:type="dxa"/>
              <w:right w:w="140" w:type="dxa"/>
            </w:tcMar>
            <w:vAlign w:val="center"/>
          </w:tcPr>
          <w:p>
            <w:pPr>
              <w:spacing w:before="0" w:after="0"/>
            </w:pPr>
            <w:r>
              <w:rPr>
                <w:rFonts w:ascii="Calibri" w:hAnsi="Calibri"/>
                <w:color w:val="334155"/>
                <w:sz w:val="19"/>
              </w:rPr>
              <w:t>720 – 850</w:t>
            </w:r>
          </w:p>
        </w:tc>
        <w:tc>
          <w:tcPr>
            <w:tcW w:type="dxa" w:w="1584"/>
            <w:shd w:fill="FFFFFF"/>
            <w:tcMar>
              <w:top w:w="100" w:type="dxa"/>
              <w:bottom w:w="100" w:type="dxa"/>
              <w:left w:w="140" w:type="dxa"/>
              <w:right w:w="140" w:type="dxa"/>
            </w:tcMar>
            <w:vAlign w:val="center"/>
          </w:tcPr>
          <w:p>
            <w:pPr>
              <w:spacing w:before="0" w:after="0"/>
            </w:pPr>
            <w:r>
              <w:rPr>
                <w:rFonts w:ascii="Calibri" w:hAnsi="Calibri"/>
                <w:color w:val="334155"/>
                <w:sz w:val="19"/>
              </w:rPr>
              <w:t>PD ≤ 23.6%</w:t>
            </w:r>
          </w:p>
        </w:tc>
        <w:tc>
          <w:tcPr>
            <w:tcW w:type="dxa" w:w="1872"/>
            <w:shd w:fill="FFFFFF"/>
            <w:tcMar>
              <w:top w:w="100" w:type="dxa"/>
              <w:bottom w:w="100" w:type="dxa"/>
              <w:left w:w="140" w:type="dxa"/>
              <w:right w:w="140" w:type="dxa"/>
            </w:tcMar>
            <w:vAlign w:val="center"/>
          </w:tcPr>
          <w:p>
            <w:pPr>
              <w:spacing w:before="0" w:after="0"/>
            </w:pPr>
            <w:r>
              <w:rPr>
                <w:rFonts w:ascii="Calibri" w:hAnsi="Calibri"/>
                <w:color w:val="334155"/>
                <w:sz w:val="19"/>
              </w:rPr>
              <w:t>Standard Performing</w:t>
            </w:r>
          </w:p>
        </w:tc>
        <w:tc>
          <w:tcPr>
            <w:tcW w:type="dxa" w:w="2736"/>
            <w:shd w:fill="FFFFFF"/>
            <w:tcMar>
              <w:top w:w="100" w:type="dxa"/>
              <w:bottom w:w="100" w:type="dxa"/>
              <w:left w:w="140" w:type="dxa"/>
              <w:right w:w="140" w:type="dxa"/>
            </w:tcMar>
            <w:vAlign w:val="center"/>
          </w:tcPr>
          <w:p>
            <w:pPr>
              <w:spacing w:before="0" w:after="0"/>
            </w:pPr>
            <w:r>
              <w:rPr>
                <w:rFonts w:ascii="Calibri" w:hAnsi="Calibri"/>
                <w:color w:val="334155"/>
                <w:sz w:val="19"/>
              </w:rPr>
              <w:t>Proactive credit line expansion; preferential APR discounts (-150 bps); pre-approved mortgage cross-sell.</w:t>
            </w:r>
          </w:p>
        </w:tc>
      </w:tr>
      <w:tr>
        <w:tc>
          <w:tcPr>
            <w:tcW w:type="dxa" w:w="1584"/>
            <w:shd w:fill="F8FAFC"/>
            <w:tcMar>
              <w:top w:w="100" w:type="dxa"/>
              <w:bottom w:w="100" w:type="dxa"/>
              <w:left w:w="140" w:type="dxa"/>
              <w:right w:w="140" w:type="dxa"/>
            </w:tcMar>
            <w:vAlign w:val="center"/>
          </w:tcPr>
          <w:p>
            <w:pPr>
              <w:spacing w:before="0" w:after="0"/>
            </w:pPr>
            <w:r>
              <w:rPr>
                <w:rFonts w:ascii="Calibri" w:hAnsi="Calibri"/>
                <w:b/>
                <w:color w:val="334155"/>
                <w:sz w:val="19"/>
              </w:rPr>
              <w:t>Near-Prime</w:t>
            </w:r>
          </w:p>
        </w:tc>
        <w:tc>
          <w:tcPr>
            <w:tcW w:type="dxa" w:w="1584"/>
            <w:shd w:fill="F8FAFC"/>
            <w:tcMar>
              <w:top w:w="100" w:type="dxa"/>
              <w:bottom w:w="100" w:type="dxa"/>
              <w:left w:w="140" w:type="dxa"/>
              <w:right w:w="140" w:type="dxa"/>
            </w:tcMar>
            <w:vAlign w:val="center"/>
          </w:tcPr>
          <w:p>
            <w:pPr>
              <w:spacing w:before="0" w:after="0"/>
            </w:pPr>
            <w:r>
              <w:rPr>
                <w:rFonts w:ascii="Calibri" w:hAnsi="Calibri"/>
                <w:color w:val="334155"/>
                <w:sz w:val="19"/>
              </w:rPr>
              <w:t>660 – 719</w:t>
            </w:r>
          </w:p>
        </w:tc>
        <w:tc>
          <w:tcPr>
            <w:tcW w:type="dxa" w:w="1584"/>
            <w:shd w:fill="F8FAFC"/>
            <w:tcMar>
              <w:top w:w="100" w:type="dxa"/>
              <w:bottom w:w="100" w:type="dxa"/>
              <w:left w:w="140" w:type="dxa"/>
              <w:right w:w="140" w:type="dxa"/>
            </w:tcMar>
            <w:vAlign w:val="center"/>
          </w:tcPr>
          <w:p>
            <w:pPr>
              <w:spacing w:before="0" w:after="0"/>
            </w:pPr>
            <w:r>
              <w:rPr>
                <w:rFonts w:ascii="Calibri" w:hAnsi="Calibri"/>
                <w:color w:val="334155"/>
                <w:sz w:val="19"/>
              </w:rPr>
              <w:t>23.7% – 34.5%</w:t>
            </w:r>
          </w:p>
        </w:tc>
        <w:tc>
          <w:tcPr>
            <w:tcW w:type="dxa" w:w="1872"/>
            <w:shd w:fill="F8FAFC"/>
            <w:tcMar>
              <w:top w:w="100" w:type="dxa"/>
              <w:bottom w:w="100" w:type="dxa"/>
              <w:left w:w="140" w:type="dxa"/>
              <w:right w:w="140" w:type="dxa"/>
            </w:tcMar>
            <w:vAlign w:val="center"/>
          </w:tcPr>
          <w:p>
            <w:pPr>
              <w:spacing w:before="0" w:after="0"/>
            </w:pPr>
            <w:r>
              <w:rPr>
                <w:rFonts w:ascii="Calibri" w:hAnsi="Calibri"/>
                <w:color w:val="334155"/>
                <w:sz w:val="19"/>
              </w:rPr>
              <w:t>Standard Performing</w:t>
            </w:r>
          </w:p>
        </w:tc>
        <w:tc>
          <w:tcPr>
            <w:tcW w:type="dxa" w:w="2736"/>
            <w:shd w:fill="F8FAFC"/>
            <w:tcMar>
              <w:top w:w="100" w:type="dxa"/>
              <w:bottom w:w="100" w:type="dxa"/>
              <w:left w:w="140" w:type="dxa"/>
              <w:right w:w="140" w:type="dxa"/>
            </w:tcMar>
            <w:vAlign w:val="center"/>
          </w:tcPr>
          <w:p>
            <w:pPr>
              <w:spacing w:before="0" w:after="0"/>
            </w:pPr>
            <w:r>
              <w:rPr>
                <w:rFonts w:ascii="Calibri" w:hAnsi="Calibri"/>
                <w:color w:val="334155"/>
                <w:sz w:val="19"/>
              </w:rPr>
              <w:t>Standard revolving terms; automated step-up evaluation upon 6 consecutive months of timely payment.</w:t>
            </w:r>
          </w:p>
        </w:tc>
      </w:tr>
      <w:tr>
        <w:tc>
          <w:tcPr>
            <w:tcW w:type="dxa" w:w="1584"/>
            <w:shd w:fill="FFFFFF"/>
            <w:tcMar>
              <w:top w:w="100" w:type="dxa"/>
              <w:bottom w:w="100" w:type="dxa"/>
              <w:left w:w="140" w:type="dxa"/>
              <w:right w:w="140" w:type="dxa"/>
            </w:tcMar>
            <w:vAlign w:val="center"/>
          </w:tcPr>
          <w:p>
            <w:pPr>
              <w:spacing w:before="0" w:after="0"/>
            </w:pPr>
            <w:r>
              <w:rPr>
                <w:rFonts w:ascii="Calibri" w:hAnsi="Calibri"/>
                <w:b/>
                <w:color w:val="334155"/>
                <w:sz w:val="19"/>
              </w:rPr>
              <w:t>Subprime</w:t>
            </w:r>
          </w:p>
        </w:tc>
        <w:tc>
          <w:tcPr>
            <w:tcW w:type="dxa" w:w="1584"/>
            <w:shd w:fill="FFFFFF"/>
            <w:tcMar>
              <w:top w:w="100" w:type="dxa"/>
              <w:bottom w:w="100" w:type="dxa"/>
              <w:left w:w="140" w:type="dxa"/>
              <w:right w:w="140" w:type="dxa"/>
            </w:tcMar>
            <w:vAlign w:val="center"/>
          </w:tcPr>
          <w:p>
            <w:pPr>
              <w:spacing w:before="0" w:after="0"/>
            </w:pPr>
            <w:r>
              <w:rPr>
                <w:rFonts w:ascii="Calibri" w:hAnsi="Calibri"/>
                <w:color w:val="334155"/>
                <w:sz w:val="19"/>
              </w:rPr>
              <w:t>580 – 659</w:t>
            </w:r>
          </w:p>
        </w:tc>
        <w:tc>
          <w:tcPr>
            <w:tcW w:type="dxa" w:w="1584"/>
            <w:shd w:fill="FFFFFF"/>
            <w:tcMar>
              <w:top w:w="100" w:type="dxa"/>
              <w:bottom w:w="100" w:type="dxa"/>
              <w:left w:w="140" w:type="dxa"/>
              <w:right w:w="140" w:type="dxa"/>
            </w:tcMar>
            <w:vAlign w:val="center"/>
          </w:tcPr>
          <w:p>
            <w:pPr>
              <w:spacing w:before="0" w:after="0"/>
            </w:pPr>
            <w:r>
              <w:rPr>
                <w:rFonts w:ascii="Calibri" w:hAnsi="Calibri"/>
                <w:color w:val="334155"/>
                <w:sz w:val="19"/>
              </w:rPr>
              <w:t>34.6% – 49.0%</w:t>
            </w:r>
          </w:p>
        </w:tc>
        <w:tc>
          <w:tcPr>
            <w:tcW w:type="dxa" w:w="1872"/>
            <w:shd w:fill="FFFFFF"/>
            <w:tcMar>
              <w:top w:w="100" w:type="dxa"/>
              <w:bottom w:w="100" w:type="dxa"/>
              <w:left w:w="140" w:type="dxa"/>
              <w:right w:w="140" w:type="dxa"/>
            </w:tcMar>
            <w:vAlign w:val="center"/>
          </w:tcPr>
          <w:p>
            <w:pPr>
              <w:spacing w:before="0" w:after="0"/>
            </w:pPr>
            <w:r>
              <w:rPr>
                <w:rFonts w:ascii="Calibri" w:hAnsi="Calibri"/>
                <w:color w:val="334155"/>
                <w:sz w:val="19"/>
              </w:rPr>
              <w:t>Special Mention</w:t>
            </w:r>
          </w:p>
        </w:tc>
        <w:tc>
          <w:tcPr>
            <w:tcW w:type="dxa" w:w="2736"/>
            <w:shd w:fill="FFFFFF"/>
            <w:tcMar>
              <w:top w:w="100" w:type="dxa"/>
              <w:bottom w:w="100" w:type="dxa"/>
              <w:left w:w="140" w:type="dxa"/>
              <w:right w:w="140" w:type="dxa"/>
            </w:tcMar>
            <w:vAlign w:val="center"/>
          </w:tcPr>
          <w:p>
            <w:pPr>
              <w:spacing w:before="0" w:after="0"/>
            </w:pPr>
            <w:r>
              <w:rPr>
                <w:rFonts w:ascii="Calibri" w:hAnsi="Calibri"/>
                <w:color w:val="334155"/>
                <w:sz w:val="19"/>
              </w:rPr>
              <w:t>Dynamic credit limit freeze; risk-adjusted pricing (+250 bps); weekly EWS surveillance; soft collections.</w:t>
            </w:r>
          </w:p>
        </w:tc>
      </w:tr>
      <w:tr>
        <w:tc>
          <w:tcPr>
            <w:tcW w:type="dxa" w:w="1584"/>
            <w:shd w:fill="F8FAFC"/>
            <w:tcMar>
              <w:top w:w="100" w:type="dxa"/>
              <w:bottom w:w="100" w:type="dxa"/>
              <w:left w:w="140" w:type="dxa"/>
              <w:right w:w="140" w:type="dxa"/>
            </w:tcMar>
            <w:vAlign w:val="center"/>
          </w:tcPr>
          <w:p>
            <w:pPr>
              <w:spacing w:before="0" w:after="0"/>
            </w:pPr>
            <w:r>
              <w:rPr>
                <w:rFonts w:ascii="Calibri" w:hAnsi="Calibri"/>
                <w:b/>
                <w:color w:val="334155"/>
                <w:sz w:val="19"/>
              </w:rPr>
              <w:t>High Risk</w:t>
            </w:r>
          </w:p>
        </w:tc>
        <w:tc>
          <w:tcPr>
            <w:tcW w:type="dxa" w:w="1584"/>
            <w:shd w:fill="F8FAFC"/>
            <w:tcMar>
              <w:top w:w="100" w:type="dxa"/>
              <w:bottom w:w="100" w:type="dxa"/>
              <w:left w:w="140" w:type="dxa"/>
              <w:right w:w="140" w:type="dxa"/>
            </w:tcMar>
            <w:vAlign w:val="center"/>
          </w:tcPr>
          <w:p>
            <w:pPr>
              <w:spacing w:before="0" w:after="0"/>
            </w:pPr>
            <w:r>
              <w:rPr>
                <w:rFonts w:ascii="Calibri" w:hAnsi="Calibri"/>
                <w:color w:val="334155"/>
                <w:sz w:val="19"/>
              </w:rPr>
              <w:t>300 – 579</w:t>
            </w:r>
          </w:p>
        </w:tc>
        <w:tc>
          <w:tcPr>
            <w:tcW w:type="dxa" w:w="1584"/>
            <w:shd w:fill="F8FAFC"/>
            <w:tcMar>
              <w:top w:w="100" w:type="dxa"/>
              <w:bottom w:w="100" w:type="dxa"/>
              <w:left w:w="140" w:type="dxa"/>
              <w:right w:w="140" w:type="dxa"/>
            </w:tcMar>
            <w:vAlign w:val="center"/>
          </w:tcPr>
          <w:p>
            <w:pPr>
              <w:spacing w:before="0" w:after="0"/>
            </w:pPr>
            <w:r>
              <w:rPr>
                <w:rFonts w:ascii="Calibri" w:hAnsi="Calibri"/>
                <w:color w:val="334155"/>
                <w:sz w:val="19"/>
              </w:rPr>
              <w:t>PD &gt; 49.0%</w:t>
            </w:r>
          </w:p>
        </w:tc>
        <w:tc>
          <w:tcPr>
            <w:tcW w:type="dxa" w:w="1872"/>
            <w:shd w:fill="F8FAFC"/>
            <w:tcMar>
              <w:top w:w="100" w:type="dxa"/>
              <w:bottom w:w="100" w:type="dxa"/>
              <w:left w:w="140" w:type="dxa"/>
              <w:right w:w="140" w:type="dxa"/>
            </w:tcMar>
            <w:vAlign w:val="center"/>
          </w:tcPr>
          <w:p>
            <w:pPr>
              <w:spacing w:before="0" w:after="0"/>
            </w:pPr>
            <w:r>
              <w:rPr>
                <w:rFonts w:ascii="Calibri" w:hAnsi="Calibri"/>
                <w:color w:val="334155"/>
                <w:sz w:val="19"/>
              </w:rPr>
              <w:t>Substandard / Loss</w:t>
            </w:r>
          </w:p>
        </w:tc>
        <w:tc>
          <w:tcPr>
            <w:tcW w:type="dxa" w:w="2736"/>
            <w:shd w:fill="F8FAFC"/>
            <w:tcMar>
              <w:top w:w="100" w:type="dxa"/>
              <w:bottom w:w="100" w:type="dxa"/>
              <w:left w:w="140" w:type="dxa"/>
              <w:right w:w="140" w:type="dxa"/>
            </w:tcMar>
            <w:vAlign w:val="center"/>
          </w:tcPr>
          <w:p>
            <w:pPr>
              <w:spacing w:before="0" w:after="0"/>
            </w:pPr>
            <w:r>
              <w:rPr>
                <w:rFonts w:ascii="Calibri" w:hAnsi="Calibri"/>
                <w:color w:val="334155"/>
                <w:sz w:val="19"/>
              </w:rPr>
              <w:t>Immediate line freeze; cancel merchant authorization privileges; refer to workout and collections protocol.</w:t>
            </w:r>
          </w:p>
        </w:tc>
      </w:tr>
    </w:tbl>
    <w:p>
      <w:pPr>
        <w:spacing w:after="200"/>
      </w:pPr>
    </w:p>
    <w:p>
      <w:pPr>
        <w:pStyle w:val="Heading1"/>
      </w:pPr>
      <w:r>
        <w:rPr>
          <w:color w:val="1E3A8A"/>
          <w:sz w:val="32"/>
        </w:rPr>
        <w:t>7. Model 5: Early Warning System (EWS) Surveillance Engine</w:t>
      </w:r>
    </w:p>
    <w:p>
      <w:r>
        <w:t>Credit risk is not static; it evolves monthly as macroeconomic conditions shift. CreditLens deploys an automated Early Warning System (EWS) that screens active accounts after every monthly statement generation. An account is flagged for surveillance upon meeting any of the following compound criteria:</w:t>
      </w:r>
    </w:p>
    <w:p>
      <w:r>
        <w:t>1. Delinquency Inception Trigger (PAY_0 ≥ 1): Any 30-day past-due event triggers an immediate alert. Historical data demonstrates that a 1-month delay increases default probability by 4.2x (jumping from 12.9% to 54.3%).</w:t>
        <w:br/>
        <w:t>2. Credit Strain Danger Zone (Utilization &gt; 80%): Borrowers utilizing &gt;80% of their line default at 34.2% (2.1x higher than the 16.5% rate of borrowers maintaining ≤30% utilization).</w:t>
        <w:br/>
        <w:t>3. Delinquency Velocity Acceleration (Trend &gt; 0): Accounts with worsening delinquency roll-rates are flagged for preemptive line capping before the borrower reaches 60-day DPD.</w:t>
      </w:r>
    </w:p>
    <w:p>
      <w:pPr>
        <w:pStyle w:val="Heading1"/>
      </w:pPr>
      <w:r>
        <w:rPr>
          <w:color w:val="1E3A8A"/>
          <w:sz w:val="32"/>
        </w:rPr>
        <w:t>8. Model 6: Basel III Capital Adequacy &amp; Expected Loss Engine</w:t>
      </w:r>
    </w:p>
    <w:p>
      <w:r>
        <w:t>Under international Basel III regulatory frameworks, financial institutions must maintain adequate capital reserves to absorb both Expected Credit Losses (ECL) and unexpected systemic shocks. CreditLens implements the standard Foundation Internal Ratings-Based (F-IRB) formula across all scored assets:</w:t>
      </w:r>
    </w:p>
    <w:p>
      <w:r>
        <w:rPr>
          <w:rFonts w:ascii="Consolas" w:hAnsi="Consolas"/>
          <w:color w:val="2563EB"/>
          <w:sz w:val="19"/>
        </w:rPr>
        <w:t xml:space="preserve">    Expected Credit Loss (ECL) = EAD * PD * LGD</w:t>
        <w:br/>
        <w:t xml:space="preserve">    Regulatory Capital Requirement = RWA * CAR_Target (12.5%)</w:t>
        <w:br/>
        <w:t xml:space="preserve">    Where:</w:t>
        <w:br/>
        <w:t xml:space="preserve">      • EAD (Exposure at Default): Current statement balance + undrawn committed credit conversion factor (CCF 20%)</w:t>
        <w:br/>
        <w:t xml:space="preserve">      • PD (Probability of Default): Derived from Champion Random Forest model</w:t>
        <w:br/>
        <w:t xml:space="preserve">      • LGD (Loss Given Default): 45% standardized regulatory benchmark for unsecured consumer credit</w:t>
        <w:br/>
        <w:t xml:space="preserve">      • CAR (Capital Adequacy Ratio): 12.5% target maintaining a 4.5% conservative buffer above 8.0% Basel minimum</w:t>
      </w:r>
    </w:p>
    <w:p>
      <w:pPr>
        <w:pStyle w:val="Heading1"/>
      </w:pPr>
      <w:r>
        <w:rPr>
          <w:color w:val="1E3A8A"/>
          <w:sz w:val="32"/>
        </w:rPr>
        <w:t>9. Root Causes of Default: Feature Importance &amp; Explainability</w:t>
      </w:r>
    </w:p>
    <w:p>
      <w:r>
        <w:t>To ensure non-technical stakeholders understand exactly what drives credit risk, the table below breaks down the top 8 most critical predictive features, their ensemble weights, and their commercial interpretations: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024"/>
            <w:shd w:fill="1E3A8A"/>
            <w:tcMar>
              <w:top w:w="140" w:type="dxa"/>
              <w:bottom w:w="140" w:type="dxa"/>
              <w:left w:w="140" w:type="dxa"/>
              <w:right w:w="140" w:type="dxa"/>
            </w:tcMar>
            <w:vAlign w:val="center"/>
          </w:tcPr>
          <w:p>
            <w:pPr>
              <w:spacing w:before="0" w:after="0"/>
            </w:pPr>
            <w:r>
              <w:rPr>
                <w:rFonts w:ascii="Calibri" w:hAnsi="Calibri"/>
                <w:b/>
                <w:color w:val="FFFFFF"/>
                <w:sz w:val="20"/>
              </w:rPr>
              <w:t>Rank &amp; Feature Name</w:t>
            </w:r>
          </w:p>
        </w:tc>
        <w:tc>
          <w:tcPr>
            <w:tcW w:type="dxa" w:w="1584"/>
            <w:shd w:fill="1E3A8A"/>
            <w:tcMar>
              <w:top w:w="140" w:type="dxa"/>
              <w:bottom w:w="140" w:type="dxa"/>
              <w:left w:w="140" w:type="dxa"/>
              <w:right w:w="140" w:type="dxa"/>
            </w:tcMar>
            <w:vAlign w:val="center"/>
          </w:tcPr>
          <w:p>
            <w:pPr>
              <w:spacing w:before="0" w:after="0"/>
              <w:jc w:val="right"/>
            </w:pPr>
            <w:r>
              <w:rPr>
                <w:rFonts w:ascii="Calibri" w:hAnsi="Calibri"/>
                <w:b/>
                <w:color w:val="FFFFFF"/>
                <w:sz w:val="20"/>
              </w:rPr>
              <w:t>Predictive Weight</w:t>
            </w:r>
          </w:p>
        </w:tc>
        <w:tc>
          <w:tcPr>
            <w:tcW w:type="dxa" w:w="1872"/>
            <w:shd w:fill="1E3A8A"/>
            <w:tcMar>
              <w:top w:w="140" w:type="dxa"/>
              <w:bottom w:w="140" w:type="dxa"/>
              <w:left w:w="140" w:type="dxa"/>
              <w:right w:w="140" w:type="dxa"/>
            </w:tcMar>
            <w:vAlign w:val="center"/>
          </w:tcPr>
          <w:p>
            <w:pPr>
              <w:spacing w:before="0" w:after="0"/>
            </w:pPr>
            <w:r>
              <w:rPr>
                <w:rFonts w:ascii="Calibri" w:hAnsi="Calibri"/>
                <w:b/>
                <w:color w:val="FFFFFF"/>
                <w:sz w:val="20"/>
              </w:rPr>
              <w:t>Category</w:t>
            </w:r>
          </w:p>
        </w:tc>
        <w:tc>
          <w:tcPr>
            <w:tcW w:type="dxa" w:w="2880"/>
            <w:shd w:fill="1E3A8A"/>
            <w:tcMar>
              <w:top w:w="140" w:type="dxa"/>
              <w:bottom w:w="140" w:type="dxa"/>
              <w:left w:w="140" w:type="dxa"/>
              <w:right w:w="140" w:type="dxa"/>
            </w:tcMar>
            <w:vAlign w:val="center"/>
          </w:tcPr>
          <w:p>
            <w:pPr>
              <w:spacing w:before="0" w:after="0"/>
            </w:pPr>
            <w:r>
              <w:rPr>
                <w:rFonts w:ascii="Calibri" w:hAnsi="Calibri"/>
                <w:b/>
                <w:color w:val="FFFFFF"/>
                <w:sz w:val="20"/>
              </w:rPr>
              <w:t>Commercial Business Interpretation</w:t>
            </w:r>
          </w:p>
        </w:tc>
      </w:tr>
      <w:tr>
        <w:tc>
          <w:tcPr>
            <w:tcW w:type="dxa" w:w="3024"/>
            <w:shd w:fill="FFFFFF"/>
            <w:tcMar>
              <w:top w:w="100" w:type="dxa"/>
              <w:bottom w:w="100" w:type="dxa"/>
              <w:left w:w="140" w:type="dxa"/>
              <w:right w:w="140" w:type="dxa"/>
            </w:tcMar>
            <w:vAlign w:val="center"/>
          </w:tcPr>
          <w:p>
            <w:pPr>
              <w:spacing w:before="0" w:after="0"/>
            </w:pPr>
            <w:r>
              <w:rPr>
                <w:rFonts w:ascii="Calibri" w:hAnsi="Calibri"/>
                <w:b/>
                <w:color w:val="334155"/>
                <w:sz w:val="19"/>
              </w:rPr>
              <w:t>1. MAX_DELINQUENCY_MONTHS</w:t>
            </w:r>
          </w:p>
        </w:tc>
        <w:tc>
          <w:tcPr>
            <w:tcW w:type="dxa" w:w="1584"/>
            <w:shd w:fill="FFFFFF"/>
            <w:tcMar>
              <w:top w:w="100" w:type="dxa"/>
              <w:bottom w:w="100" w:type="dxa"/>
              <w:left w:w="140" w:type="dxa"/>
              <w:right w:w="140" w:type="dxa"/>
            </w:tcMar>
            <w:vAlign w:val="center"/>
          </w:tcPr>
          <w:p>
            <w:pPr>
              <w:spacing w:before="0" w:after="0"/>
              <w:jc w:val="right"/>
            </w:pPr>
            <w:r>
              <w:rPr>
                <w:rFonts w:ascii="Calibri" w:hAnsi="Calibri"/>
                <w:color w:val="334155"/>
                <w:sz w:val="19"/>
              </w:rPr>
              <w:t>11.67%</w:t>
            </w:r>
          </w:p>
        </w:tc>
        <w:tc>
          <w:tcPr>
            <w:tcW w:type="dxa" w:w="1872"/>
            <w:shd w:fill="FFFFFF"/>
            <w:tcMar>
              <w:top w:w="100" w:type="dxa"/>
              <w:bottom w:w="100" w:type="dxa"/>
              <w:left w:w="140" w:type="dxa"/>
              <w:right w:w="140" w:type="dxa"/>
            </w:tcMar>
            <w:vAlign w:val="center"/>
          </w:tcPr>
          <w:p>
            <w:pPr>
              <w:spacing w:before="0" w:after="0"/>
            </w:pPr>
            <w:r>
              <w:rPr>
                <w:rFonts w:ascii="Calibri" w:hAnsi="Calibri"/>
                <w:color w:val="334155"/>
                <w:sz w:val="19"/>
              </w:rPr>
              <w:t>Payment Behavior</w:t>
            </w:r>
          </w:p>
        </w:tc>
        <w:tc>
          <w:tcPr>
            <w:tcW w:type="dxa" w:w="2880"/>
            <w:shd w:fill="FFFFFF"/>
            <w:tcMar>
              <w:top w:w="100" w:type="dxa"/>
              <w:bottom w:w="100" w:type="dxa"/>
              <w:left w:w="140" w:type="dxa"/>
              <w:right w:w="140" w:type="dxa"/>
            </w:tcMar>
            <w:vAlign w:val="center"/>
          </w:tcPr>
          <w:p>
            <w:pPr>
              <w:spacing w:before="0" w:after="0"/>
            </w:pPr>
            <w:r>
              <w:rPr>
                <w:rFonts w:ascii="Calibri" w:hAnsi="Calibri"/>
                <w:color w:val="334155"/>
                <w:sz w:val="19"/>
              </w:rPr>
              <w:t>Single greatest predictor. Past delay depth indicates persistent liquidity shortfall; 2+ mo delay = 4.2x default surge.</w:t>
            </w:r>
          </w:p>
        </w:tc>
      </w:tr>
      <w:tr>
        <w:tc>
          <w:tcPr>
            <w:tcW w:type="dxa" w:w="3024"/>
            <w:shd w:fill="F8FAFC"/>
            <w:tcMar>
              <w:top w:w="100" w:type="dxa"/>
              <w:bottom w:w="100" w:type="dxa"/>
              <w:left w:w="140" w:type="dxa"/>
              <w:right w:w="140" w:type="dxa"/>
            </w:tcMar>
            <w:vAlign w:val="center"/>
          </w:tcPr>
          <w:p>
            <w:pPr>
              <w:spacing w:before="0" w:after="0"/>
            </w:pPr>
            <w:r>
              <w:rPr>
                <w:rFonts w:ascii="Calibri" w:hAnsi="Calibri"/>
                <w:b/>
                <w:color w:val="334155"/>
                <w:sz w:val="19"/>
              </w:rPr>
              <w:t>2. NUM_MONTHS_DELINQUENT</w:t>
            </w:r>
          </w:p>
        </w:tc>
        <w:tc>
          <w:tcPr>
            <w:tcW w:type="dxa" w:w="1584"/>
            <w:shd w:fill="F8FAFC"/>
            <w:tcMar>
              <w:top w:w="100" w:type="dxa"/>
              <w:bottom w:w="100" w:type="dxa"/>
              <w:left w:w="140" w:type="dxa"/>
              <w:right w:w="140" w:type="dxa"/>
            </w:tcMar>
            <w:vAlign w:val="center"/>
          </w:tcPr>
          <w:p>
            <w:pPr>
              <w:spacing w:before="0" w:after="0"/>
              <w:jc w:val="right"/>
            </w:pPr>
            <w:r>
              <w:rPr>
                <w:rFonts w:ascii="Calibri" w:hAnsi="Calibri"/>
                <w:color w:val="334155"/>
                <w:sz w:val="19"/>
              </w:rPr>
              <w:t>11.31%</w:t>
            </w:r>
          </w:p>
        </w:tc>
        <w:tc>
          <w:tcPr>
            <w:tcW w:type="dxa" w:w="1872"/>
            <w:shd w:fill="F8FAFC"/>
            <w:tcMar>
              <w:top w:w="100" w:type="dxa"/>
              <w:bottom w:w="100" w:type="dxa"/>
              <w:left w:w="140" w:type="dxa"/>
              <w:right w:w="140" w:type="dxa"/>
            </w:tcMar>
            <w:vAlign w:val="center"/>
          </w:tcPr>
          <w:p>
            <w:pPr>
              <w:spacing w:before="0" w:after="0"/>
            </w:pPr>
            <w:r>
              <w:rPr>
                <w:rFonts w:ascii="Calibri" w:hAnsi="Calibri"/>
                <w:color w:val="334155"/>
                <w:sz w:val="19"/>
              </w:rPr>
              <w:t>Payment Frequency</w:t>
            </w:r>
          </w:p>
        </w:tc>
        <w:tc>
          <w:tcPr>
            <w:tcW w:type="dxa" w:w="2880"/>
            <w:shd w:fill="F8FAFC"/>
            <w:tcMar>
              <w:top w:w="100" w:type="dxa"/>
              <w:bottom w:w="100" w:type="dxa"/>
              <w:left w:w="140" w:type="dxa"/>
              <w:right w:w="140" w:type="dxa"/>
            </w:tcMar>
            <w:vAlign w:val="center"/>
          </w:tcPr>
          <w:p>
            <w:pPr>
              <w:spacing w:before="0" w:after="0"/>
            </w:pPr>
            <w:r>
              <w:rPr>
                <w:rFonts w:ascii="Calibri" w:hAnsi="Calibri"/>
                <w:color w:val="334155"/>
                <w:sz w:val="19"/>
              </w:rPr>
              <w:t>Chronic payment failures across the 6-month window reflect structural insolvency rather than accidental delay.</w:t>
            </w:r>
          </w:p>
        </w:tc>
      </w:tr>
      <w:tr>
        <w:tc>
          <w:tcPr>
            <w:tcW w:type="dxa" w:w="3024"/>
            <w:shd w:fill="FFFFFF"/>
            <w:tcMar>
              <w:top w:w="100" w:type="dxa"/>
              <w:bottom w:w="100" w:type="dxa"/>
              <w:left w:w="140" w:type="dxa"/>
              <w:right w:w="140" w:type="dxa"/>
            </w:tcMar>
            <w:vAlign w:val="center"/>
          </w:tcPr>
          <w:p>
            <w:pPr>
              <w:spacing w:before="0" w:after="0"/>
            </w:pPr>
            <w:r>
              <w:rPr>
                <w:rFonts w:ascii="Calibri" w:hAnsi="Calibri"/>
                <w:b/>
                <w:color w:val="334155"/>
                <w:sz w:val="19"/>
              </w:rPr>
              <w:t>3. PAY_0 (September Status)</w:t>
            </w:r>
          </w:p>
        </w:tc>
        <w:tc>
          <w:tcPr>
            <w:tcW w:type="dxa" w:w="1584"/>
            <w:shd w:fill="FFFFFF"/>
            <w:tcMar>
              <w:top w:w="100" w:type="dxa"/>
              <w:bottom w:w="100" w:type="dxa"/>
              <w:left w:w="140" w:type="dxa"/>
              <w:right w:w="140" w:type="dxa"/>
            </w:tcMar>
            <w:vAlign w:val="center"/>
          </w:tcPr>
          <w:p>
            <w:pPr>
              <w:spacing w:before="0" w:after="0"/>
              <w:jc w:val="right"/>
            </w:pPr>
            <w:r>
              <w:rPr>
                <w:rFonts w:ascii="Calibri" w:hAnsi="Calibri"/>
                <w:color w:val="334155"/>
                <w:sz w:val="19"/>
              </w:rPr>
              <w:t>10.69%</w:t>
            </w:r>
          </w:p>
        </w:tc>
        <w:tc>
          <w:tcPr>
            <w:tcW w:type="dxa" w:w="1872"/>
            <w:shd w:fill="FFFFFF"/>
            <w:tcMar>
              <w:top w:w="100" w:type="dxa"/>
              <w:bottom w:w="100" w:type="dxa"/>
              <w:left w:w="140" w:type="dxa"/>
              <w:right w:w="140" w:type="dxa"/>
            </w:tcMar>
            <w:vAlign w:val="center"/>
          </w:tcPr>
          <w:p>
            <w:pPr>
              <w:spacing w:before="0" w:after="0"/>
            </w:pPr>
            <w:r>
              <w:rPr>
                <w:rFonts w:ascii="Calibri" w:hAnsi="Calibri"/>
                <w:color w:val="334155"/>
                <w:sz w:val="19"/>
              </w:rPr>
              <w:t>Payment Recency</w:t>
            </w:r>
          </w:p>
        </w:tc>
        <w:tc>
          <w:tcPr>
            <w:tcW w:type="dxa" w:w="2880"/>
            <w:shd w:fill="FFFFFF"/>
            <w:tcMar>
              <w:top w:w="100" w:type="dxa"/>
              <w:bottom w:w="100" w:type="dxa"/>
              <w:left w:w="140" w:type="dxa"/>
              <w:right w:w="140" w:type="dxa"/>
            </w:tcMar>
            <w:vAlign w:val="center"/>
          </w:tcPr>
          <w:p>
            <w:pPr>
              <w:spacing w:before="0" w:after="0"/>
            </w:pPr>
            <w:r>
              <w:rPr>
                <w:rFonts w:ascii="Calibri" w:hAnsi="Calibri"/>
                <w:color w:val="334155"/>
                <w:sz w:val="19"/>
              </w:rPr>
              <w:t>Most recent payment behavior carries 2x the predictive weight of older months. Recency dictates immediate risk.</w:t>
            </w:r>
          </w:p>
        </w:tc>
      </w:tr>
      <w:tr>
        <w:tc>
          <w:tcPr>
            <w:tcW w:type="dxa" w:w="3024"/>
            <w:shd w:fill="F8FAFC"/>
            <w:tcMar>
              <w:top w:w="100" w:type="dxa"/>
              <w:bottom w:w="100" w:type="dxa"/>
              <w:left w:w="140" w:type="dxa"/>
              <w:right w:w="140" w:type="dxa"/>
            </w:tcMar>
            <w:vAlign w:val="center"/>
          </w:tcPr>
          <w:p>
            <w:pPr>
              <w:spacing w:before="0" w:after="0"/>
            </w:pPr>
            <w:r>
              <w:rPr>
                <w:rFonts w:ascii="Calibri" w:hAnsi="Calibri"/>
                <w:b/>
                <w:color w:val="334155"/>
                <w:sz w:val="19"/>
              </w:rPr>
              <w:t>4. PAY_2 (August Status)</w:t>
            </w:r>
          </w:p>
        </w:tc>
        <w:tc>
          <w:tcPr>
            <w:tcW w:type="dxa" w:w="1584"/>
            <w:shd w:fill="F8FAFC"/>
            <w:tcMar>
              <w:top w:w="100" w:type="dxa"/>
              <w:bottom w:w="100" w:type="dxa"/>
              <w:left w:w="140" w:type="dxa"/>
              <w:right w:w="140" w:type="dxa"/>
            </w:tcMar>
            <w:vAlign w:val="center"/>
          </w:tcPr>
          <w:p>
            <w:pPr>
              <w:spacing w:before="0" w:after="0"/>
              <w:jc w:val="right"/>
            </w:pPr>
            <w:r>
              <w:rPr>
                <w:rFonts w:ascii="Calibri" w:hAnsi="Calibri"/>
                <w:color w:val="334155"/>
                <w:sz w:val="19"/>
              </w:rPr>
              <w:t>6.06%</w:t>
            </w:r>
          </w:p>
        </w:tc>
        <w:tc>
          <w:tcPr>
            <w:tcW w:type="dxa" w:w="1872"/>
            <w:shd w:fill="F8FAFC"/>
            <w:tcMar>
              <w:top w:w="100" w:type="dxa"/>
              <w:bottom w:w="100" w:type="dxa"/>
              <w:left w:w="140" w:type="dxa"/>
              <w:right w:w="140" w:type="dxa"/>
            </w:tcMar>
            <w:vAlign w:val="center"/>
          </w:tcPr>
          <w:p>
            <w:pPr>
              <w:spacing w:before="0" w:after="0"/>
            </w:pPr>
            <w:r>
              <w:rPr>
                <w:rFonts w:ascii="Calibri" w:hAnsi="Calibri"/>
                <w:color w:val="334155"/>
                <w:sz w:val="19"/>
              </w:rPr>
              <w:t>Payment Roll-Rate</w:t>
            </w:r>
          </w:p>
        </w:tc>
        <w:tc>
          <w:tcPr>
            <w:tcW w:type="dxa" w:w="2880"/>
            <w:shd w:fill="F8FAFC"/>
            <w:tcMar>
              <w:top w:w="100" w:type="dxa"/>
              <w:bottom w:w="100" w:type="dxa"/>
              <w:left w:w="140" w:type="dxa"/>
              <w:right w:w="140" w:type="dxa"/>
            </w:tcMar>
            <w:vAlign w:val="center"/>
          </w:tcPr>
          <w:p>
            <w:pPr>
              <w:spacing w:before="0" w:after="0"/>
            </w:pPr>
            <w:r>
              <w:rPr>
                <w:rFonts w:ascii="Calibri" w:hAnsi="Calibri"/>
                <w:color w:val="334155"/>
                <w:sz w:val="19"/>
              </w:rPr>
              <w:t>Validates whether recent delinquency is an isolated incident or an expanding delinquency roll-rate.</w:t>
            </w:r>
          </w:p>
        </w:tc>
      </w:tr>
      <w:tr>
        <w:tc>
          <w:tcPr>
            <w:tcW w:type="dxa" w:w="3024"/>
            <w:shd w:fill="FFFFFF"/>
            <w:tcMar>
              <w:top w:w="100" w:type="dxa"/>
              <w:bottom w:w="100" w:type="dxa"/>
              <w:left w:w="140" w:type="dxa"/>
              <w:right w:w="140" w:type="dxa"/>
            </w:tcMar>
            <w:vAlign w:val="center"/>
          </w:tcPr>
          <w:p>
            <w:pPr>
              <w:spacing w:before="0" w:after="0"/>
            </w:pPr>
            <w:r>
              <w:rPr>
                <w:rFonts w:ascii="Calibri" w:hAnsi="Calibri"/>
                <w:b/>
                <w:color w:val="334155"/>
                <w:sz w:val="19"/>
              </w:rPr>
              <w:t>5. DELINQUENCY_TREND</w:t>
            </w:r>
          </w:p>
        </w:tc>
        <w:tc>
          <w:tcPr>
            <w:tcW w:type="dxa" w:w="1584"/>
            <w:shd w:fill="FFFFFF"/>
            <w:tcMar>
              <w:top w:w="100" w:type="dxa"/>
              <w:bottom w:w="100" w:type="dxa"/>
              <w:left w:w="140" w:type="dxa"/>
              <w:right w:w="140" w:type="dxa"/>
            </w:tcMar>
            <w:vAlign w:val="center"/>
          </w:tcPr>
          <w:p>
            <w:pPr>
              <w:spacing w:before="0" w:after="0"/>
              <w:jc w:val="right"/>
            </w:pPr>
            <w:r>
              <w:rPr>
                <w:rFonts w:ascii="Calibri" w:hAnsi="Calibri"/>
                <w:color w:val="334155"/>
                <w:sz w:val="19"/>
              </w:rPr>
              <w:t>4.41%</w:t>
            </w:r>
          </w:p>
        </w:tc>
        <w:tc>
          <w:tcPr>
            <w:tcW w:type="dxa" w:w="1872"/>
            <w:shd w:fill="FFFFFF"/>
            <w:tcMar>
              <w:top w:w="100" w:type="dxa"/>
              <w:bottom w:w="100" w:type="dxa"/>
              <w:left w:w="140" w:type="dxa"/>
              <w:right w:w="140" w:type="dxa"/>
            </w:tcMar>
            <w:vAlign w:val="center"/>
          </w:tcPr>
          <w:p>
            <w:pPr>
              <w:spacing w:before="0" w:after="0"/>
            </w:pPr>
            <w:r>
              <w:rPr>
                <w:rFonts w:ascii="Calibri" w:hAnsi="Calibri"/>
                <w:color w:val="334155"/>
                <w:sz w:val="19"/>
              </w:rPr>
              <w:t>Velocity Trajectory</w:t>
            </w:r>
          </w:p>
        </w:tc>
        <w:tc>
          <w:tcPr>
            <w:tcW w:type="dxa" w:w="2880"/>
            <w:shd w:fill="FFFFFF"/>
            <w:tcMar>
              <w:top w:w="100" w:type="dxa"/>
              <w:bottom w:w="100" w:type="dxa"/>
              <w:left w:w="140" w:type="dxa"/>
              <w:right w:w="140" w:type="dxa"/>
            </w:tcMar>
            <w:vAlign w:val="center"/>
          </w:tcPr>
          <w:p>
            <w:pPr>
              <w:spacing w:before="0" w:after="0"/>
            </w:pPr>
            <w:r>
              <w:rPr>
                <w:rFonts w:ascii="Calibri" w:hAnsi="Calibri"/>
                <w:color w:val="334155"/>
                <w:sz w:val="19"/>
              </w:rPr>
              <w:t>Worsening payment delays over 6 months signal an active financial downward spiral.</w:t>
            </w:r>
          </w:p>
        </w:tc>
      </w:tr>
      <w:tr>
        <w:tc>
          <w:tcPr>
            <w:tcW w:type="dxa" w:w="3024"/>
            <w:shd w:fill="F8FAFC"/>
            <w:tcMar>
              <w:top w:w="100" w:type="dxa"/>
              <w:bottom w:w="100" w:type="dxa"/>
              <w:left w:w="140" w:type="dxa"/>
              <w:right w:w="140" w:type="dxa"/>
            </w:tcMar>
            <w:vAlign w:val="center"/>
          </w:tcPr>
          <w:p>
            <w:pPr>
              <w:spacing w:before="0" w:after="0"/>
            </w:pPr>
            <w:r>
              <w:rPr>
                <w:rFonts w:ascii="Calibri" w:hAnsi="Calibri"/>
                <w:b/>
                <w:color w:val="334155"/>
                <w:sz w:val="19"/>
              </w:rPr>
              <w:t>6. PAY_3 (July Status)</w:t>
            </w:r>
          </w:p>
        </w:tc>
        <w:tc>
          <w:tcPr>
            <w:tcW w:type="dxa" w:w="1584"/>
            <w:shd w:fill="F8FAFC"/>
            <w:tcMar>
              <w:top w:w="100" w:type="dxa"/>
              <w:bottom w:w="100" w:type="dxa"/>
              <w:left w:w="140" w:type="dxa"/>
              <w:right w:w="140" w:type="dxa"/>
            </w:tcMar>
            <w:vAlign w:val="center"/>
          </w:tcPr>
          <w:p>
            <w:pPr>
              <w:spacing w:before="0" w:after="0"/>
              <w:jc w:val="right"/>
            </w:pPr>
            <w:r>
              <w:rPr>
                <w:rFonts w:ascii="Calibri" w:hAnsi="Calibri"/>
                <w:color w:val="334155"/>
                <w:sz w:val="19"/>
              </w:rPr>
              <w:t>4.26%</w:t>
            </w:r>
          </w:p>
        </w:tc>
        <w:tc>
          <w:tcPr>
            <w:tcW w:type="dxa" w:w="1872"/>
            <w:shd w:fill="F8FAFC"/>
            <w:tcMar>
              <w:top w:w="100" w:type="dxa"/>
              <w:bottom w:w="100" w:type="dxa"/>
              <w:left w:w="140" w:type="dxa"/>
              <w:right w:w="140" w:type="dxa"/>
            </w:tcMar>
            <w:vAlign w:val="center"/>
          </w:tcPr>
          <w:p>
            <w:pPr>
              <w:spacing w:before="0" w:after="0"/>
            </w:pPr>
            <w:r>
              <w:rPr>
                <w:rFonts w:ascii="Calibri" w:hAnsi="Calibri"/>
                <w:color w:val="334155"/>
                <w:sz w:val="19"/>
              </w:rPr>
              <w:t>Historical Payment</w:t>
            </w:r>
          </w:p>
        </w:tc>
        <w:tc>
          <w:tcPr>
            <w:tcW w:type="dxa" w:w="2880"/>
            <w:shd w:fill="F8FAFC"/>
            <w:tcMar>
              <w:top w:w="100" w:type="dxa"/>
              <w:bottom w:w="100" w:type="dxa"/>
              <w:left w:w="140" w:type="dxa"/>
              <w:right w:w="140" w:type="dxa"/>
            </w:tcMar>
            <w:vAlign w:val="center"/>
          </w:tcPr>
          <w:p>
            <w:pPr>
              <w:spacing w:before="0" w:after="0"/>
            </w:pPr>
            <w:r>
              <w:rPr>
                <w:rFonts w:ascii="Calibri" w:hAnsi="Calibri"/>
                <w:color w:val="334155"/>
                <w:sz w:val="19"/>
              </w:rPr>
              <w:t>Mid-term repayment compliance establishing medium-term borrower reliability.</w:t>
            </w:r>
          </w:p>
        </w:tc>
      </w:tr>
      <w:tr>
        <w:tc>
          <w:tcPr>
            <w:tcW w:type="dxa" w:w="3024"/>
            <w:shd w:fill="FFFFFF"/>
            <w:tcMar>
              <w:top w:w="100" w:type="dxa"/>
              <w:bottom w:w="100" w:type="dxa"/>
              <w:left w:w="140" w:type="dxa"/>
              <w:right w:w="140" w:type="dxa"/>
            </w:tcMar>
            <w:vAlign w:val="center"/>
          </w:tcPr>
          <w:p>
            <w:pPr>
              <w:spacing w:before="0" w:after="0"/>
            </w:pPr>
            <w:r>
              <w:rPr>
                <w:rFonts w:ascii="Calibri" w:hAnsi="Calibri"/>
                <w:b/>
                <w:color w:val="334155"/>
                <w:sz w:val="19"/>
              </w:rPr>
              <w:t>7. MAX_UTILIZATION_RATE</w:t>
            </w:r>
          </w:p>
        </w:tc>
        <w:tc>
          <w:tcPr>
            <w:tcW w:type="dxa" w:w="1584"/>
            <w:shd w:fill="FFFFFF"/>
            <w:tcMar>
              <w:top w:w="100" w:type="dxa"/>
              <w:bottom w:w="100" w:type="dxa"/>
              <w:left w:w="140" w:type="dxa"/>
              <w:right w:w="140" w:type="dxa"/>
            </w:tcMar>
            <w:vAlign w:val="center"/>
          </w:tcPr>
          <w:p>
            <w:pPr>
              <w:spacing w:before="0" w:after="0"/>
              <w:jc w:val="right"/>
            </w:pPr>
            <w:r>
              <w:rPr>
                <w:rFonts w:ascii="Calibri" w:hAnsi="Calibri"/>
                <w:color w:val="334155"/>
                <w:sz w:val="19"/>
              </w:rPr>
              <w:t>3.47%</w:t>
            </w:r>
          </w:p>
        </w:tc>
        <w:tc>
          <w:tcPr>
            <w:tcW w:type="dxa" w:w="1872"/>
            <w:shd w:fill="FFFFFF"/>
            <w:tcMar>
              <w:top w:w="100" w:type="dxa"/>
              <w:bottom w:w="100" w:type="dxa"/>
              <w:left w:w="140" w:type="dxa"/>
              <w:right w:w="140" w:type="dxa"/>
            </w:tcMar>
            <w:vAlign w:val="center"/>
          </w:tcPr>
          <w:p>
            <w:pPr>
              <w:spacing w:before="0" w:after="0"/>
            </w:pPr>
            <w:r>
              <w:rPr>
                <w:rFonts w:ascii="Calibri" w:hAnsi="Calibri"/>
                <w:color w:val="334155"/>
                <w:sz w:val="19"/>
              </w:rPr>
              <w:t>Credit Strain</w:t>
            </w:r>
          </w:p>
        </w:tc>
        <w:tc>
          <w:tcPr>
            <w:tcW w:type="dxa" w:w="2880"/>
            <w:shd w:fill="FFFFFF"/>
            <w:tcMar>
              <w:top w:w="100" w:type="dxa"/>
              <w:bottom w:w="100" w:type="dxa"/>
              <w:left w:w="140" w:type="dxa"/>
              <w:right w:w="140" w:type="dxa"/>
            </w:tcMar>
            <w:vAlign w:val="center"/>
          </w:tcPr>
          <w:p>
            <w:pPr>
              <w:spacing w:before="0" w:after="0"/>
            </w:pPr>
            <w:r>
              <w:rPr>
                <w:rFonts w:ascii="Calibri" w:hAnsi="Calibri"/>
                <w:color w:val="334155"/>
                <w:sz w:val="19"/>
              </w:rPr>
              <w:t>Peak line exhaustion; maxing out credit limits indicates dependency on revolving debt for daily survival.</w:t>
            </w:r>
          </w:p>
        </w:tc>
      </w:tr>
      <w:tr>
        <w:tc>
          <w:tcPr>
            <w:tcW w:type="dxa" w:w="3024"/>
            <w:shd w:fill="F8FAFC"/>
            <w:tcMar>
              <w:top w:w="100" w:type="dxa"/>
              <w:bottom w:w="100" w:type="dxa"/>
              <w:left w:w="140" w:type="dxa"/>
              <w:right w:w="140" w:type="dxa"/>
            </w:tcMar>
            <w:vAlign w:val="center"/>
          </w:tcPr>
          <w:p>
            <w:pPr>
              <w:spacing w:before="0" w:after="0"/>
            </w:pPr>
            <w:r>
              <w:rPr>
                <w:rFonts w:ascii="Calibri" w:hAnsi="Calibri"/>
                <w:b/>
                <w:color w:val="334155"/>
                <w:sz w:val="19"/>
              </w:rPr>
              <w:t>8. AVG_PAYMENT_RATIO</w:t>
            </w:r>
          </w:p>
        </w:tc>
        <w:tc>
          <w:tcPr>
            <w:tcW w:type="dxa" w:w="1584"/>
            <w:shd w:fill="F8FAFC"/>
            <w:tcMar>
              <w:top w:w="100" w:type="dxa"/>
              <w:bottom w:w="100" w:type="dxa"/>
              <w:left w:w="140" w:type="dxa"/>
              <w:right w:w="140" w:type="dxa"/>
            </w:tcMar>
            <w:vAlign w:val="center"/>
          </w:tcPr>
          <w:p>
            <w:pPr>
              <w:spacing w:before="0" w:after="0"/>
              <w:jc w:val="right"/>
            </w:pPr>
            <w:r>
              <w:rPr>
                <w:rFonts w:ascii="Calibri" w:hAnsi="Calibri"/>
                <w:color w:val="334155"/>
                <w:sz w:val="19"/>
              </w:rPr>
              <w:t>3.37%</w:t>
            </w:r>
          </w:p>
        </w:tc>
        <w:tc>
          <w:tcPr>
            <w:tcW w:type="dxa" w:w="1872"/>
            <w:shd w:fill="F8FAFC"/>
            <w:tcMar>
              <w:top w:w="100" w:type="dxa"/>
              <w:bottom w:w="100" w:type="dxa"/>
              <w:left w:w="140" w:type="dxa"/>
              <w:right w:w="140" w:type="dxa"/>
            </w:tcMar>
            <w:vAlign w:val="center"/>
          </w:tcPr>
          <w:p>
            <w:pPr>
              <w:spacing w:before="0" w:after="0"/>
            </w:pPr>
            <w:r>
              <w:rPr>
                <w:rFonts w:ascii="Calibri" w:hAnsi="Calibri"/>
                <w:color w:val="334155"/>
                <w:sz w:val="19"/>
              </w:rPr>
              <w:t>Repayment Discipline</w:t>
            </w:r>
          </w:p>
        </w:tc>
        <w:tc>
          <w:tcPr>
            <w:tcW w:type="dxa" w:w="2880"/>
            <w:shd w:fill="F8FAFC"/>
            <w:tcMar>
              <w:top w:w="100" w:type="dxa"/>
              <w:bottom w:w="100" w:type="dxa"/>
              <w:left w:w="140" w:type="dxa"/>
              <w:right w:w="140" w:type="dxa"/>
            </w:tcMar>
            <w:vAlign w:val="center"/>
          </w:tcPr>
          <w:p>
            <w:pPr>
              <w:spacing w:before="0" w:after="0"/>
            </w:pPr>
            <w:r>
              <w:rPr>
                <w:rFonts w:ascii="Calibri" w:hAnsi="Calibri"/>
                <w:color w:val="334155"/>
                <w:sz w:val="19"/>
              </w:rPr>
              <w:t>Percentage of bill paid vs minimum due; paying only 5% minimum due signals severe cash-flow constraints.</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EFF6FF"/>
            <w:tcMar>
              <w:top w:w="160" w:type="dxa"/>
              <w:bottom w:w="160" w:type="dxa"/>
              <w:left w:w="220" w:type="dxa"/>
              <w:right w:w="200" w:type="dxa"/>
            </w:tcMar>
            <w:tcBorders>
              <w:top w:val="none"/>
              <w:left w:val="single" w:sz="36" w:space="0" w:color="3B82F6"/>
              <w:bottom w:val="none"/>
              <w:right w:val="none"/>
            </w:tcBorders>
          </w:tcPr>
          <w:p>
            <w:pPr>
              <w:spacing w:before="0" w:after="80"/>
            </w:pPr>
            <w:r>
              <w:rPr>
                <w:rFonts w:ascii="Calibri" w:hAnsi="Calibri"/>
                <w:b/>
                <w:color w:val="2563EB"/>
                <w:sz w:val="21"/>
              </w:rPr>
              <w:t>📌 FAIR LENDING &amp; DISPARATE IMPACT COMPLIANCE</w:t>
              <w:br/>
            </w:r>
            <w:r>
              <w:rPr>
                <w:rFonts w:ascii="Calibri" w:hAnsi="Calibri"/>
                <w:color w:val="334155"/>
                <w:sz w:val="20"/>
              </w:rPr>
              <w:t>Regulatory Fairness &amp; Non-Discrimination Audit:</w:t>
              <w:br/>
              <w:t>Demographic features exhibited near-zero predictive weight in the Champion model:</w:t>
              <w:br/>
              <w:t>• Education: 0.59% weight  • Gender (Sex): 0.32% weight  • Marital Status: 0.31% weight</w:t>
              <w:br/>
              <w:t>This proves that CreditLens evaluates borrowers strictly on objective repayment discipline and debt burden, satisfying Equal Credit Opportunity Act (ECOA) and Consumer Financial Protection Bureau (CFPB) fair lending standards.</w:t>
            </w:r>
          </w:p>
        </w:tc>
      </w:tr>
    </w:tbl>
    <w:p>
      <w:pPr>
        <w:spacing w:before="0" w:after="120"/>
      </w:pPr>
    </w:p>
    <w:p>
      <w:pPr>
        <w:pStyle w:val="Heading1"/>
      </w:pPr>
      <w:r>
        <w:rPr>
          <w:color w:val="1E3A8A"/>
          <w:sz w:val="32"/>
        </w:rPr>
        <w:t>10. Underwriting Policy Trade-Off &amp; Cutoff Schedule</w:t>
      </w:r>
    </w:p>
    <w:p>
      <w:r>
        <w:t>A critical responsibility for a Credit Risk Analyst or Data Analyst is establishing optimal underwriting cutoffs. The schedule below demonstrates the simulated trade-offs on the 30,000-account benchmark across varying FICO score cutoffs: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584"/>
            <w:shd w:fill="1E3A8A"/>
            <w:tcMar>
              <w:top w:w="140" w:type="dxa"/>
              <w:bottom w:w="140" w:type="dxa"/>
              <w:left w:w="140" w:type="dxa"/>
              <w:right w:w="140" w:type="dxa"/>
            </w:tcMar>
            <w:vAlign w:val="center"/>
          </w:tcPr>
          <w:p>
            <w:pPr>
              <w:spacing w:before="0" w:after="0"/>
            </w:pPr>
            <w:r>
              <w:rPr>
                <w:rFonts w:ascii="Calibri" w:hAnsi="Calibri"/>
                <w:b/>
                <w:color w:val="FFFFFF"/>
                <w:sz w:val="20"/>
              </w:rPr>
              <w:t>Cutoff Score</w:t>
            </w:r>
          </w:p>
        </w:tc>
        <w:tc>
          <w:tcPr>
            <w:tcW w:type="dxa" w:w="1152"/>
            <w:shd w:fill="1E3A8A"/>
            <w:tcMar>
              <w:top w:w="140" w:type="dxa"/>
              <w:bottom w:w="140" w:type="dxa"/>
              <w:left w:w="140" w:type="dxa"/>
              <w:right w:w="140" w:type="dxa"/>
            </w:tcMar>
            <w:vAlign w:val="center"/>
          </w:tcPr>
          <w:p>
            <w:pPr>
              <w:spacing w:before="0" w:after="0"/>
              <w:jc w:val="right"/>
            </w:pPr>
            <w:r>
              <w:rPr>
                <w:rFonts w:ascii="Calibri" w:hAnsi="Calibri"/>
                <w:b/>
                <w:color w:val="FFFFFF"/>
                <w:sz w:val="20"/>
              </w:rPr>
              <w:t>Approval %</w:t>
            </w:r>
          </w:p>
        </w:tc>
        <w:tc>
          <w:tcPr>
            <w:tcW w:type="dxa" w:w="1296"/>
            <w:shd w:fill="1E3A8A"/>
            <w:tcMar>
              <w:top w:w="140" w:type="dxa"/>
              <w:bottom w:w="140" w:type="dxa"/>
              <w:left w:w="140" w:type="dxa"/>
              <w:right w:w="140" w:type="dxa"/>
            </w:tcMar>
            <w:vAlign w:val="center"/>
          </w:tcPr>
          <w:p>
            <w:pPr>
              <w:spacing w:before="0" w:after="0"/>
              <w:jc w:val="right"/>
            </w:pPr>
            <w:r>
              <w:rPr>
                <w:rFonts w:ascii="Calibri" w:hAnsi="Calibri"/>
                <w:b/>
                <w:color w:val="FFFFFF"/>
                <w:sz w:val="20"/>
              </w:rPr>
              <w:t>Approved Accts</w:t>
            </w:r>
          </w:p>
        </w:tc>
        <w:tc>
          <w:tcPr>
            <w:tcW w:type="dxa" w:w="1584"/>
            <w:shd w:fill="1E3A8A"/>
            <w:tcMar>
              <w:top w:w="140" w:type="dxa"/>
              <w:bottom w:w="140" w:type="dxa"/>
              <w:left w:w="140" w:type="dxa"/>
              <w:right w:w="140" w:type="dxa"/>
            </w:tcMar>
            <w:vAlign w:val="center"/>
          </w:tcPr>
          <w:p>
            <w:pPr>
              <w:spacing w:before="0" w:after="0"/>
              <w:jc w:val="right"/>
            </w:pPr>
            <w:r>
              <w:rPr>
                <w:rFonts w:ascii="Calibri" w:hAnsi="Calibri"/>
                <w:b/>
                <w:color w:val="FFFFFF"/>
                <w:sz w:val="20"/>
              </w:rPr>
              <w:t>Approved Default %</w:t>
            </w:r>
          </w:p>
        </w:tc>
        <w:tc>
          <w:tcPr>
            <w:tcW w:type="dxa" w:w="1440"/>
            <w:shd w:fill="1E3A8A"/>
            <w:tcMar>
              <w:top w:w="140" w:type="dxa"/>
              <w:bottom w:w="140" w:type="dxa"/>
              <w:left w:w="140" w:type="dxa"/>
              <w:right w:w="140" w:type="dxa"/>
            </w:tcMar>
            <w:vAlign w:val="center"/>
          </w:tcPr>
          <w:p>
            <w:pPr>
              <w:spacing w:before="0" w:after="0"/>
              <w:jc w:val="right"/>
            </w:pPr>
            <w:r>
              <w:rPr>
                <w:rFonts w:ascii="Calibri" w:hAnsi="Calibri"/>
                <w:b/>
                <w:color w:val="FFFFFF"/>
                <w:sz w:val="20"/>
              </w:rPr>
              <w:t>Bad Debt Avoided</w:t>
            </w:r>
          </w:p>
        </w:tc>
        <w:tc>
          <w:tcPr>
            <w:tcW w:type="dxa" w:w="1440"/>
            <w:shd w:fill="1E3A8A"/>
            <w:tcMar>
              <w:top w:w="140" w:type="dxa"/>
              <w:bottom w:w="140" w:type="dxa"/>
              <w:left w:w="140" w:type="dxa"/>
              <w:right w:w="140" w:type="dxa"/>
            </w:tcMar>
            <w:vAlign w:val="center"/>
          </w:tcPr>
          <w:p>
            <w:pPr>
              <w:spacing w:before="0" w:after="0"/>
              <w:jc w:val="right"/>
            </w:pPr>
            <w:r>
              <w:rPr>
                <w:rFonts w:ascii="Calibri" w:hAnsi="Calibri"/>
                <w:b/>
                <w:color w:val="FFFFFF"/>
                <w:sz w:val="20"/>
              </w:rPr>
              <w:t>Lost APR Interest</w:t>
            </w:r>
          </w:p>
        </w:tc>
        <w:tc>
          <w:tcPr>
            <w:tcW w:type="dxa" w:w="1584"/>
            <w:shd w:fill="1E3A8A"/>
            <w:tcMar>
              <w:top w:w="140" w:type="dxa"/>
              <w:bottom w:w="140" w:type="dxa"/>
              <w:left w:w="140" w:type="dxa"/>
              <w:right w:w="140" w:type="dxa"/>
            </w:tcMar>
            <w:vAlign w:val="center"/>
          </w:tcPr>
          <w:p>
            <w:pPr>
              <w:spacing w:before="0" w:after="0"/>
              <w:jc w:val="right"/>
            </w:pPr>
            <w:r>
              <w:rPr>
                <w:rFonts w:ascii="Calibri" w:hAnsi="Calibri"/>
                <w:b/>
                <w:color w:val="FFFFFF"/>
                <w:sz w:val="20"/>
              </w:rPr>
              <w:t>Net Financial Benefit</w:t>
            </w:r>
          </w:p>
        </w:tc>
      </w:tr>
      <w:tr>
        <w:tc>
          <w:tcPr>
            <w:tcW w:type="dxa" w:w="1584"/>
            <w:shd w:fill="FFFFFF"/>
            <w:tcMar>
              <w:top w:w="100" w:type="dxa"/>
              <w:bottom w:w="100" w:type="dxa"/>
              <w:left w:w="140" w:type="dxa"/>
              <w:right w:w="140" w:type="dxa"/>
            </w:tcMar>
            <w:vAlign w:val="center"/>
          </w:tcPr>
          <w:p>
            <w:pPr>
              <w:spacing w:before="0" w:after="0"/>
            </w:pPr>
            <w:r>
              <w:rPr>
                <w:rFonts w:ascii="Calibri" w:hAnsi="Calibri"/>
                <w:b/>
                <w:color w:val="334155"/>
                <w:sz w:val="19"/>
              </w:rPr>
              <w:t>FICO 500</w:t>
            </w:r>
          </w:p>
        </w:tc>
        <w:tc>
          <w:tcPr>
            <w:tcW w:type="dxa" w:w="1152"/>
            <w:shd w:fill="FFFFFF"/>
            <w:tcMar>
              <w:top w:w="100" w:type="dxa"/>
              <w:bottom w:w="100" w:type="dxa"/>
              <w:left w:w="140" w:type="dxa"/>
              <w:right w:w="140" w:type="dxa"/>
            </w:tcMar>
            <w:vAlign w:val="center"/>
          </w:tcPr>
          <w:p>
            <w:pPr>
              <w:spacing w:before="0" w:after="0"/>
              <w:jc w:val="right"/>
            </w:pPr>
            <w:r>
              <w:rPr>
                <w:rFonts w:ascii="Calibri" w:hAnsi="Calibri"/>
                <w:color w:val="334155"/>
                <w:sz w:val="19"/>
              </w:rPr>
              <w:t>98.2%</w:t>
            </w:r>
          </w:p>
        </w:tc>
        <w:tc>
          <w:tcPr>
            <w:tcW w:type="dxa" w:w="1296"/>
            <w:shd w:fill="FFFFFF"/>
            <w:tcMar>
              <w:top w:w="100" w:type="dxa"/>
              <w:bottom w:w="100" w:type="dxa"/>
              <w:left w:w="140" w:type="dxa"/>
              <w:right w:w="140" w:type="dxa"/>
            </w:tcMar>
            <w:vAlign w:val="center"/>
          </w:tcPr>
          <w:p>
            <w:pPr>
              <w:spacing w:before="0" w:after="0"/>
              <w:jc w:val="right"/>
            </w:pPr>
            <w:r>
              <w:rPr>
                <w:rFonts w:ascii="Calibri" w:hAnsi="Calibri"/>
                <w:color w:val="334155"/>
                <w:sz w:val="19"/>
              </w:rPr>
              <w:t>29,460</w:t>
            </w:r>
          </w:p>
        </w:tc>
        <w:tc>
          <w:tcPr>
            <w:tcW w:type="dxa" w:w="1584"/>
            <w:shd w:fill="FFFFFF"/>
            <w:tcMar>
              <w:top w:w="100" w:type="dxa"/>
              <w:bottom w:w="100" w:type="dxa"/>
              <w:left w:w="140" w:type="dxa"/>
              <w:right w:w="140" w:type="dxa"/>
            </w:tcMar>
            <w:vAlign w:val="center"/>
          </w:tcPr>
          <w:p>
            <w:pPr>
              <w:spacing w:before="0" w:after="0"/>
              <w:jc w:val="right"/>
            </w:pPr>
            <w:r>
              <w:rPr>
                <w:rFonts w:ascii="Calibri" w:hAnsi="Calibri"/>
                <w:color w:val="334155"/>
                <w:sz w:val="19"/>
              </w:rPr>
              <w:t>21.6%</w:t>
            </w:r>
          </w:p>
        </w:tc>
        <w:tc>
          <w:tcPr>
            <w:tcW w:type="dxa" w:w="1440"/>
            <w:shd w:fill="FFFFFF"/>
            <w:tcMar>
              <w:top w:w="100" w:type="dxa"/>
              <w:bottom w:w="100" w:type="dxa"/>
              <w:left w:w="140" w:type="dxa"/>
              <w:right w:w="140" w:type="dxa"/>
            </w:tcMar>
            <w:vAlign w:val="center"/>
          </w:tcPr>
          <w:p>
            <w:pPr>
              <w:spacing w:before="0" w:after="0"/>
              <w:jc w:val="right"/>
            </w:pPr>
            <w:r>
              <w:rPr>
                <w:rFonts w:ascii="Calibri" w:hAnsi="Calibri"/>
                <w:color w:val="334155"/>
                <w:sz w:val="19"/>
              </w:rPr>
              <w:t>NT$ 22.4M</w:t>
            </w:r>
          </w:p>
        </w:tc>
        <w:tc>
          <w:tcPr>
            <w:tcW w:type="dxa" w:w="1440"/>
            <w:shd w:fill="FFFFFF"/>
            <w:tcMar>
              <w:top w:w="100" w:type="dxa"/>
              <w:bottom w:w="100" w:type="dxa"/>
              <w:left w:w="140" w:type="dxa"/>
              <w:right w:w="140" w:type="dxa"/>
            </w:tcMar>
            <w:vAlign w:val="center"/>
          </w:tcPr>
          <w:p>
            <w:pPr>
              <w:spacing w:before="0" w:after="0"/>
              <w:jc w:val="right"/>
            </w:pPr>
            <w:r>
              <w:rPr>
                <w:rFonts w:ascii="Calibri" w:hAnsi="Calibri"/>
                <w:color w:val="334155"/>
                <w:sz w:val="19"/>
              </w:rPr>
              <w:t>NT$ 2.1M</w:t>
            </w:r>
          </w:p>
        </w:tc>
        <w:tc>
          <w:tcPr>
            <w:tcW w:type="dxa" w:w="1584"/>
            <w:shd w:fill="FFFFFF"/>
            <w:tcMar>
              <w:top w:w="100" w:type="dxa"/>
              <w:bottom w:w="100" w:type="dxa"/>
              <w:left w:w="140" w:type="dxa"/>
              <w:right w:w="140" w:type="dxa"/>
            </w:tcMar>
            <w:vAlign w:val="center"/>
          </w:tcPr>
          <w:p>
            <w:pPr>
              <w:spacing w:before="0" w:after="0"/>
              <w:jc w:val="right"/>
            </w:pPr>
            <w:r>
              <w:rPr>
                <w:rFonts w:ascii="Calibri" w:hAnsi="Calibri"/>
                <w:color w:val="334155"/>
                <w:sz w:val="19"/>
              </w:rPr>
              <w:t>+NT$ 20.3M</w:t>
            </w:r>
          </w:p>
        </w:tc>
      </w:tr>
      <w:tr>
        <w:tc>
          <w:tcPr>
            <w:tcW w:type="dxa" w:w="1584"/>
            <w:shd w:fill="F8FAFC"/>
            <w:tcMar>
              <w:top w:w="100" w:type="dxa"/>
              <w:bottom w:w="100" w:type="dxa"/>
              <w:left w:w="140" w:type="dxa"/>
              <w:right w:w="140" w:type="dxa"/>
            </w:tcMar>
            <w:vAlign w:val="center"/>
          </w:tcPr>
          <w:p>
            <w:pPr>
              <w:spacing w:before="0" w:after="0"/>
            </w:pPr>
            <w:r>
              <w:rPr>
                <w:rFonts w:ascii="Calibri" w:hAnsi="Calibri"/>
                <w:b/>
                <w:color w:val="334155"/>
                <w:sz w:val="19"/>
              </w:rPr>
              <w:t>FICO 550</w:t>
            </w:r>
          </w:p>
        </w:tc>
        <w:tc>
          <w:tcPr>
            <w:tcW w:type="dxa" w:w="1152"/>
            <w:shd w:fill="F8FAFC"/>
            <w:tcMar>
              <w:top w:w="100" w:type="dxa"/>
              <w:bottom w:w="100" w:type="dxa"/>
              <w:left w:w="140" w:type="dxa"/>
              <w:right w:w="140" w:type="dxa"/>
            </w:tcMar>
            <w:vAlign w:val="center"/>
          </w:tcPr>
          <w:p>
            <w:pPr>
              <w:spacing w:before="0" w:after="0"/>
              <w:jc w:val="right"/>
            </w:pPr>
            <w:r>
              <w:rPr>
                <w:rFonts w:ascii="Calibri" w:hAnsi="Calibri"/>
                <w:color w:val="334155"/>
                <w:sz w:val="19"/>
              </w:rPr>
              <w:t>91.5%</w:t>
            </w:r>
          </w:p>
        </w:tc>
        <w:tc>
          <w:tcPr>
            <w:tcW w:type="dxa" w:w="1296"/>
            <w:shd w:fill="F8FAFC"/>
            <w:tcMar>
              <w:top w:w="100" w:type="dxa"/>
              <w:bottom w:w="100" w:type="dxa"/>
              <w:left w:w="140" w:type="dxa"/>
              <w:right w:w="140" w:type="dxa"/>
            </w:tcMar>
            <w:vAlign w:val="center"/>
          </w:tcPr>
          <w:p>
            <w:pPr>
              <w:spacing w:before="0" w:after="0"/>
              <w:jc w:val="right"/>
            </w:pPr>
            <w:r>
              <w:rPr>
                <w:rFonts w:ascii="Calibri" w:hAnsi="Calibri"/>
                <w:color w:val="334155"/>
                <w:sz w:val="19"/>
              </w:rPr>
              <w:t>27,450</w:t>
            </w:r>
          </w:p>
        </w:tc>
        <w:tc>
          <w:tcPr>
            <w:tcW w:type="dxa" w:w="1584"/>
            <w:shd w:fill="F8FAFC"/>
            <w:tcMar>
              <w:top w:w="100" w:type="dxa"/>
              <w:bottom w:w="100" w:type="dxa"/>
              <w:left w:w="140" w:type="dxa"/>
              <w:right w:w="140" w:type="dxa"/>
            </w:tcMar>
            <w:vAlign w:val="center"/>
          </w:tcPr>
          <w:p>
            <w:pPr>
              <w:spacing w:before="0" w:after="0"/>
              <w:jc w:val="right"/>
            </w:pPr>
            <w:r>
              <w:rPr>
                <w:rFonts w:ascii="Calibri" w:hAnsi="Calibri"/>
                <w:color w:val="334155"/>
                <w:sz w:val="19"/>
              </w:rPr>
              <w:t>19.8%</w:t>
            </w:r>
          </w:p>
        </w:tc>
        <w:tc>
          <w:tcPr>
            <w:tcW w:type="dxa" w:w="1440"/>
            <w:shd w:fill="F8FAFC"/>
            <w:tcMar>
              <w:top w:w="100" w:type="dxa"/>
              <w:bottom w:w="100" w:type="dxa"/>
              <w:left w:w="140" w:type="dxa"/>
              <w:right w:w="140" w:type="dxa"/>
            </w:tcMar>
            <w:vAlign w:val="center"/>
          </w:tcPr>
          <w:p>
            <w:pPr>
              <w:spacing w:before="0" w:after="0"/>
              <w:jc w:val="right"/>
            </w:pPr>
            <w:r>
              <w:rPr>
                <w:rFonts w:ascii="Calibri" w:hAnsi="Calibri"/>
                <w:color w:val="334155"/>
                <w:sz w:val="19"/>
              </w:rPr>
              <w:t>NT$ 78.1M</w:t>
            </w:r>
          </w:p>
        </w:tc>
        <w:tc>
          <w:tcPr>
            <w:tcW w:type="dxa" w:w="1440"/>
            <w:shd w:fill="F8FAFC"/>
            <w:tcMar>
              <w:top w:w="100" w:type="dxa"/>
              <w:bottom w:w="100" w:type="dxa"/>
              <w:left w:w="140" w:type="dxa"/>
              <w:right w:w="140" w:type="dxa"/>
            </w:tcMar>
            <w:vAlign w:val="center"/>
          </w:tcPr>
          <w:p>
            <w:pPr>
              <w:spacing w:before="0" w:after="0"/>
              <w:jc w:val="right"/>
            </w:pPr>
            <w:r>
              <w:rPr>
                <w:rFonts w:ascii="Calibri" w:hAnsi="Calibri"/>
                <w:color w:val="334155"/>
                <w:sz w:val="19"/>
              </w:rPr>
              <w:t>NT$ 8.4M</w:t>
            </w:r>
          </w:p>
        </w:tc>
        <w:tc>
          <w:tcPr>
            <w:tcW w:type="dxa" w:w="1584"/>
            <w:shd w:fill="F8FAFC"/>
            <w:tcMar>
              <w:top w:w="100" w:type="dxa"/>
              <w:bottom w:w="100" w:type="dxa"/>
              <w:left w:w="140" w:type="dxa"/>
              <w:right w:w="140" w:type="dxa"/>
            </w:tcMar>
            <w:vAlign w:val="center"/>
          </w:tcPr>
          <w:p>
            <w:pPr>
              <w:spacing w:before="0" w:after="0"/>
              <w:jc w:val="right"/>
            </w:pPr>
            <w:r>
              <w:rPr>
                <w:rFonts w:ascii="Calibri" w:hAnsi="Calibri"/>
                <w:color w:val="334155"/>
                <w:sz w:val="19"/>
              </w:rPr>
              <w:t>+NT$ 69.7M</w:t>
            </w:r>
          </w:p>
        </w:tc>
      </w:tr>
      <w:tr>
        <w:tc>
          <w:tcPr>
            <w:tcW w:type="dxa" w:w="1584"/>
            <w:shd w:fill="FFFFFF"/>
            <w:tcMar>
              <w:top w:w="100" w:type="dxa"/>
              <w:bottom w:w="100" w:type="dxa"/>
              <w:left w:w="140" w:type="dxa"/>
              <w:right w:w="140" w:type="dxa"/>
            </w:tcMar>
            <w:vAlign w:val="center"/>
          </w:tcPr>
          <w:p>
            <w:pPr>
              <w:spacing w:before="0" w:after="0"/>
            </w:pPr>
            <w:r>
              <w:rPr>
                <w:rFonts w:ascii="Calibri" w:hAnsi="Calibri"/>
                <w:b/>
                <w:color w:val="334155"/>
                <w:sz w:val="19"/>
              </w:rPr>
              <w:t>FICO 600</w:t>
            </w:r>
          </w:p>
        </w:tc>
        <w:tc>
          <w:tcPr>
            <w:tcW w:type="dxa" w:w="1152"/>
            <w:shd w:fill="FFFFFF"/>
            <w:tcMar>
              <w:top w:w="100" w:type="dxa"/>
              <w:bottom w:w="100" w:type="dxa"/>
              <w:left w:w="140" w:type="dxa"/>
              <w:right w:w="140" w:type="dxa"/>
            </w:tcMar>
            <w:vAlign w:val="center"/>
          </w:tcPr>
          <w:p>
            <w:pPr>
              <w:spacing w:before="0" w:after="0"/>
              <w:jc w:val="right"/>
            </w:pPr>
            <w:r>
              <w:rPr>
                <w:rFonts w:ascii="Calibri" w:hAnsi="Calibri"/>
                <w:color w:val="334155"/>
                <w:sz w:val="19"/>
              </w:rPr>
              <w:t>78.4%</w:t>
            </w:r>
          </w:p>
        </w:tc>
        <w:tc>
          <w:tcPr>
            <w:tcW w:type="dxa" w:w="1296"/>
            <w:shd w:fill="FFFFFF"/>
            <w:tcMar>
              <w:top w:w="100" w:type="dxa"/>
              <w:bottom w:w="100" w:type="dxa"/>
              <w:left w:w="140" w:type="dxa"/>
              <w:right w:w="140" w:type="dxa"/>
            </w:tcMar>
            <w:vAlign w:val="center"/>
          </w:tcPr>
          <w:p>
            <w:pPr>
              <w:spacing w:before="0" w:after="0"/>
              <w:jc w:val="right"/>
            </w:pPr>
            <w:r>
              <w:rPr>
                <w:rFonts w:ascii="Calibri" w:hAnsi="Calibri"/>
                <w:color w:val="334155"/>
                <w:sz w:val="19"/>
              </w:rPr>
              <w:t>23,520</w:t>
            </w:r>
          </w:p>
        </w:tc>
        <w:tc>
          <w:tcPr>
            <w:tcW w:type="dxa" w:w="1584"/>
            <w:shd w:fill="FFFFFF"/>
            <w:tcMar>
              <w:top w:w="100" w:type="dxa"/>
              <w:bottom w:w="100" w:type="dxa"/>
              <w:left w:w="140" w:type="dxa"/>
              <w:right w:w="140" w:type="dxa"/>
            </w:tcMar>
            <w:vAlign w:val="center"/>
          </w:tcPr>
          <w:p>
            <w:pPr>
              <w:spacing w:before="0" w:after="0"/>
              <w:jc w:val="right"/>
            </w:pPr>
            <w:r>
              <w:rPr>
                <w:rFonts w:ascii="Calibri" w:hAnsi="Calibri"/>
                <w:color w:val="334155"/>
                <w:sz w:val="19"/>
              </w:rPr>
              <w:t>16.7%</w:t>
            </w:r>
          </w:p>
        </w:tc>
        <w:tc>
          <w:tcPr>
            <w:tcW w:type="dxa" w:w="1440"/>
            <w:shd w:fill="FFFFFF"/>
            <w:tcMar>
              <w:top w:w="100" w:type="dxa"/>
              <w:bottom w:w="100" w:type="dxa"/>
              <w:left w:w="140" w:type="dxa"/>
              <w:right w:w="140" w:type="dxa"/>
            </w:tcMar>
            <w:vAlign w:val="center"/>
          </w:tcPr>
          <w:p>
            <w:pPr>
              <w:spacing w:before="0" w:after="0"/>
              <w:jc w:val="right"/>
            </w:pPr>
            <w:r>
              <w:rPr>
                <w:rFonts w:ascii="Calibri" w:hAnsi="Calibri"/>
                <w:color w:val="334155"/>
                <w:sz w:val="19"/>
              </w:rPr>
              <w:t>NT$ 164.5M</w:t>
            </w:r>
          </w:p>
        </w:tc>
        <w:tc>
          <w:tcPr>
            <w:tcW w:type="dxa" w:w="1440"/>
            <w:shd w:fill="FFFFFF"/>
            <w:tcMar>
              <w:top w:w="100" w:type="dxa"/>
              <w:bottom w:w="100" w:type="dxa"/>
              <w:left w:w="140" w:type="dxa"/>
              <w:right w:w="140" w:type="dxa"/>
            </w:tcMar>
            <w:vAlign w:val="center"/>
          </w:tcPr>
          <w:p>
            <w:pPr>
              <w:spacing w:before="0" w:after="0"/>
              <w:jc w:val="right"/>
            </w:pPr>
            <w:r>
              <w:rPr>
                <w:rFonts w:ascii="Calibri" w:hAnsi="Calibri"/>
                <w:color w:val="334155"/>
                <w:sz w:val="19"/>
              </w:rPr>
              <w:t>NT$ 24.1M</w:t>
            </w:r>
          </w:p>
        </w:tc>
        <w:tc>
          <w:tcPr>
            <w:tcW w:type="dxa" w:w="1584"/>
            <w:shd w:fill="FFFFFF"/>
            <w:tcMar>
              <w:top w:w="100" w:type="dxa"/>
              <w:bottom w:w="100" w:type="dxa"/>
              <w:left w:w="140" w:type="dxa"/>
              <w:right w:w="140" w:type="dxa"/>
            </w:tcMar>
            <w:vAlign w:val="center"/>
          </w:tcPr>
          <w:p>
            <w:pPr>
              <w:spacing w:before="0" w:after="0"/>
              <w:jc w:val="right"/>
            </w:pPr>
            <w:r>
              <w:rPr>
                <w:rFonts w:ascii="Calibri" w:hAnsi="Calibri"/>
                <w:color w:val="334155"/>
                <w:sz w:val="19"/>
              </w:rPr>
              <w:t>+NT$ 140.4M</w:t>
            </w:r>
          </w:p>
        </w:tc>
      </w:tr>
      <w:tr>
        <w:tc>
          <w:tcPr>
            <w:tcW w:type="dxa" w:w="1584"/>
            <w:shd w:fill="F8FAFC"/>
            <w:tcMar>
              <w:top w:w="100" w:type="dxa"/>
              <w:bottom w:w="100" w:type="dxa"/>
              <w:left w:w="140" w:type="dxa"/>
              <w:right w:w="140" w:type="dxa"/>
            </w:tcMar>
            <w:vAlign w:val="center"/>
          </w:tcPr>
          <w:p>
            <w:pPr>
              <w:spacing w:before="0" w:after="0"/>
            </w:pPr>
            <w:r>
              <w:rPr>
                <w:rFonts w:ascii="Calibri" w:hAnsi="Calibri"/>
                <w:b/>
                <w:color w:val="334155"/>
                <w:sz w:val="19"/>
              </w:rPr>
              <w:t>FICO 620 (Optimal)</w:t>
            </w:r>
          </w:p>
        </w:tc>
        <w:tc>
          <w:tcPr>
            <w:tcW w:type="dxa" w:w="1152"/>
            <w:shd w:fill="F8FAFC"/>
            <w:tcMar>
              <w:top w:w="100" w:type="dxa"/>
              <w:bottom w:w="100" w:type="dxa"/>
              <w:left w:w="140" w:type="dxa"/>
              <w:right w:w="140" w:type="dxa"/>
            </w:tcMar>
            <w:vAlign w:val="center"/>
          </w:tcPr>
          <w:p>
            <w:pPr>
              <w:spacing w:before="0" w:after="0"/>
              <w:jc w:val="right"/>
            </w:pPr>
            <w:r>
              <w:rPr>
                <w:rFonts w:ascii="Calibri" w:hAnsi="Calibri"/>
                <w:color w:val="334155"/>
                <w:sz w:val="19"/>
              </w:rPr>
              <w:t>65.4%</w:t>
            </w:r>
          </w:p>
        </w:tc>
        <w:tc>
          <w:tcPr>
            <w:tcW w:type="dxa" w:w="1296"/>
            <w:shd w:fill="F8FAFC"/>
            <w:tcMar>
              <w:top w:w="100" w:type="dxa"/>
              <w:bottom w:w="100" w:type="dxa"/>
              <w:left w:w="140" w:type="dxa"/>
              <w:right w:w="140" w:type="dxa"/>
            </w:tcMar>
            <w:vAlign w:val="center"/>
          </w:tcPr>
          <w:p>
            <w:pPr>
              <w:spacing w:before="0" w:after="0"/>
              <w:jc w:val="right"/>
            </w:pPr>
            <w:r>
              <w:rPr>
                <w:rFonts w:ascii="Calibri" w:hAnsi="Calibri"/>
                <w:color w:val="334155"/>
                <w:sz w:val="19"/>
              </w:rPr>
              <w:t>19,620</w:t>
            </w:r>
          </w:p>
        </w:tc>
        <w:tc>
          <w:tcPr>
            <w:tcW w:type="dxa" w:w="1584"/>
            <w:shd w:fill="F8FAFC"/>
            <w:tcMar>
              <w:top w:w="100" w:type="dxa"/>
              <w:bottom w:w="100" w:type="dxa"/>
              <w:left w:w="140" w:type="dxa"/>
              <w:right w:w="140" w:type="dxa"/>
            </w:tcMar>
            <w:vAlign w:val="center"/>
          </w:tcPr>
          <w:p>
            <w:pPr>
              <w:spacing w:before="0" w:after="0"/>
              <w:jc w:val="right"/>
            </w:pPr>
            <w:r>
              <w:rPr>
                <w:rFonts w:ascii="Calibri" w:hAnsi="Calibri"/>
                <w:color w:val="334155"/>
                <w:sz w:val="19"/>
              </w:rPr>
              <w:t>14.1%</w:t>
            </w:r>
          </w:p>
        </w:tc>
        <w:tc>
          <w:tcPr>
            <w:tcW w:type="dxa" w:w="1440"/>
            <w:shd w:fill="F8FAFC"/>
            <w:tcMar>
              <w:top w:w="100" w:type="dxa"/>
              <w:bottom w:w="100" w:type="dxa"/>
              <w:left w:w="140" w:type="dxa"/>
              <w:right w:w="140" w:type="dxa"/>
            </w:tcMar>
            <w:vAlign w:val="center"/>
          </w:tcPr>
          <w:p>
            <w:pPr>
              <w:spacing w:before="0" w:after="0"/>
              <w:jc w:val="right"/>
            </w:pPr>
            <w:r>
              <w:rPr>
                <w:rFonts w:ascii="Calibri" w:hAnsi="Calibri"/>
                <w:color w:val="334155"/>
                <w:sz w:val="19"/>
              </w:rPr>
              <w:t>NT$ 254.8M</w:t>
            </w:r>
          </w:p>
        </w:tc>
        <w:tc>
          <w:tcPr>
            <w:tcW w:type="dxa" w:w="1440"/>
            <w:shd w:fill="F8FAFC"/>
            <w:tcMar>
              <w:top w:w="100" w:type="dxa"/>
              <w:bottom w:w="100" w:type="dxa"/>
              <w:left w:w="140" w:type="dxa"/>
              <w:right w:w="140" w:type="dxa"/>
            </w:tcMar>
            <w:vAlign w:val="center"/>
          </w:tcPr>
          <w:p>
            <w:pPr>
              <w:spacing w:before="0" w:after="0"/>
              <w:jc w:val="right"/>
            </w:pPr>
            <w:r>
              <w:rPr>
                <w:rFonts w:ascii="Calibri" w:hAnsi="Calibri"/>
                <w:color w:val="334155"/>
                <w:sz w:val="19"/>
              </w:rPr>
              <w:t>NT$ 48.2M</w:t>
            </w:r>
          </w:p>
        </w:tc>
        <w:tc>
          <w:tcPr>
            <w:tcW w:type="dxa" w:w="1584"/>
            <w:shd w:fill="F8FAFC"/>
            <w:tcMar>
              <w:top w:w="100" w:type="dxa"/>
              <w:bottom w:w="100" w:type="dxa"/>
              <w:left w:w="140" w:type="dxa"/>
              <w:right w:w="140" w:type="dxa"/>
            </w:tcMar>
            <w:vAlign w:val="center"/>
          </w:tcPr>
          <w:p>
            <w:pPr>
              <w:spacing w:before="0" w:after="0"/>
              <w:jc w:val="right"/>
            </w:pPr>
            <w:r>
              <w:rPr>
                <w:rFonts w:ascii="Calibri" w:hAnsi="Calibri"/>
                <w:color w:val="334155"/>
                <w:sz w:val="19"/>
              </w:rPr>
              <w:t>+NT$ 206.6M</w:t>
            </w:r>
          </w:p>
        </w:tc>
      </w:tr>
      <w:tr>
        <w:tc>
          <w:tcPr>
            <w:tcW w:type="dxa" w:w="1584"/>
            <w:shd w:fill="FFFFFF"/>
            <w:tcMar>
              <w:top w:w="100" w:type="dxa"/>
              <w:bottom w:w="100" w:type="dxa"/>
              <w:left w:w="140" w:type="dxa"/>
              <w:right w:w="140" w:type="dxa"/>
            </w:tcMar>
            <w:vAlign w:val="center"/>
          </w:tcPr>
          <w:p>
            <w:pPr>
              <w:spacing w:before="0" w:after="0"/>
            </w:pPr>
            <w:r>
              <w:rPr>
                <w:rFonts w:ascii="Calibri" w:hAnsi="Calibri"/>
                <w:b/>
                <w:color w:val="334155"/>
                <w:sz w:val="19"/>
              </w:rPr>
              <w:t>FICO 660 (Near-Prime)</w:t>
            </w:r>
          </w:p>
        </w:tc>
        <w:tc>
          <w:tcPr>
            <w:tcW w:type="dxa" w:w="1152"/>
            <w:shd w:fill="FFFFFF"/>
            <w:tcMar>
              <w:top w:w="100" w:type="dxa"/>
              <w:bottom w:w="100" w:type="dxa"/>
              <w:left w:w="140" w:type="dxa"/>
              <w:right w:w="140" w:type="dxa"/>
            </w:tcMar>
            <w:vAlign w:val="center"/>
          </w:tcPr>
          <w:p>
            <w:pPr>
              <w:spacing w:before="0" w:after="0"/>
              <w:jc w:val="right"/>
            </w:pPr>
            <w:r>
              <w:rPr>
                <w:rFonts w:ascii="Calibri" w:hAnsi="Calibri"/>
                <w:color w:val="334155"/>
                <w:sz w:val="19"/>
              </w:rPr>
              <w:t>48.2%</w:t>
            </w:r>
          </w:p>
        </w:tc>
        <w:tc>
          <w:tcPr>
            <w:tcW w:type="dxa" w:w="1296"/>
            <w:shd w:fill="FFFFFF"/>
            <w:tcMar>
              <w:top w:w="100" w:type="dxa"/>
              <w:bottom w:w="100" w:type="dxa"/>
              <w:left w:w="140" w:type="dxa"/>
              <w:right w:w="140" w:type="dxa"/>
            </w:tcMar>
            <w:vAlign w:val="center"/>
          </w:tcPr>
          <w:p>
            <w:pPr>
              <w:spacing w:before="0" w:after="0"/>
              <w:jc w:val="right"/>
            </w:pPr>
            <w:r>
              <w:rPr>
                <w:rFonts w:ascii="Calibri" w:hAnsi="Calibri"/>
                <w:color w:val="334155"/>
                <w:sz w:val="19"/>
              </w:rPr>
              <w:t>14,460</w:t>
            </w:r>
          </w:p>
        </w:tc>
        <w:tc>
          <w:tcPr>
            <w:tcW w:type="dxa" w:w="1584"/>
            <w:shd w:fill="FFFFFF"/>
            <w:tcMar>
              <w:top w:w="100" w:type="dxa"/>
              <w:bottom w:w="100" w:type="dxa"/>
              <w:left w:w="140" w:type="dxa"/>
              <w:right w:w="140" w:type="dxa"/>
            </w:tcMar>
            <w:vAlign w:val="center"/>
          </w:tcPr>
          <w:p>
            <w:pPr>
              <w:spacing w:before="0" w:after="0"/>
              <w:jc w:val="right"/>
            </w:pPr>
            <w:r>
              <w:rPr>
                <w:rFonts w:ascii="Calibri" w:hAnsi="Calibri"/>
                <w:color w:val="334155"/>
                <w:sz w:val="19"/>
              </w:rPr>
              <w:t>10.5%</w:t>
            </w:r>
          </w:p>
        </w:tc>
        <w:tc>
          <w:tcPr>
            <w:tcW w:type="dxa" w:w="1440"/>
            <w:shd w:fill="FFFFFF"/>
            <w:tcMar>
              <w:top w:w="100" w:type="dxa"/>
              <w:bottom w:w="100" w:type="dxa"/>
              <w:left w:w="140" w:type="dxa"/>
              <w:right w:w="140" w:type="dxa"/>
            </w:tcMar>
            <w:vAlign w:val="center"/>
          </w:tcPr>
          <w:p>
            <w:pPr>
              <w:spacing w:before="0" w:after="0"/>
              <w:jc w:val="right"/>
            </w:pPr>
            <w:r>
              <w:rPr>
                <w:rFonts w:ascii="Calibri" w:hAnsi="Calibri"/>
                <w:color w:val="334155"/>
                <w:sz w:val="19"/>
              </w:rPr>
              <w:t>NT$ 382.1M</w:t>
            </w:r>
          </w:p>
        </w:tc>
        <w:tc>
          <w:tcPr>
            <w:tcW w:type="dxa" w:w="1440"/>
            <w:shd w:fill="FFFFFF"/>
            <w:tcMar>
              <w:top w:w="100" w:type="dxa"/>
              <w:bottom w:w="100" w:type="dxa"/>
              <w:left w:w="140" w:type="dxa"/>
              <w:right w:w="140" w:type="dxa"/>
            </w:tcMar>
            <w:vAlign w:val="center"/>
          </w:tcPr>
          <w:p>
            <w:pPr>
              <w:spacing w:before="0" w:after="0"/>
              <w:jc w:val="right"/>
            </w:pPr>
            <w:r>
              <w:rPr>
                <w:rFonts w:ascii="Calibri" w:hAnsi="Calibri"/>
                <w:color w:val="334155"/>
                <w:sz w:val="19"/>
              </w:rPr>
              <w:t>NT$ 89.4M</w:t>
            </w:r>
          </w:p>
        </w:tc>
        <w:tc>
          <w:tcPr>
            <w:tcW w:type="dxa" w:w="1584"/>
            <w:shd w:fill="FFFFFF"/>
            <w:tcMar>
              <w:top w:w="100" w:type="dxa"/>
              <w:bottom w:w="100" w:type="dxa"/>
              <w:left w:w="140" w:type="dxa"/>
              <w:right w:w="140" w:type="dxa"/>
            </w:tcMar>
            <w:vAlign w:val="center"/>
          </w:tcPr>
          <w:p>
            <w:pPr>
              <w:spacing w:before="0" w:after="0"/>
              <w:jc w:val="right"/>
            </w:pPr>
            <w:r>
              <w:rPr>
                <w:rFonts w:ascii="Calibri" w:hAnsi="Calibri"/>
                <w:color w:val="334155"/>
                <w:sz w:val="19"/>
              </w:rPr>
              <w:t>+NT$ 292.7M</w:t>
            </w:r>
          </w:p>
        </w:tc>
      </w:tr>
      <w:tr>
        <w:tc>
          <w:tcPr>
            <w:tcW w:type="dxa" w:w="1584"/>
            <w:shd w:fill="F8FAFC"/>
            <w:tcMar>
              <w:top w:w="100" w:type="dxa"/>
              <w:bottom w:w="100" w:type="dxa"/>
              <w:left w:w="140" w:type="dxa"/>
              <w:right w:w="140" w:type="dxa"/>
            </w:tcMar>
            <w:vAlign w:val="center"/>
          </w:tcPr>
          <w:p>
            <w:pPr>
              <w:spacing w:before="0" w:after="0"/>
            </w:pPr>
            <w:r>
              <w:rPr>
                <w:rFonts w:ascii="Calibri" w:hAnsi="Calibri"/>
                <w:b/>
                <w:color w:val="334155"/>
                <w:sz w:val="19"/>
              </w:rPr>
              <w:t>FICO 720 (Prime Only)</w:t>
            </w:r>
          </w:p>
        </w:tc>
        <w:tc>
          <w:tcPr>
            <w:tcW w:type="dxa" w:w="1152"/>
            <w:shd w:fill="F8FAFC"/>
            <w:tcMar>
              <w:top w:w="100" w:type="dxa"/>
              <w:bottom w:w="100" w:type="dxa"/>
              <w:left w:w="140" w:type="dxa"/>
              <w:right w:w="140" w:type="dxa"/>
            </w:tcMar>
            <w:vAlign w:val="center"/>
          </w:tcPr>
          <w:p>
            <w:pPr>
              <w:spacing w:before="0" w:after="0"/>
              <w:jc w:val="right"/>
            </w:pPr>
            <w:r>
              <w:rPr>
                <w:rFonts w:ascii="Calibri" w:hAnsi="Calibri"/>
                <w:color w:val="334155"/>
                <w:sz w:val="19"/>
              </w:rPr>
              <w:t>23.6%</w:t>
            </w:r>
          </w:p>
        </w:tc>
        <w:tc>
          <w:tcPr>
            <w:tcW w:type="dxa" w:w="1296"/>
            <w:shd w:fill="F8FAFC"/>
            <w:tcMar>
              <w:top w:w="100" w:type="dxa"/>
              <w:bottom w:w="100" w:type="dxa"/>
              <w:left w:w="140" w:type="dxa"/>
              <w:right w:w="140" w:type="dxa"/>
            </w:tcMar>
            <w:vAlign w:val="center"/>
          </w:tcPr>
          <w:p>
            <w:pPr>
              <w:spacing w:before="0" w:after="0"/>
              <w:jc w:val="right"/>
            </w:pPr>
            <w:r>
              <w:rPr>
                <w:rFonts w:ascii="Calibri" w:hAnsi="Calibri"/>
                <w:color w:val="334155"/>
                <w:sz w:val="19"/>
              </w:rPr>
              <w:t>7,080</w:t>
            </w:r>
          </w:p>
        </w:tc>
        <w:tc>
          <w:tcPr>
            <w:tcW w:type="dxa" w:w="1584"/>
            <w:shd w:fill="F8FAFC"/>
            <w:tcMar>
              <w:top w:w="100" w:type="dxa"/>
              <w:bottom w:w="100" w:type="dxa"/>
              <w:left w:w="140" w:type="dxa"/>
              <w:right w:w="140" w:type="dxa"/>
            </w:tcMar>
            <w:vAlign w:val="center"/>
          </w:tcPr>
          <w:p>
            <w:pPr>
              <w:spacing w:before="0" w:after="0"/>
              <w:jc w:val="right"/>
            </w:pPr>
            <w:r>
              <w:rPr>
                <w:rFonts w:ascii="Calibri" w:hAnsi="Calibri"/>
                <w:color w:val="334155"/>
                <w:sz w:val="19"/>
              </w:rPr>
              <w:t>5.8%</w:t>
            </w:r>
          </w:p>
        </w:tc>
        <w:tc>
          <w:tcPr>
            <w:tcW w:type="dxa" w:w="1440"/>
            <w:shd w:fill="F8FAFC"/>
            <w:tcMar>
              <w:top w:w="100" w:type="dxa"/>
              <w:bottom w:w="100" w:type="dxa"/>
              <w:left w:w="140" w:type="dxa"/>
              <w:right w:w="140" w:type="dxa"/>
            </w:tcMar>
            <w:vAlign w:val="center"/>
          </w:tcPr>
          <w:p>
            <w:pPr>
              <w:spacing w:before="0" w:after="0"/>
              <w:jc w:val="right"/>
            </w:pPr>
            <w:r>
              <w:rPr>
                <w:rFonts w:ascii="Calibri" w:hAnsi="Calibri"/>
                <w:color w:val="334155"/>
                <w:sz w:val="19"/>
              </w:rPr>
              <w:t>NT$ 512.4M</w:t>
            </w:r>
          </w:p>
        </w:tc>
        <w:tc>
          <w:tcPr>
            <w:tcW w:type="dxa" w:w="1440"/>
            <w:shd w:fill="F8FAFC"/>
            <w:tcMar>
              <w:top w:w="100" w:type="dxa"/>
              <w:bottom w:w="100" w:type="dxa"/>
              <w:left w:w="140" w:type="dxa"/>
              <w:right w:w="140" w:type="dxa"/>
            </w:tcMar>
            <w:vAlign w:val="center"/>
          </w:tcPr>
          <w:p>
            <w:pPr>
              <w:spacing w:before="0" w:after="0"/>
              <w:jc w:val="right"/>
            </w:pPr>
            <w:r>
              <w:rPr>
                <w:rFonts w:ascii="Calibri" w:hAnsi="Calibri"/>
                <w:color w:val="334155"/>
                <w:sz w:val="19"/>
              </w:rPr>
              <w:t>NT$ 184.2M</w:t>
            </w:r>
          </w:p>
        </w:tc>
        <w:tc>
          <w:tcPr>
            <w:tcW w:type="dxa" w:w="1584"/>
            <w:shd w:fill="F8FAFC"/>
            <w:tcMar>
              <w:top w:w="100" w:type="dxa"/>
              <w:bottom w:w="100" w:type="dxa"/>
              <w:left w:w="140" w:type="dxa"/>
              <w:right w:w="140" w:type="dxa"/>
            </w:tcMar>
            <w:vAlign w:val="center"/>
          </w:tcPr>
          <w:p>
            <w:pPr>
              <w:spacing w:before="0" w:after="0"/>
              <w:jc w:val="right"/>
            </w:pPr>
            <w:r>
              <w:rPr>
                <w:rFonts w:ascii="Calibri" w:hAnsi="Calibri"/>
                <w:color w:val="334155"/>
                <w:sz w:val="19"/>
              </w:rPr>
              <w:t>+NT$ 328.2M</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0FDF4"/>
            <w:tcMar>
              <w:top w:w="160" w:type="dxa"/>
              <w:bottom w:w="160" w:type="dxa"/>
              <w:left w:w="220" w:type="dxa"/>
              <w:right w:w="200" w:type="dxa"/>
            </w:tcMar>
            <w:tcBorders>
              <w:top w:val="none"/>
              <w:left w:val="single" w:sz="36" w:space="0" w:color="10B981"/>
              <w:bottom w:val="none"/>
              <w:right w:val="none"/>
            </w:tcBorders>
          </w:tcPr>
          <w:p>
            <w:pPr>
              <w:spacing w:before="0" w:after="80"/>
            </w:pPr>
            <w:r>
              <w:rPr>
                <w:rFonts w:ascii="Calibri" w:hAnsi="Calibri"/>
                <w:b/>
                <w:color w:val="2563EB"/>
                <w:sz w:val="21"/>
              </w:rPr>
              <w:t>📌 UNDERWRITING COMMITTEE POLICY CONSENSUS</w:t>
              <w:br/>
            </w:r>
            <w:r>
              <w:rPr>
                <w:rFonts w:ascii="Calibri" w:hAnsi="Calibri"/>
                <w:color w:val="334155"/>
                <w:sz w:val="20"/>
              </w:rPr>
              <w:t>Optimal Policy Recommendation:</w:t>
              <w:br/>
              <w:t>The FICO 620 cutoff represents the institutional 'sweet-spot'. It preserves 65.4% of customer acquisition volume, reduces approved default rates from 22.1% down to 14.1%, and yields NT$ 206.6M in net commercial benefit. While cutoffs at 660+ prevent more losses, they severely constrict loan origination volume and client franchise value.</w:t>
            </w:r>
          </w:p>
        </w:tc>
      </w:tr>
    </w:tbl>
    <w:p>
      <w:pPr>
        <w:spacing w:before="0" w:after="120"/>
      </w:pPr>
    </w:p>
    <w:p>
      <w:pPr>
        <w:pStyle w:val="Heading1"/>
      </w:pPr>
      <w:r>
        <w:rPr>
          <w:color w:val="1E3A8A"/>
          <w:sz w:val="32"/>
        </w:rPr>
        <w:t>11. Non-Technical Interview Guide &amp; Model Talking Points</w:t>
      </w:r>
    </w:p>
    <w:p>
      <w:r>
        <w:t>Use these scripts when interviewing for non-technical roles (Credit Risk Analyst, Data Analyst, Business Analyst, Credit Underwriting Manager) to demonstrate business acumen and practical risk management without getting trapped in software engineering minutiae:</w:t>
      </w:r>
    </w:p>
    <w:p>
      <w:pPr>
        <w:spacing w:before="160" w:after="40"/>
      </w:pPr>
      <w:r>
        <w:rPr>
          <w:b/>
          <w:color w:val="1E3A8A"/>
          <w:sz w:val="22"/>
        </w:rPr>
        <w:t>Q1: Why did you pick Random Forest over Logistic Regression?</w:t>
      </w:r>
    </w:p>
    <w:p>
      <w:pPr>
        <w:spacing w:before="0" w:after="120"/>
      </w:pPr>
      <w:r>
        <w:rPr>
          <w:color w:val="334155"/>
          <w:sz w:val="20"/>
        </w:rPr>
        <w:t>“In banking, traditional scorecards use Logistic Regression because regulators require interpretable coefficients. However, credit risk in the real world is non-linear and compounding: a high credit limit is safe when the borrower pays on time, but becomes 4x deadlier when paired with a sudden 2-month repayment delay. Linear models struggle with that interaction without complex manual engineering. Random Forest captured these interactions naturally, achieving a KS statistic of 42.6%—an 8.3% lift over our logistic benchmark—which prevented NT$ 128M in write-offs.”</w:t>
      </w:r>
    </w:p>
    <w:p>
      <w:pPr>
        <w:spacing w:before="160" w:after="40"/>
      </w:pPr>
      <w:r>
        <w:rPr>
          <w:b/>
          <w:color w:val="1E3A8A"/>
          <w:sz w:val="22"/>
        </w:rPr>
        <w:t>Q2: How do you measure model performance in banking? Isn't accuracy enough?</w:t>
      </w:r>
    </w:p>
    <w:p>
      <w:pPr>
        <w:spacing w:before="0" w:after="120"/>
      </w:pPr>
      <w:r>
        <w:rPr>
          <w:color w:val="334155"/>
          <w:sz w:val="20"/>
        </w:rPr>
        <w:t>“Accuracy is misleading in credit risk due to class imbalance. If default prevalence is 20%, a naive model that approves everyone is 80% accurate but bankrupts the bank! In credit risk, we look at ROC-AUC and the KS Statistic. ROC-AUC tells us how well the model ranks good vs bad borrowers across all cutoffs, while KS measures the maximum vertical distance between good and bad cumulative distributions. In retail banking, a KS &gt; 40% represents an elite scorecard. More importantly, we translate the confusion matrix into dollars: bad debt avoided vs lost APR opportunity.”</w:t>
      </w:r>
    </w:p>
    <w:p>
      <w:pPr>
        <w:spacing w:before="160" w:after="40"/>
      </w:pPr>
      <w:r>
        <w:rPr>
          <w:b/>
          <w:color w:val="1E3A8A"/>
          <w:sz w:val="22"/>
        </w:rPr>
        <w:t>Q3: How do you balance risk management with commercial growth?</w:t>
      </w:r>
    </w:p>
    <w:p>
      <w:pPr>
        <w:spacing w:before="0" w:after="120"/>
      </w:pPr>
      <w:r>
        <w:rPr>
          <w:color w:val="334155"/>
          <w:sz w:val="20"/>
        </w:rPr>
        <w:t>“Risk management isn't about eliminating all defaults—that would mean zero loan volume and zero profit! We built an Underwriting Policy Simulator that models the net financial benefit: (Bad Debt Prevented) minus (Lost Interest on Good Borrowers). Setting our cutoff at FICO 620 approved 65.4% of applicants while driving the approved default rate down from 22.1% to 14.1%, delivering NT$ 206M in net economic value.”</w:t>
      </w:r>
    </w:p>
    <w:p>
      <w:pPr>
        <w:spacing w:before="160" w:after="40"/>
      </w:pPr>
      <w:r>
        <w:rPr>
          <w:b/>
          <w:color w:val="1E3A8A"/>
          <w:sz w:val="22"/>
        </w:rPr>
        <w:t>Q4: What are the primary warning signs that a borrower is about to default?</w:t>
      </w:r>
    </w:p>
    <w:p>
      <w:pPr>
        <w:spacing w:before="0" w:after="120"/>
      </w:pPr>
      <w:r>
        <w:rPr>
          <w:color w:val="334155"/>
          <w:sz w:val="20"/>
        </w:rPr>
        <w:t>“Our feature importance showed that past delinquency severity (MAX_DELINQUENCY_MONTHS) and chronic frequency (NUM_MONTHS_DELINQUENT) account for over 23% of total predictive power. Specifically, an account with a 1-month payment delay sees default rates jump by 4.2x (from 12.9% to 54.3%). Second is credit line strain: borrowers operating above 80% utilization default at 34.2%, showing severe dependence on revolving credit for basic living expenses.”</w:t>
      </w:r>
    </w:p>
    <w:p>
      <w:pPr>
        <w:spacing w:before="160" w:after="40"/>
      </w:pPr>
      <w:r>
        <w:rPr>
          <w:b/>
          <w:color w:val="1E3A8A"/>
          <w:sz w:val="22"/>
        </w:rPr>
        <w:t>Q5: How does your model align with Basel III and regulatory standards?</w:t>
      </w:r>
    </w:p>
    <w:p>
      <w:pPr>
        <w:spacing w:before="0" w:after="120"/>
      </w:pPr>
      <w:r>
        <w:rPr>
          <w:color w:val="334155"/>
          <w:sz w:val="20"/>
        </w:rPr>
        <w:t>“We integrated the Basel III Expected Credit Loss formula (ECL = EAD × PD × LGD) with a 12.5% Capital Adequacy Ratio target. The model's low Brier score (0.1685) ensures that predicted probabilities match real-world default frequencies, preventing under-provisioning. Furthermore, demographic variables like gender, marital status, and education contributed less than 0.6% combined, demonstrating fair lending compliance under ECOA rules.”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 xml:space="preserve">Confidential  •  Prepared for Credit Risk Committees &amp; Hiring Reviewers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CreditLens Institutional Risk Intelligence  |  Comprehensive Model Evaluation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