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 KETERANGAN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400.10.2.2 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Malang, menerangkan dengan sebenarnya bahwa 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1398337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Belum Kawin/Menikah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{Negara}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keterangan orang tersebut di atas, menerangkan bahwa orang tersebut di atas adalah benar-benar Penduduk Desa Wringinanom, Kecamatan Poncokusumo, Kabupaten Malang dan menerangkan bahwa orang tersebut di atas benar-benar berstatus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Belum Kawin/Menikah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0" distT="0" distL="0" distR="0">
                <wp:extent cx="313767" cy="378945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9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C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WUHyYPZai0ISXz0EhrTSnzeyw==">CgMxLjAaHwoBMBIaChgICVIUChJ0YWJsZS5weXZ6NnBybjRiNXU4AHIhMUttWlB2TG9HYVI2ZDRPcHhFbTVsNzl3MmxZRmZFVTlf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