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475/{Nomor_Surat}/35.07.07.2014/{Tahun_Surat}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0058380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Cerai Mati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orang tersebut di atas benar-benar  berstatus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Cerai Mati ({Status}) </w:t>
      </w:r>
      <w:r w:rsidDel="00000000" w:rsidR="00000000" w:rsidRPr="00000000">
        <w:rPr>
          <w:rFonts w:ascii="Arial" w:cs="Arial" w:eastAsia="Arial" w:hAnsi="Arial"/>
          <w:rtl w:val="0"/>
        </w:rPr>
        <w:t xml:space="preserve">dan sampai saat ini tidak/belum melakukan pernikahan lagi baik pernikahan yang sah ataupun pernikahan yang sah menurut negara. Surat Keterangan ini dipergunakan sebagai {Tujuan}.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9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D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6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15"/>
      <w:tblGridChange w:id="0">
        <w:tblGrid>
          <w:gridCol w:w="1545"/>
          <w:gridCol w:w="751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6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9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A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dqq4BSJdofkAzEI+7KhJyOjZw==">CgMxLjAaHwoBMBIaChgICVIUChJ0YWJsZS43dGljN3lrZDlvYnM4AHIhMW5YNEstbk10R21paEtTd3poTjRfUXhMdlA5bS1kVXZv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