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DOMISILI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Nomor: 400.10.2.5/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Yang bertanda tangan di bawah ini, Kepala Desa Wringinanom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Kecamatan Poncokusumo, Kabupaten Malang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8459918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 Lengkap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spacing w:line="240" w:lineRule="auto"/>
        <w:ind w:left="0" w:firstLine="566.9291338582677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Berdasarkan keterangan orang tersebut di atas bahwa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SEMASA HIDUPNYA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benar-benar berdomisili di Desa Wringinanom, Kecamatan </w:t>
      </w:r>
      <w:r w:rsidDel="00000000" w:rsidR="00000000" w:rsidRPr="00000000">
        <w:rPr>
          <w:rFonts w:ascii="Arial" w:cs="Arial" w:eastAsia="Arial" w:hAnsi="Arial"/>
          <w:rtl w:val="0"/>
        </w:rPr>
        <w:t xml:space="preserve">Poncokusumo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5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9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A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6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15"/>
      <w:tblGridChange w:id="0">
        <w:tblGrid>
          <w:gridCol w:w="1545"/>
          <w:gridCol w:w="751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2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4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5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6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Pp36VZpjfTQCl331tPdY8trM0A==">CgMxLjAaHwoBMBIaChgICVIUChJ0YWJsZS5kM2QxeHZ1OHhiajY4AHIhMUlEZTNOaFhjR244dFZuMlJZWFI5a2NUZDNyZHBDUF9f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