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Analisis Penjualan Retail dan Risiko Inventori</w:t>
      </w:r>
    </w:p>
    <w:p>
      <w:pPr>
        <w:spacing w:before="240" w:after="400"/>
        <w:jc w:val="center"/>
      </w:pPr>
      <w:r>
        <w:rPr>
          <w:b/>
          <w:sz w:val="28"/>
        </w:rPr>
        <w:t>Studi Kasus Big Data dengan PySpark</w:t>
      </w:r>
    </w:p>
    <w:p>
      <w:pPr>
        <w:spacing w:after="100"/>
        <w:jc w:val="center"/>
      </w:pPr>
      <w:r>
        <w:t>Dataset Synthetic Retail Dataset 10 Million Transactions</w:t>
      </w:r>
    </w:p>
    <w:p>
      <w:pPr>
        <w:spacing w:after="100"/>
        <w:jc w:val="center"/>
      </w:pPr>
      <w:r>
        <w:t>Periode analisis 2022 sampai 2025</w:t>
      </w:r>
    </w:p>
    <w:p>
      <w:pPr>
        <w:spacing w:after="100"/>
        <w:jc w:val="center"/>
      </w:pPr>
      <w:r>
        <w:t>Oktober 2026</w:t>
      </w:r>
    </w:p>
    <w:p>
      <w:r>
        <w:br w:type="page"/>
      </w:r>
    </w:p>
    <w:p>
      <w:pPr>
        <w:pStyle w:val="Heading1"/>
      </w:pPr>
      <w:r>
        <w:t>Ringkasan Eksekutif</w:t>
      </w:r>
    </w:p>
    <w:p>
      <w:r>
        <w:t>Analisis ini mengolah 9.945.511 baris transaksi retail pada periode 1 Januari 2022 sampai 31 Desember 2025. Pipeline menggunakan Pandas untuk eksplorasi awal, PySpark untuk transformasi data penuh, Parquet untuk penyimpanan hasil, serta Matplotlib untuk visualisasi. Hasil utama menunjukkan pertumbuhan nilai penjualan tahunan, dominasi kanal In Store, konsentrasi penjualan pada beberapa kategori dan kota, serta kebutuhan pengendalian promosi dan inventori yang lebih terarah.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trPr>
        <w:tc>
          <w:tcPr>
            <w:tcW w:type="dxa" w:w="5102"/>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Indikator</w:t>
            </w:r>
          </w:p>
        </w:tc>
        <w:tc>
          <w:tcPr>
            <w:tcW w:type="dxa" w:w="3855"/>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Hasil</w:t>
            </w:r>
          </w:p>
        </w:tc>
      </w:tr>
      <w:tr>
        <w:tc>
          <w:tcPr>
            <w:tcW w:type="dxa" w:w="5102"/>
            <w:vAlign w:val="center"/>
            <w:tcMar>
              <w:top w:w="100" w:type="dxa"/>
              <w:start w:w="120" w:type="dxa"/>
              <w:bottom w:w="100" w:type="dxa"/>
              <w:end w:w="120" w:type="dxa"/>
            </w:tcMar>
            <w:shd w:fill="FFFFFF"/>
          </w:tcPr>
          <w:p>
            <w:pPr>
              <w:spacing w:before="0" w:after="0" w:line="252" w:lineRule="auto"/>
              <w:jc w:val="left"/>
            </w:pPr>
            <w:r>
              <w:rPr>
                <w:rFonts w:ascii="Arial" w:hAnsi="Arial"/>
                <w:sz w:val="18"/>
              </w:rPr>
              <w:t>Baris transaksi</w:t>
            </w:r>
          </w:p>
        </w:tc>
        <w:tc>
          <w:tcPr>
            <w:tcW w:type="dxa" w:w="3855"/>
            <w:vAlign w:val="center"/>
            <w:tcMar>
              <w:top w:w="100" w:type="dxa"/>
              <w:start w:w="120" w:type="dxa"/>
              <w:bottom w:w="100" w:type="dxa"/>
              <w:end w:w="120" w:type="dxa"/>
            </w:tcMar>
            <w:shd w:fill="FFFFFF"/>
          </w:tcPr>
          <w:p>
            <w:pPr>
              <w:spacing w:before="0" w:after="0" w:line="252" w:lineRule="auto"/>
              <w:jc w:val="center"/>
            </w:pPr>
            <w:r>
              <w:rPr>
                <w:rFonts w:ascii="Arial" w:hAnsi="Arial"/>
                <w:sz w:val="18"/>
              </w:rPr>
              <w:t>9.945.511</w:t>
            </w:r>
          </w:p>
        </w:tc>
      </w:tr>
      <w:tr>
        <w:tc>
          <w:tcPr>
            <w:tcW w:type="dxa" w:w="5102"/>
            <w:vAlign w:val="center"/>
            <w:tcMar>
              <w:top w:w="100" w:type="dxa"/>
              <w:start w:w="120" w:type="dxa"/>
              <w:bottom w:w="100" w:type="dxa"/>
              <w:end w:w="120" w:type="dxa"/>
            </w:tcMar>
            <w:shd w:fill="EAF1F7"/>
          </w:tcPr>
          <w:p>
            <w:pPr>
              <w:spacing w:before="0" w:after="0" w:line="252" w:lineRule="auto"/>
              <w:jc w:val="left"/>
            </w:pPr>
            <w:r>
              <w:rPr>
                <w:rFonts w:ascii="Arial" w:hAnsi="Arial"/>
                <w:sz w:val="18"/>
              </w:rPr>
              <w:t>Jumlah struk</w:t>
            </w:r>
          </w:p>
        </w:tc>
        <w:tc>
          <w:tcPr>
            <w:tcW w:type="dxa" w:w="3855"/>
            <w:vAlign w:val="center"/>
            <w:tcMar>
              <w:top w:w="100" w:type="dxa"/>
              <w:start w:w="120" w:type="dxa"/>
              <w:bottom w:w="100" w:type="dxa"/>
              <w:end w:w="120" w:type="dxa"/>
            </w:tcMar>
            <w:shd w:fill="EAF1F7"/>
          </w:tcPr>
          <w:p>
            <w:pPr>
              <w:spacing w:before="0" w:after="0" w:line="252" w:lineRule="auto"/>
              <w:jc w:val="center"/>
            </w:pPr>
            <w:r>
              <w:rPr>
                <w:rFonts w:ascii="Arial" w:hAnsi="Arial"/>
                <w:sz w:val="18"/>
              </w:rPr>
              <w:t>5.167.864</w:t>
            </w:r>
          </w:p>
        </w:tc>
      </w:tr>
      <w:tr>
        <w:tc>
          <w:tcPr>
            <w:tcW w:type="dxa" w:w="5102"/>
            <w:vAlign w:val="center"/>
            <w:tcMar>
              <w:top w:w="100" w:type="dxa"/>
              <w:start w:w="120" w:type="dxa"/>
              <w:bottom w:w="100" w:type="dxa"/>
              <w:end w:w="120" w:type="dxa"/>
            </w:tcMar>
            <w:shd w:fill="FFFFFF"/>
          </w:tcPr>
          <w:p>
            <w:pPr>
              <w:spacing w:before="0" w:after="0" w:line="252" w:lineRule="auto"/>
              <w:jc w:val="left"/>
            </w:pPr>
            <w:r>
              <w:rPr>
                <w:rFonts w:ascii="Arial" w:hAnsi="Arial"/>
                <w:sz w:val="18"/>
              </w:rPr>
              <w:t>Jumlah unit</w:t>
            </w:r>
          </w:p>
        </w:tc>
        <w:tc>
          <w:tcPr>
            <w:tcW w:type="dxa" w:w="3855"/>
            <w:vAlign w:val="center"/>
            <w:tcMar>
              <w:top w:w="100" w:type="dxa"/>
              <w:start w:w="120" w:type="dxa"/>
              <w:bottom w:w="100" w:type="dxa"/>
              <w:end w:w="120" w:type="dxa"/>
            </w:tcMar>
            <w:shd w:fill="FFFFFF"/>
          </w:tcPr>
          <w:p>
            <w:pPr>
              <w:spacing w:before="0" w:after="0" w:line="252" w:lineRule="auto"/>
              <w:jc w:val="center"/>
            </w:pPr>
            <w:r>
              <w:rPr>
                <w:rFonts w:ascii="Arial" w:hAnsi="Arial"/>
                <w:sz w:val="18"/>
              </w:rPr>
              <w:t>18.700.906</w:t>
            </w:r>
          </w:p>
        </w:tc>
      </w:tr>
      <w:tr>
        <w:tc>
          <w:tcPr>
            <w:tcW w:type="dxa" w:w="5102"/>
            <w:vAlign w:val="center"/>
            <w:tcMar>
              <w:top w:w="100" w:type="dxa"/>
              <w:start w:w="120" w:type="dxa"/>
              <w:bottom w:w="100" w:type="dxa"/>
              <w:end w:w="120" w:type="dxa"/>
            </w:tcMar>
            <w:shd w:fill="EAF1F7"/>
          </w:tcPr>
          <w:p>
            <w:pPr>
              <w:spacing w:before="0" w:after="0" w:line="252" w:lineRule="auto"/>
              <w:jc w:val="left"/>
            </w:pPr>
            <w:r>
              <w:rPr>
                <w:rFonts w:ascii="Arial" w:hAnsi="Arial"/>
                <w:sz w:val="18"/>
              </w:rPr>
              <w:t>Nilai penjualan</w:t>
            </w:r>
          </w:p>
        </w:tc>
        <w:tc>
          <w:tcPr>
            <w:tcW w:type="dxa" w:w="3855"/>
            <w:vAlign w:val="center"/>
            <w:tcMar>
              <w:top w:w="100" w:type="dxa"/>
              <w:start w:w="120" w:type="dxa"/>
              <w:bottom w:w="100" w:type="dxa"/>
              <w:end w:w="120" w:type="dxa"/>
            </w:tcMar>
            <w:shd w:fill="EAF1F7"/>
          </w:tcPr>
          <w:p>
            <w:pPr>
              <w:spacing w:before="0" w:after="0" w:line="252" w:lineRule="auto"/>
              <w:jc w:val="center"/>
            </w:pPr>
            <w:r>
              <w:rPr>
                <w:rFonts w:ascii="Arial" w:hAnsi="Arial"/>
                <w:sz w:val="18"/>
              </w:rPr>
              <w:t>10.885.479.492,46</w:t>
            </w:r>
          </w:p>
        </w:tc>
      </w:tr>
      <w:tr>
        <w:tc>
          <w:tcPr>
            <w:tcW w:type="dxa" w:w="5102"/>
            <w:vAlign w:val="center"/>
            <w:tcMar>
              <w:top w:w="100" w:type="dxa"/>
              <w:start w:w="120" w:type="dxa"/>
              <w:bottom w:w="100" w:type="dxa"/>
              <w:end w:w="120" w:type="dxa"/>
            </w:tcMar>
            <w:shd w:fill="FFFFFF"/>
          </w:tcPr>
          <w:p>
            <w:pPr>
              <w:spacing w:before="0" w:after="0" w:line="252" w:lineRule="auto"/>
              <w:jc w:val="left"/>
            </w:pPr>
            <w:r>
              <w:rPr>
                <w:rFonts w:ascii="Arial" w:hAnsi="Arial"/>
                <w:sz w:val="18"/>
              </w:rPr>
              <w:t>Struk dengan promosi</w:t>
            </w:r>
          </w:p>
        </w:tc>
        <w:tc>
          <w:tcPr>
            <w:tcW w:type="dxa" w:w="3855"/>
            <w:vAlign w:val="center"/>
            <w:tcMar>
              <w:top w:w="100" w:type="dxa"/>
              <w:start w:w="120" w:type="dxa"/>
              <w:bottom w:w="100" w:type="dxa"/>
              <w:end w:w="120" w:type="dxa"/>
            </w:tcMar>
            <w:shd w:fill="FFFFFF"/>
          </w:tcPr>
          <w:p>
            <w:pPr>
              <w:spacing w:before="0" w:after="0" w:line="252" w:lineRule="auto"/>
              <w:jc w:val="center"/>
            </w:pPr>
            <w:r>
              <w:rPr>
                <w:rFonts w:ascii="Arial" w:hAnsi="Arial"/>
                <w:sz w:val="18"/>
              </w:rPr>
              <w:t>23,97%</w:t>
            </w:r>
          </w:p>
        </w:tc>
      </w:tr>
      <w:tr>
        <w:tc>
          <w:tcPr>
            <w:tcW w:type="dxa" w:w="5102"/>
            <w:vAlign w:val="center"/>
            <w:tcMar>
              <w:top w:w="100" w:type="dxa"/>
              <w:start w:w="120" w:type="dxa"/>
              <w:bottom w:w="100" w:type="dxa"/>
              <w:end w:w="120" w:type="dxa"/>
            </w:tcMar>
            <w:shd w:fill="EAF1F7"/>
          </w:tcPr>
          <w:p>
            <w:pPr>
              <w:spacing w:before="0" w:after="0" w:line="252" w:lineRule="auto"/>
              <w:jc w:val="left"/>
            </w:pPr>
            <w:r>
              <w:rPr>
                <w:rFonts w:ascii="Arial" w:hAnsi="Arial"/>
                <w:sz w:val="18"/>
              </w:rPr>
              <w:t>Catatan mata uang</w:t>
            </w:r>
          </w:p>
        </w:tc>
        <w:tc>
          <w:tcPr>
            <w:tcW w:type="dxa" w:w="3855"/>
            <w:vAlign w:val="center"/>
            <w:tcMar>
              <w:top w:w="100" w:type="dxa"/>
              <w:start w:w="120" w:type="dxa"/>
              <w:bottom w:w="100" w:type="dxa"/>
              <w:end w:w="120" w:type="dxa"/>
            </w:tcMar>
            <w:shd w:fill="EAF1F7"/>
          </w:tcPr>
          <w:p>
            <w:pPr>
              <w:spacing w:before="0" w:after="0" w:line="252" w:lineRule="auto"/>
              <w:jc w:val="center"/>
            </w:pPr>
            <w:r>
              <w:rPr>
                <w:rFonts w:ascii="Arial" w:hAnsi="Arial"/>
                <w:sz w:val="18"/>
              </w:rPr>
              <w:t>Satuan mata uang tidak dinyatakan oleh sumber</w:t>
            </w:r>
          </w:p>
        </w:tc>
      </w:tr>
    </w:tbl>
    <w:p>
      <w:pPr>
        <w:spacing w:after="0"/>
      </w:pPr>
    </w:p>
    <w:p>
      <w:pPr>
        <w:pStyle w:val="Heading1"/>
      </w:pPr>
      <w:r>
        <w:t>1 Pendahuluan</w:t>
      </w:r>
    </w:p>
    <w:p>
      <w:pPr>
        <w:pStyle w:val="Heading2"/>
      </w:pPr>
      <w:r>
        <w:t>1.1 Latar Belakang</w:t>
      </w:r>
    </w:p>
    <w:p>
      <w:r>
        <w:t>Dataset retail berskala hampir sepuluh juta baris tidak lagi nyaman dianalisis seluruhnya menggunakan spreadsheet biasa. Masalah yang dikaji bukan hanya besarnya volume data, tetapi juga bagaimana menggabungkan transaksi dengan data toko, produk, pelanggan, promosi, dan inventori sehingga menghasilkan informasi yang dapat digunakan untuk keputusan bisnis.</w:t>
      </w:r>
    </w:p>
    <w:p>
      <w:pPr>
        <w:pStyle w:val="Heading2"/>
      </w:pPr>
      <w:r>
        <w:t>1.2 Rumusan Masalah</w:t>
      </w:r>
    </w:p>
    <w:p>
      <w:pPr>
        <w:pStyle w:val="ListBullet"/>
      </w:pPr>
      <w:r>
        <w:t>Bagaimana tren nilai penjualan selama 2022 sampai 2025?</w:t>
      </w:r>
    </w:p>
    <w:p>
      <w:pPr>
        <w:pStyle w:val="ListBullet"/>
      </w:pPr>
      <w:r>
        <w:t>Kanal, kategori, dan kota mana yang memberi kontribusi terbesar?</w:t>
      </w:r>
    </w:p>
    <w:p>
      <w:pPr>
        <w:pStyle w:val="ListBullet"/>
      </w:pPr>
      <w:r>
        <w:t>Apakah struk dengan promosi memiliki jumlah unit, nilai transaksi, dan margin yang berbeda?</w:t>
      </w:r>
    </w:p>
    <w:p>
      <w:pPr>
        <w:pStyle w:val="ListBullet"/>
      </w:pPr>
      <w:r>
        <w:t>Produk mana yang perlu diprioritaskan karena risiko kehabisan atau kelebihan stok?</w:t>
      </w:r>
    </w:p>
    <w:p>
      <w:pPr>
        <w:pStyle w:val="ListBullet"/>
      </w:pPr>
      <w:r>
        <w:t>Bagaimana pipeline ETL dibangun agar analisis dapat dijalankan secara lokal maupun melalui Google Colab?</w:t>
      </w:r>
    </w:p>
    <w:p>
      <w:pPr>
        <w:pStyle w:val="Heading2"/>
      </w:pPr>
      <w:r>
        <w:t>1.3 Tujuan</w:t>
      </w:r>
    </w:p>
    <w:p>
      <w:r>
        <w:t>Tujuan proyek adalah membangun pipeline analitik yang dapat direproduksi, memeriksa kualitas data, menghasilkan agregasi bisnis, menyimpan hasil dalam format yang efisien, dan menyusun rekomendasi berdasarkan angka yang dihasilkan dari data penuh.</w:t>
      </w:r>
    </w:p>
    <w:p>
      <w:pPr>
        <w:pStyle w:val="Heading1"/>
      </w:pPr>
      <w:r>
        <w:t>2 Dataset dan Model Data</w:t>
      </w:r>
    </w:p>
    <w:p>
      <w:r>
        <w:t>Data berasal dari Kaggle dengan judul Synthetic Retail Dataset 10 Million Transactions dan lisensi Apache License 2.0. Analisis utama menggunakan versi contaminated karena versi tersebut memuat anomali bisnis berupa stockout dan slow mover. Versi clean dipertahankan sebagai pembanding.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2268"/>
        <w:gridCol w:w="2268"/>
        <w:gridCol w:w="2268"/>
      </w:tblGrid>
      <w:tr>
        <w:trPr>
          <w:tblHeader w:val="true"/>
        </w:trPr>
        <w:tc>
          <w:tcPr>
            <w:tcW w:type="dxa" w:w="1814"/>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Tabel</w:t>
            </w:r>
          </w:p>
        </w:tc>
        <w:tc>
          <w:tcPr>
            <w:tcW w:type="dxa" w:w="1644"/>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Peran</w:t>
            </w:r>
          </w:p>
        </w:tc>
        <w:tc>
          <w:tcPr>
            <w:tcW w:type="dxa" w:w="1361"/>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Jumlah baris</w:t>
            </w:r>
          </w:p>
        </w:tc>
        <w:tc>
          <w:tcPr>
            <w:tcW w:type="dxa" w:w="4139"/>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Keterangan</w:t>
            </w:r>
          </w:p>
        </w:tc>
      </w:tr>
      <w:tr>
        <w:tc>
          <w:tcPr>
            <w:tcW w:type="dxa" w:w="1814"/>
            <w:vAlign w:val="center"/>
            <w:tcMar>
              <w:top w:w="100" w:type="dxa"/>
              <w:start w:w="120" w:type="dxa"/>
              <w:bottom w:w="100" w:type="dxa"/>
              <w:end w:w="120" w:type="dxa"/>
            </w:tcMar>
            <w:shd w:fill="FFFFFF"/>
          </w:tcPr>
          <w:p>
            <w:pPr>
              <w:spacing w:before="0" w:after="0" w:line="252" w:lineRule="auto"/>
              <w:jc w:val="left"/>
            </w:pPr>
            <w:r>
              <w:rPr>
                <w:rFonts w:ascii="Arial" w:hAnsi="Arial"/>
                <w:sz w:val="18"/>
              </w:rPr>
              <w:t>sales transactions</w:t>
            </w:r>
          </w:p>
        </w:tc>
        <w:tc>
          <w:tcPr>
            <w:tcW w:type="dxa" w:w="1644"/>
            <w:vAlign w:val="center"/>
            <w:tcMar>
              <w:top w:w="100" w:type="dxa"/>
              <w:start w:w="120" w:type="dxa"/>
              <w:bottom w:w="100" w:type="dxa"/>
              <w:end w:w="120" w:type="dxa"/>
            </w:tcMar>
            <w:shd w:fill="FFFFFF"/>
          </w:tcPr>
          <w:p>
            <w:pPr>
              <w:spacing w:before="0" w:after="0" w:line="252" w:lineRule="auto"/>
              <w:jc w:val="left"/>
            </w:pPr>
            <w:r>
              <w:rPr>
                <w:rFonts w:ascii="Arial" w:hAnsi="Arial"/>
                <w:sz w:val="18"/>
              </w:rPr>
              <w:t>Fakta penjualan</w:t>
            </w:r>
          </w:p>
        </w:tc>
        <w:tc>
          <w:tcPr>
            <w:tcW w:type="dxa" w:w="1361"/>
            <w:vAlign w:val="center"/>
            <w:tcMar>
              <w:top w:w="100" w:type="dxa"/>
              <w:start w:w="120" w:type="dxa"/>
              <w:bottom w:w="100" w:type="dxa"/>
              <w:end w:w="120" w:type="dxa"/>
            </w:tcMar>
            <w:shd w:fill="FFFFFF"/>
          </w:tcPr>
          <w:p>
            <w:pPr>
              <w:spacing w:before="0" w:after="0" w:line="252" w:lineRule="auto"/>
              <w:jc w:val="center"/>
            </w:pPr>
            <w:r>
              <w:rPr>
                <w:rFonts w:ascii="Arial" w:hAnsi="Arial"/>
                <w:sz w:val="18"/>
              </w:rPr>
              <w:t>9.945.511</w:t>
            </w:r>
          </w:p>
        </w:tc>
        <w:tc>
          <w:tcPr>
            <w:tcW w:type="dxa" w:w="4139"/>
            <w:vAlign w:val="center"/>
            <w:tcMar>
              <w:top w:w="100" w:type="dxa"/>
              <w:start w:w="120" w:type="dxa"/>
              <w:bottom w:w="100" w:type="dxa"/>
              <w:end w:w="120" w:type="dxa"/>
            </w:tcMar>
            <w:shd w:fill="FFFFFF"/>
          </w:tcPr>
          <w:p>
            <w:pPr>
              <w:spacing w:before="0" w:after="0" w:line="252" w:lineRule="auto"/>
              <w:jc w:val="left"/>
            </w:pPr>
            <w:r>
              <w:rPr>
                <w:rFonts w:ascii="Arial" w:hAnsi="Arial"/>
                <w:sz w:val="18"/>
              </w:rPr>
              <w:t>Satu baris mewakili satu item pada struk</w:t>
            </w:r>
          </w:p>
        </w:tc>
      </w:tr>
      <w:tr>
        <w:tc>
          <w:tcPr>
            <w:tcW w:type="dxa" w:w="1814"/>
            <w:vAlign w:val="center"/>
            <w:tcMar>
              <w:top w:w="100" w:type="dxa"/>
              <w:start w:w="120" w:type="dxa"/>
              <w:bottom w:w="100" w:type="dxa"/>
              <w:end w:w="120" w:type="dxa"/>
            </w:tcMar>
            <w:shd w:fill="EAF1F7"/>
          </w:tcPr>
          <w:p>
            <w:pPr>
              <w:spacing w:before="0" w:after="0" w:line="252" w:lineRule="auto"/>
              <w:jc w:val="left"/>
            </w:pPr>
            <w:r>
              <w:rPr>
                <w:rFonts w:ascii="Arial" w:hAnsi="Arial"/>
                <w:sz w:val="18"/>
              </w:rPr>
              <w:t>store master</w:t>
            </w:r>
          </w:p>
        </w:tc>
        <w:tc>
          <w:tcPr>
            <w:tcW w:type="dxa" w:w="1644"/>
            <w:vAlign w:val="center"/>
            <w:tcMar>
              <w:top w:w="100" w:type="dxa"/>
              <w:start w:w="120" w:type="dxa"/>
              <w:bottom w:w="100" w:type="dxa"/>
              <w:end w:w="120" w:type="dxa"/>
            </w:tcMar>
            <w:shd w:fill="EAF1F7"/>
          </w:tcPr>
          <w:p>
            <w:pPr>
              <w:spacing w:before="0" w:after="0" w:line="252" w:lineRule="auto"/>
              <w:jc w:val="left"/>
            </w:pPr>
            <w:r>
              <w:rPr>
                <w:rFonts w:ascii="Arial" w:hAnsi="Arial"/>
                <w:sz w:val="18"/>
              </w:rPr>
              <w:t>Dimensi toko</w:t>
            </w:r>
          </w:p>
        </w:tc>
        <w:tc>
          <w:tcPr>
            <w:tcW w:type="dxa" w:w="1361"/>
            <w:vAlign w:val="center"/>
            <w:tcMar>
              <w:top w:w="100" w:type="dxa"/>
              <w:start w:w="120" w:type="dxa"/>
              <w:bottom w:w="100" w:type="dxa"/>
              <w:end w:w="120" w:type="dxa"/>
            </w:tcMar>
            <w:shd w:fill="EAF1F7"/>
          </w:tcPr>
          <w:p>
            <w:pPr>
              <w:spacing w:before="0" w:after="0" w:line="252" w:lineRule="auto"/>
              <w:jc w:val="center"/>
            </w:pPr>
            <w:r>
              <w:rPr>
                <w:rFonts w:ascii="Arial" w:hAnsi="Arial"/>
                <w:sz w:val="18"/>
              </w:rPr>
              <w:t>30</w:t>
            </w:r>
          </w:p>
        </w:tc>
        <w:tc>
          <w:tcPr>
            <w:tcW w:type="dxa" w:w="4139"/>
            <w:vAlign w:val="center"/>
            <w:tcMar>
              <w:top w:w="100" w:type="dxa"/>
              <w:start w:w="120" w:type="dxa"/>
              <w:bottom w:w="100" w:type="dxa"/>
              <w:end w:w="120" w:type="dxa"/>
            </w:tcMar>
            <w:shd w:fill="EAF1F7"/>
          </w:tcPr>
          <w:p>
            <w:pPr>
              <w:spacing w:before="0" w:after="0" w:line="252" w:lineRule="auto"/>
              <w:jc w:val="left"/>
            </w:pPr>
            <w:r>
              <w:rPr>
                <w:rFonts w:ascii="Arial" w:hAnsi="Arial"/>
                <w:sz w:val="18"/>
              </w:rPr>
              <w:t>Nama toko, kota, tipe, tanggal buka</w:t>
            </w:r>
          </w:p>
        </w:tc>
      </w:tr>
      <w:tr>
        <w:tc>
          <w:tcPr>
            <w:tcW w:type="dxa" w:w="1814"/>
            <w:vAlign w:val="center"/>
            <w:tcMar>
              <w:top w:w="100" w:type="dxa"/>
              <w:start w:w="120" w:type="dxa"/>
              <w:bottom w:w="100" w:type="dxa"/>
              <w:end w:w="120" w:type="dxa"/>
            </w:tcMar>
            <w:shd w:fill="FFFFFF"/>
          </w:tcPr>
          <w:p>
            <w:pPr>
              <w:spacing w:before="0" w:after="0" w:line="252" w:lineRule="auto"/>
              <w:jc w:val="left"/>
            </w:pPr>
            <w:r>
              <w:rPr>
                <w:rFonts w:ascii="Arial" w:hAnsi="Arial"/>
                <w:sz w:val="18"/>
              </w:rPr>
              <w:t>sku master</w:t>
            </w:r>
          </w:p>
        </w:tc>
        <w:tc>
          <w:tcPr>
            <w:tcW w:type="dxa" w:w="1644"/>
            <w:vAlign w:val="center"/>
            <w:tcMar>
              <w:top w:w="100" w:type="dxa"/>
              <w:start w:w="120" w:type="dxa"/>
              <w:bottom w:w="100" w:type="dxa"/>
              <w:end w:w="120" w:type="dxa"/>
            </w:tcMar>
            <w:shd w:fill="FFFFFF"/>
          </w:tcPr>
          <w:p>
            <w:pPr>
              <w:spacing w:before="0" w:after="0" w:line="252" w:lineRule="auto"/>
              <w:jc w:val="left"/>
            </w:pPr>
            <w:r>
              <w:rPr>
                <w:rFonts w:ascii="Arial" w:hAnsi="Arial"/>
                <w:sz w:val="18"/>
              </w:rPr>
              <w:t>Dimensi produk</w:t>
            </w:r>
          </w:p>
        </w:tc>
        <w:tc>
          <w:tcPr>
            <w:tcW w:type="dxa" w:w="1361"/>
            <w:vAlign w:val="center"/>
            <w:tcMar>
              <w:top w:w="100" w:type="dxa"/>
              <w:start w:w="120" w:type="dxa"/>
              <w:bottom w:w="100" w:type="dxa"/>
              <w:end w:w="120" w:type="dxa"/>
            </w:tcMar>
            <w:shd w:fill="FFFFFF"/>
          </w:tcPr>
          <w:p>
            <w:pPr>
              <w:spacing w:before="0" w:after="0" w:line="252" w:lineRule="auto"/>
              <w:jc w:val="center"/>
            </w:pPr>
            <w:r>
              <w:rPr>
                <w:rFonts w:ascii="Arial" w:hAnsi="Arial"/>
                <w:sz w:val="18"/>
              </w:rPr>
              <w:t>5.000</w:t>
            </w:r>
          </w:p>
        </w:tc>
        <w:tc>
          <w:tcPr>
            <w:tcW w:type="dxa" w:w="4139"/>
            <w:vAlign w:val="center"/>
            <w:tcMar>
              <w:top w:w="100" w:type="dxa"/>
              <w:start w:w="120" w:type="dxa"/>
              <w:bottom w:w="100" w:type="dxa"/>
              <w:end w:w="120" w:type="dxa"/>
            </w:tcMar>
            <w:shd w:fill="FFFFFF"/>
          </w:tcPr>
          <w:p>
            <w:pPr>
              <w:spacing w:before="0" w:after="0" w:line="252" w:lineRule="auto"/>
              <w:jc w:val="left"/>
            </w:pPr>
            <w:r>
              <w:rPr>
                <w:rFonts w:ascii="Arial" w:hAnsi="Arial"/>
                <w:sz w:val="18"/>
              </w:rPr>
              <w:t>Kategori, subkategori, merek, harga, biaya</w:t>
            </w:r>
          </w:p>
        </w:tc>
      </w:tr>
      <w:tr>
        <w:tc>
          <w:tcPr>
            <w:tcW w:type="dxa" w:w="1814"/>
            <w:vAlign w:val="center"/>
            <w:tcMar>
              <w:top w:w="100" w:type="dxa"/>
              <w:start w:w="120" w:type="dxa"/>
              <w:bottom w:w="100" w:type="dxa"/>
              <w:end w:w="120" w:type="dxa"/>
            </w:tcMar>
            <w:shd w:fill="EAF1F7"/>
          </w:tcPr>
          <w:p>
            <w:pPr>
              <w:spacing w:before="0" w:after="0" w:line="252" w:lineRule="auto"/>
              <w:jc w:val="left"/>
            </w:pPr>
            <w:r>
              <w:rPr>
                <w:rFonts w:ascii="Arial" w:hAnsi="Arial"/>
                <w:sz w:val="18"/>
              </w:rPr>
              <w:t>customer master</w:t>
            </w:r>
          </w:p>
        </w:tc>
        <w:tc>
          <w:tcPr>
            <w:tcW w:type="dxa" w:w="1644"/>
            <w:vAlign w:val="center"/>
            <w:tcMar>
              <w:top w:w="100" w:type="dxa"/>
              <w:start w:w="120" w:type="dxa"/>
              <w:bottom w:w="100" w:type="dxa"/>
              <w:end w:w="120" w:type="dxa"/>
            </w:tcMar>
            <w:shd w:fill="EAF1F7"/>
          </w:tcPr>
          <w:p>
            <w:pPr>
              <w:spacing w:before="0" w:after="0" w:line="252" w:lineRule="auto"/>
              <w:jc w:val="left"/>
            </w:pPr>
            <w:r>
              <w:rPr>
                <w:rFonts w:ascii="Arial" w:hAnsi="Arial"/>
                <w:sz w:val="18"/>
              </w:rPr>
              <w:t>Dimensi pelanggan</w:t>
            </w:r>
          </w:p>
        </w:tc>
        <w:tc>
          <w:tcPr>
            <w:tcW w:type="dxa" w:w="1361"/>
            <w:vAlign w:val="center"/>
            <w:tcMar>
              <w:top w:w="100" w:type="dxa"/>
              <w:start w:w="120" w:type="dxa"/>
              <w:bottom w:w="100" w:type="dxa"/>
              <w:end w:w="120" w:type="dxa"/>
            </w:tcMar>
            <w:shd w:fill="EAF1F7"/>
          </w:tcPr>
          <w:p>
            <w:pPr>
              <w:spacing w:before="0" w:after="0" w:line="252" w:lineRule="auto"/>
              <w:jc w:val="center"/>
            </w:pPr>
            <w:r>
              <w:rPr>
                <w:rFonts w:ascii="Arial" w:hAnsi="Arial"/>
                <w:sz w:val="18"/>
              </w:rPr>
              <w:t>10.000</w:t>
            </w:r>
          </w:p>
        </w:tc>
        <w:tc>
          <w:tcPr>
            <w:tcW w:type="dxa" w:w="4139"/>
            <w:vAlign w:val="center"/>
            <w:tcMar>
              <w:top w:w="100" w:type="dxa"/>
              <w:start w:w="120" w:type="dxa"/>
              <w:bottom w:w="100" w:type="dxa"/>
              <w:end w:w="120" w:type="dxa"/>
            </w:tcMar>
            <w:shd w:fill="EAF1F7"/>
          </w:tcPr>
          <w:p>
            <w:pPr>
              <w:spacing w:before="0" w:after="0" w:line="252" w:lineRule="auto"/>
              <w:jc w:val="left"/>
            </w:pPr>
            <w:r>
              <w:rPr>
                <w:rFonts w:ascii="Arial" w:hAnsi="Arial"/>
                <w:sz w:val="18"/>
              </w:rPr>
              <w:t>Demografi dan segmen loyalitas</w:t>
            </w:r>
          </w:p>
        </w:tc>
      </w:tr>
      <w:tr>
        <w:tc>
          <w:tcPr>
            <w:tcW w:type="dxa" w:w="1814"/>
            <w:vAlign w:val="center"/>
            <w:tcMar>
              <w:top w:w="100" w:type="dxa"/>
              <w:start w:w="120" w:type="dxa"/>
              <w:bottom w:w="100" w:type="dxa"/>
              <w:end w:w="120" w:type="dxa"/>
            </w:tcMar>
            <w:shd w:fill="FFFFFF"/>
          </w:tcPr>
          <w:p>
            <w:pPr>
              <w:spacing w:before="0" w:after="0" w:line="252" w:lineRule="auto"/>
              <w:jc w:val="left"/>
            </w:pPr>
            <w:r>
              <w:rPr>
                <w:rFonts w:ascii="Arial" w:hAnsi="Arial"/>
                <w:sz w:val="18"/>
              </w:rPr>
              <w:t>promotions</w:t>
            </w:r>
          </w:p>
        </w:tc>
        <w:tc>
          <w:tcPr>
            <w:tcW w:type="dxa" w:w="1644"/>
            <w:vAlign w:val="center"/>
            <w:tcMar>
              <w:top w:w="100" w:type="dxa"/>
              <w:start w:w="120" w:type="dxa"/>
              <w:bottom w:w="100" w:type="dxa"/>
              <w:end w:w="120" w:type="dxa"/>
            </w:tcMar>
            <w:shd w:fill="FFFFFF"/>
          </w:tcPr>
          <w:p>
            <w:pPr>
              <w:spacing w:before="0" w:after="0" w:line="252" w:lineRule="auto"/>
              <w:jc w:val="left"/>
            </w:pPr>
            <w:r>
              <w:rPr>
                <w:rFonts w:ascii="Arial" w:hAnsi="Arial"/>
                <w:sz w:val="18"/>
              </w:rPr>
              <w:t>Dimensi promosi</w:t>
            </w:r>
          </w:p>
        </w:tc>
        <w:tc>
          <w:tcPr>
            <w:tcW w:type="dxa" w:w="1361"/>
            <w:vAlign w:val="center"/>
            <w:tcMar>
              <w:top w:w="100" w:type="dxa"/>
              <w:start w:w="120" w:type="dxa"/>
              <w:bottom w:w="100" w:type="dxa"/>
              <w:end w:w="120" w:type="dxa"/>
            </w:tcMar>
            <w:shd w:fill="FFFFFF"/>
          </w:tcPr>
          <w:p>
            <w:pPr>
              <w:spacing w:before="0" w:after="0" w:line="252" w:lineRule="auto"/>
              <w:jc w:val="center"/>
            </w:pPr>
            <w:r>
              <w:rPr>
                <w:rFonts w:ascii="Arial" w:hAnsi="Arial"/>
                <w:sz w:val="18"/>
              </w:rPr>
              <w:t>100</w:t>
            </w:r>
          </w:p>
        </w:tc>
        <w:tc>
          <w:tcPr>
            <w:tcW w:type="dxa" w:w="4139"/>
            <w:vAlign w:val="center"/>
            <w:tcMar>
              <w:top w:w="100" w:type="dxa"/>
              <w:start w:w="120" w:type="dxa"/>
              <w:bottom w:w="100" w:type="dxa"/>
              <w:end w:w="120" w:type="dxa"/>
            </w:tcMar>
            <w:shd w:fill="FFFFFF"/>
          </w:tcPr>
          <w:p>
            <w:pPr>
              <w:spacing w:before="0" w:after="0" w:line="252" w:lineRule="auto"/>
              <w:jc w:val="left"/>
            </w:pPr>
            <w:r>
              <w:rPr>
                <w:rFonts w:ascii="Arial" w:hAnsi="Arial"/>
                <w:sz w:val="18"/>
              </w:rPr>
              <w:t>Periode, tipe, target, dan diskon</w:t>
            </w:r>
          </w:p>
        </w:tc>
      </w:tr>
      <w:tr>
        <w:tc>
          <w:tcPr>
            <w:tcW w:type="dxa" w:w="1814"/>
            <w:vAlign w:val="center"/>
            <w:tcMar>
              <w:top w:w="100" w:type="dxa"/>
              <w:start w:w="120" w:type="dxa"/>
              <w:bottom w:w="100" w:type="dxa"/>
              <w:end w:w="120" w:type="dxa"/>
            </w:tcMar>
            <w:shd w:fill="EAF1F7"/>
          </w:tcPr>
          <w:p>
            <w:pPr>
              <w:spacing w:before="0" w:after="0" w:line="252" w:lineRule="auto"/>
              <w:jc w:val="left"/>
            </w:pPr>
            <w:r>
              <w:rPr>
                <w:rFonts w:ascii="Arial" w:hAnsi="Arial"/>
                <w:sz w:val="18"/>
              </w:rPr>
              <w:t>inventory snapshot</w:t>
            </w:r>
          </w:p>
        </w:tc>
        <w:tc>
          <w:tcPr>
            <w:tcW w:type="dxa" w:w="1644"/>
            <w:vAlign w:val="center"/>
            <w:tcMar>
              <w:top w:w="100" w:type="dxa"/>
              <w:start w:w="120" w:type="dxa"/>
              <w:bottom w:w="100" w:type="dxa"/>
              <w:end w:w="120" w:type="dxa"/>
            </w:tcMar>
            <w:shd w:fill="EAF1F7"/>
          </w:tcPr>
          <w:p>
            <w:pPr>
              <w:spacing w:before="0" w:after="0" w:line="252" w:lineRule="auto"/>
              <w:jc w:val="left"/>
            </w:pPr>
            <w:r>
              <w:rPr>
                <w:rFonts w:ascii="Arial" w:hAnsi="Arial"/>
                <w:sz w:val="18"/>
              </w:rPr>
              <w:t>Fakta inventori</w:t>
            </w:r>
          </w:p>
        </w:tc>
        <w:tc>
          <w:tcPr>
            <w:tcW w:type="dxa" w:w="1361"/>
            <w:vAlign w:val="center"/>
            <w:tcMar>
              <w:top w:w="100" w:type="dxa"/>
              <w:start w:w="120" w:type="dxa"/>
              <w:bottom w:w="100" w:type="dxa"/>
              <w:end w:w="120" w:type="dxa"/>
            </w:tcMar>
            <w:shd w:fill="EAF1F7"/>
          </w:tcPr>
          <w:p>
            <w:pPr>
              <w:spacing w:before="0" w:after="0" w:line="252" w:lineRule="auto"/>
              <w:jc w:val="center"/>
            </w:pPr>
            <w:r>
              <w:rPr>
                <w:rFonts w:ascii="Arial" w:hAnsi="Arial"/>
                <w:sz w:val="18"/>
              </w:rPr>
              <w:t>26.408</w:t>
            </w:r>
          </w:p>
        </w:tc>
        <w:tc>
          <w:tcPr>
            <w:tcW w:type="dxa" w:w="4139"/>
            <w:vAlign w:val="center"/>
            <w:tcMar>
              <w:top w:w="100" w:type="dxa"/>
              <w:start w:w="120" w:type="dxa"/>
              <w:bottom w:w="100" w:type="dxa"/>
              <w:end w:w="120" w:type="dxa"/>
            </w:tcMar>
            <w:shd w:fill="EAF1F7"/>
          </w:tcPr>
          <w:p>
            <w:pPr>
              <w:spacing w:before="0" w:after="0" w:line="252" w:lineRule="auto"/>
              <w:jc w:val="left"/>
            </w:pPr>
            <w:r>
              <w:rPr>
                <w:rFonts w:ascii="Arial" w:hAnsi="Arial"/>
                <w:sz w:val="18"/>
              </w:rPr>
              <w:t>Stok, reorder point, dan safety stock</w:t>
            </w:r>
          </w:p>
        </w:tc>
      </w:tr>
      <w:tr>
        <w:tc>
          <w:tcPr>
            <w:tcW w:type="dxa" w:w="1814"/>
            <w:vAlign w:val="center"/>
            <w:tcMar>
              <w:top w:w="100" w:type="dxa"/>
              <w:start w:w="120" w:type="dxa"/>
              <w:bottom w:w="100" w:type="dxa"/>
              <w:end w:w="120" w:type="dxa"/>
            </w:tcMar>
            <w:shd w:fill="FFFFFF"/>
          </w:tcPr>
          <w:p>
            <w:pPr>
              <w:spacing w:before="0" w:after="0" w:line="252" w:lineRule="auto"/>
              <w:jc w:val="left"/>
            </w:pPr>
            <w:r>
              <w:rPr>
                <w:rFonts w:ascii="Arial" w:hAnsi="Arial"/>
                <w:sz w:val="18"/>
              </w:rPr>
              <w:t>sku inventory flags</w:t>
            </w:r>
          </w:p>
        </w:tc>
        <w:tc>
          <w:tcPr>
            <w:tcW w:type="dxa" w:w="1644"/>
            <w:vAlign w:val="center"/>
            <w:tcMar>
              <w:top w:w="100" w:type="dxa"/>
              <w:start w:w="120" w:type="dxa"/>
              <w:bottom w:w="100" w:type="dxa"/>
              <w:end w:w="120" w:type="dxa"/>
            </w:tcMar>
            <w:shd w:fill="FFFFFF"/>
          </w:tcPr>
          <w:p>
            <w:pPr>
              <w:spacing w:before="0" w:after="0" w:line="252" w:lineRule="auto"/>
              <w:jc w:val="left"/>
            </w:pPr>
            <w:r>
              <w:rPr>
                <w:rFonts w:ascii="Arial" w:hAnsi="Arial"/>
                <w:sz w:val="18"/>
              </w:rPr>
              <w:t>Label risiko</w:t>
            </w:r>
          </w:p>
        </w:tc>
        <w:tc>
          <w:tcPr>
            <w:tcW w:type="dxa" w:w="1361"/>
            <w:vAlign w:val="center"/>
            <w:tcMar>
              <w:top w:w="100" w:type="dxa"/>
              <w:start w:w="120" w:type="dxa"/>
              <w:bottom w:w="100" w:type="dxa"/>
              <w:end w:w="120" w:type="dxa"/>
            </w:tcMar>
            <w:shd w:fill="FFFFFF"/>
          </w:tcPr>
          <w:p>
            <w:pPr>
              <w:spacing w:before="0" w:after="0" w:line="252" w:lineRule="auto"/>
              <w:jc w:val="center"/>
            </w:pPr>
            <w:r>
              <w:rPr>
                <w:rFonts w:ascii="Arial" w:hAnsi="Arial"/>
                <w:sz w:val="18"/>
              </w:rPr>
              <w:t>600</w:t>
            </w:r>
          </w:p>
        </w:tc>
        <w:tc>
          <w:tcPr>
            <w:tcW w:type="dxa" w:w="4139"/>
            <w:vAlign w:val="center"/>
            <w:tcMar>
              <w:top w:w="100" w:type="dxa"/>
              <w:start w:w="120" w:type="dxa"/>
              <w:bottom w:w="100" w:type="dxa"/>
              <w:end w:w="120" w:type="dxa"/>
            </w:tcMar>
            <w:shd w:fill="FFFFFF"/>
          </w:tcPr>
          <w:p>
            <w:pPr>
              <w:spacing w:before="0" w:after="0" w:line="252" w:lineRule="auto"/>
              <w:jc w:val="left"/>
            </w:pPr>
            <w:r>
              <w:rPr>
                <w:rFonts w:ascii="Arial" w:hAnsi="Arial"/>
                <w:sz w:val="18"/>
              </w:rPr>
              <w:t>200 stockout risk dan 400 slow mover</w:t>
            </w:r>
          </w:p>
        </w:tc>
      </w:tr>
    </w:tbl>
    <w:p>
      <w:pPr>
        <w:spacing w:after="0"/>
      </w:pPr>
    </w:p>
    <w:p>
      <w:r>
        <w:t>Relasi utama dibentuk melalui store id, sku id, customer id, dan promo id. Tabel transaksi berperan sebagai fact table, sedangkan tabel master menjadi dimension table. Inventory snapshot menjadi fakta persediaan dan sku inventory flags menjadi ground truth untuk evaluasi risiko inventori.</w:t>
      </w:r>
    </w:p>
    <w:p>
      <w:pPr>
        <w:pStyle w:val="Heading1"/>
      </w:pPr>
      <w:r>
        <w:t>3 Metode dan Teknologi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trPr>
        <w:tc>
          <w:tcPr>
            <w:tcW w:type="dxa" w:w="2211"/>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Teknologi</w:t>
            </w:r>
          </w:p>
        </w:tc>
        <w:tc>
          <w:tcPr>
            <w:tcW w:type="dxa" w:w="6746"/>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Peran dalam proyek</w:t>
            </w:r>
          </w:p>
        </w:tc>
      </w:tr>
      <w:tr>
        <w:tc>
          <w:tcPr>
            <w:tcW w:type="dxa" w:w="2211"/>
            <w:vAlign w:val="center"/>
            <w:tcMar>
              <w:top w:w="100" w:type="dxa"/>
              <w:start w:w="120" w:type="dxa"/>
              <w:bottom w:w="100" w:type="dxa"/>
              <w:end w:w="120" w:type="dxa"/>
            </w:tcMar>
            <w:shd w:fill="FFFFFF"/>
          </w:tcPr>
          <w:p>
            <w:pPr>
              <w:spacing w:before="0" w:after="0" w:line="252" w:lineRule="auto"/>
              <w:jc w:val="left"/>
            </w:pPr>
            <w:r>
              <w:rPr>
                <w:rFonts w:ascii="Arial" w:hAnsi="Arial"/>
                <w:sz w:val="18"/>
              </w:rPr>
              <w:t>Pandas</w:t>
            </w:r>
          </w:p>
        </w:tc>
        <w:tc>
          <w:tcPr>
            <w:tcW w:type="dxa" w:w="6746"/>
            <w:vAlign w:val="center"/>
            <w:tcMar>
              <w:top w:w="100" w:type="dxa"/>
              <w:start w:w="120" w:type="dxa"/>
              <w:bottom w:w="100" w:type="dxa"/>
              <w:end w:w="120" w:type="dxa"/>
            </w:tcMar>
            <w:shd w:fill="FFFFFF"/>
          </w:tcPr>
          <w:p>
            <w:pPr>
              <w:spacing w:before="0" w:after="0" w:line="252" w:lineRule="auto"/>
              <w:jc w:val="left"/>
            </w:pPr>
            <w:r>
              <w:rPr>
                <w:rFonts w:ascii="Arial" w:hAnsi="Arial"/>
                <w:sz w:val="18"/>
              </w:rPr>
              <w:t>Profiling dan eksplorasi sampel agar struktur data cepat dipahami</w:t>
            </w:r>
          </w:p>
        </w:tc>
      </w:tr>
      <w:tr>
        <w:tc>
          <w:tcPr>
            <w:tcW w:type="dxa" w:w="2211"/>
            <w:vAlign w:val="center"/>
            <w:tcMar>
              <w:top w:w="100" w:type="dxa"/>
              <w:start w:w="120" w:type="dxa"/>
              <w:bottom w:w="100" w:type="dxa"/>
              <w:end w:w="120" w:type="dxa"/>
            </w:tcMar>
            <w:shd w:fill="EAF1F7"/>
          </w:tcPr>
          <w:p>
            <w:pPr>
              <w:spacing w:before="0" w:after="0" w:line="252" w:lineRule="auto"/>
              <w:jc w:val="left"/>
            </w:pPr>
            <w:r>
              <w:rPr>
                <w:rFonts w:ascii="Arial" w:hAnsi="Arial"/>
                <w:sz w:val="18"/>
              </w:rPr>
              <w:t>PySpark</w:t>
            </w:r>
          </w:p>
        </w:tc>
        <w:tc>
          <w:tcPr>
            <w:tcW w:type="dxa" w:w="6746"/>
            <w:vAlign w:val="center"/>
            <w:tcMar>
              <w:top w:w="100" w:type="dxa"/>
              <w:start w:w="120" w:type="dxa"/>
              <w:bottom w:w="100" w:type="dxa"/>
              <w:end w:w="120" w:type="dxa"/>
            </w:tcMar>
            <w:shd w:fill="EAF1F7"/>
          </w:tcPr>
          <w:p>
            <w:pPr>
              <w:spacing w:before="0" w:after="0" w:line="252" w:lineRule="auto"/>
              <w:jc w:val="left"/>
            </w:pPr>
            <w:r>
              <w:rPr>
                <w:rFonts w:ascii="Arial" w:hAnsi="Arial"/>
                <w:sz w:val="18"/>
              </w:rPr>
              <w:t>Membaca, memvalidasi, menggabungkan, dan mengagregasi transaksi penuh</w:t>
            </w:r>
          </w:p>
        </w:tc>
      </w:tr>
      <w:tr>
        <w:tc>
          <w:tcPr>
            <w:tcW w:type="dxa" w:w="2211"/>
            <w:vAlign w:val="center"/>
            <w:tcMar>
              <w:top w:w="100" w:type="dxa"/>
              <w:start w:w="120" w:type="dxa"/>
              <w:bottom w:w="100" w:type="dxa"/>
              <w:end w:w="120" w:type="dxa"/>
            </w:tcMar>
            <w:shd w:fill="FFFFFF"/>
          </w:tcPr>
          <w:p>
            <w:pPr>
              <w:spacing w:before="0" w:after="0" w:line="252" w:lineRule="auto"/>
              <w:jc w:val="left"/>
            </w:pPr>
            <w:r>
              <w:rPr>
                <w:rFonts w:ascii="Arial" w:hAnsi="Arial"/>
                <w:sz w:val="18"/>
              </w:rPr>
              <w:t>Parquet</w:t>
            </w:r>
          </w:p>
        </w:tc>
        <w:tc>
          <w:tcPr>
            <w:tcW w:type="dxa" w:w="6746"/>
            <w:vAlign w:val="center"/>
            <w:tcMar>
              <w:top w:w="100" w:type="dxa"/>
              <w:start w:w="120" w:type="dxa"/>
              <w:bottom w:w="100" w:type="dxa"/>
              <w:end w:w="120" w:type="dxa"/>
            </w:tcMar>
            <w:shd w:fill="FFFFFF"/>
          </w:tcPr>
          <w:p>
            <w:pPr>
              <w:spacing w:before="0" w:after="0" w:line="252" w:lineRule="auto"/>
              <w:jc w:val="left"/>
            </w:pPr>
            <w:r>
              <w:rPr>
                <w:rFonts w:ascii="Arial" w:hAnsi="Arial"/>
                <w:sz w:val="18"/>
              </w:rPr>
              <w:t>Menyimpan data detail tertransformasi secara kolumnar</w:t>
            </w:r>
          </w:p>
        </w:tc>
      </w:tr>
      <w:tr>
        <w:tc>
          <w:tcPr>
            <w:tcW w:type="dxa" w:w="2211"/>
            <w:vAlign w:val="center"/>
            <w:tcMar>
              <w:top w:w="100" w:type="dxa"/>
              <w:start w:w="120" w:type="dxa"/>
              <w:bottom w:w="100" w:type="dxa"/>
              <w:end w:w="120" w:type="dxa"/>
            </w:tcMar>
            <w:shd w:fill="EAF1F7"/>
          </w:tcPr>
          <w:p>
            <w:pPr>
              <w:spacing w:before="0" w:after="0" w:line="252" w:lineRule="auto"/>
              <w:jc w:val="left"/>
            </w:pPr>
            <w:r>
              <w:rPr>
                <w:rFonts w:ascii="Arial" w:hAnsi="Arial"/>
                <w:sz w:val="18"/>
              </w:rPr>
              <w:t>PostgreSQL</w:t>
            </w:r>
          </w:p>
        </w:tc>
        <w:tc>
          <w:tcPr>
            <w:tcW w:type="dxa" w:w="6746"/>
            <w:vAlign w:val="center"/>
            <w:tcMar>
              <w:top w:w="100" w:type="dxa"/>
              <w:start w:w="120" w:type="dxa"/>
              <w:bottom w:w="100" w:type="dxa"/>
              <w:end w:w="120" w:type="dxa"/>
            </w:tcMar>
            <w:shd w:fill="EAF1F7"/>
          </w:tcPr>
          <w:p>
            <w:pPr>
              <w:spacing w:before="0" w:after="0" w:line="252" w:lineRule="auto"/>
              <w:jc w:val="left"/>
            </w:pPr>
            <w:r>
              <w:rPr>
                <w:rFonts w:ascii="Arial" w:hAnsi="Arial"/>
                <w:sz w:val="18"/>
              </w:rPr>
              <w:t>Tujuan data mart agregat yang bersifat opsional</w:t>
            </w:r>
          </w:p>
        </w:tc>
      </w:tr>
      <w:tr>
        <w:tc>
          <w:tcPr>
            <w:tcW w:type="dxa" w:w="2211"/>
            <w:vAlign w:val="center"/>
            <w:tcMar>
              <w:top w:w="100" w:type="dxa"/>
              <w:start w:w="120" w:type="dxa"/>
              <w:bottom w:w="100" w:type="dxa"/>
              <w:end w:w="120" w:type="dxa"/>
            </w:tcMar>
            <w:shd w:fill="FFFFFF"/>
          </w:tcPr>
          <w:p>
            <w:pPr>
              <w:spacing w:before="0" w:after="0" w:line="252" w:lineRule="auto"/>
              <w:jc w:val="left"/>
            </w:pPr>
            <w:r>
              <w:rPr>
                <w:rFonts w:ascii="Arial" w:hAnsi="Arial"/>
                <w:sz w:val="18"/>
              </w:rPr>
              <w:t>Matplotlib</w:t>
            </w:r>
          </w:p>
        </w:tc>
        <w:tc>
          <w:tcPr>
            <w:tcW w:type="dxa" w:w="6746"/>
            <w:vAlign w:val="center"/>
            <w:tcMar>
              <w:top w:w="100" w:type="dxa"/>
              <w:start w:w="120" w:type="dxa"/>
              <w:bottom w:w="100" w:type="dxa"/>
              <w:end w:w="120" w:type="dxa"/>
            </w:tcMar>
            <w:shd w:fill="FFFFFF"/>
          </w:tcPr>
          <w:p>
            <w:pPr>
              <w:spacing w:before="0" w:after="0" w:line="252" w:lineRule="auto"/>
              <w:jc w:val="left"/>
            </w:pPr>
            <w:r>
              <w:rPr>
                <w:rFonts w:ascii="Arial" w:hAnsi="Arial"/>
                <w:sz w:val="18"/>
              </w:rPr>
              <w:t>Membuat grafik yang digunakan dalam laporan</w:t>
            </w:r>
          </w:p>
        </w:tc>
      </w:tr>
      <w:tr>
        <w:tc>
          <w:tcPr>
            <w:tcW w:type="dxa" w:w="2211"/>
            <w:vAlign w:val="center"/>
            <w:tcMar>
              <w:top w:w="100" w:type="dxa"/>
              <w:start w:w="120" w:type="dxa"/>
              <w:bottom w:w="100" w:type="dxa"/>
              <w:end w:w="120" w:type="dxa"/>
            </w:tcMar>
            <w:shd w:fill="EAF1F7"/>
          </w:tcPr>
          <w:p>
            <w:pPr>
              <w:spacing w:before="0" w:after="0" w:line="252" w:lineRule="auto"/>
              <w:jc w:val="left"/>
            </w:pPr>
            <w:r>
              <w:rPr>
                <w:rFonts w:ascii="Arial" w:hAnsi="Arial"/>
                <w:sz w:val="18"/>
              </w:rPr>
              <w:t>Jupyter dan Colab</w:t>
            </w:r>
          </w:p>
        </w:tc>
        <w:tc>
          <w:tcPr>
            <w:tcW w:type="dxa" w:w="6746"/>
            <w:vAlign w:val="center"/>
            <w:tcMar>
              <w:top w:w="100" w:type="dxa"/>
              <w:start w:w="120" w:type="dxa"/>
              <w:bottom w:w="100" w:type="dxa"/>
              <w:end w:w="120" w:type="dxa"/>
            </w:tcMar>
            <w:shd w:fill="EAF1F7"/>
          </w:tcPr>
          <w:p>
            <w:pPr>
              <w:spacing w:before="0" w:after="0" w:line="252" w:lineRule="auto"/>
              <w:jc w:val="left"/>
            </w:pPr>
            <w:r>
              <w:rPr>
                <w:rFonts w:ascii="Arial" w:hAnsi="Arial"/>
                <w:sz w:val="18"/>
              </w:rPr>
              <w:t>Dua lingkungan eksekusi dengan logika analisis yang sama</w:t>
            </w:r>
          </w:p>
        </w:tc>
      </w:tr>
    </w:tbl>
    <w:p>
      <w:pPr>
        <w:spacing w:after="0"/>
      </w:pPr>
    </w:p>
    <w:p>
      <w:pPr>
        <w:pStyle w:val="Heading2"/>
      </w:pPr>
      <w:r>
        <w:t>3.1 Alur ETL</w:t>
      </w:r>
    </w:p>
    <w:p>
      <w:r>
        <w:t>Pipeline dikerjakan dalam tiga tahap berikut.</w:t>
      </w:r>
    </w:p>
    <w:p>
      <w:pPr>
        <w:pStyle w:val="ListNumber"/>
      </w:pPr>
      <w:r>
        <w:t>Extract. PySpark membaca tujuh CSV dengan skema eksplisit sehingga tipe data tidak ditebak ulang setiap eksekusi.</w:t>
      </w:r>
    </w:p>
    <w:p>
      <w:pPr>
        <w:pStyle w:val="ListNumber"/>
      </w:pPr>
      <w:r>
        <w:t>Transform. Transaksi digabungkan dengan dimensi toko, produk, pelanggan, dan promosi. Pipeline membentuk tahun, bulan, gross sales, discount amount, effective discount, gross profit, profit margin, dan penanda promosi.</w:t>
      </w:r>
    </w:p>
    <w:p>
      <w:pPr>
        <w:pStyle w:val="ListNumber"/>
      </w:pPr>
      <w:r>
        <w:t>Load. Data detail ditulis ke Parquet, sedangkan agregat bulanan, toko, kategori, kanal, promosi, dan inventori ditulis sebagai keluaran validasi dan dapat dimuat ke PostgreSQL.</w:t>
      </w:r>
    </w:p>
    <w:p>
      <w:pPr>
        <w:pStyle w:val="Heading2"/>
      </w:pPr>
      <w:r>
        <w:t>3.2 Lingkungan Eksekusi</w:t>
      </w:r>
    </w:p>
    <w:p>
      <w:r>
        <w:t>Versi lokal dijalankan melalui Jupyter dengan Spark local 2, yaitu dua thread pemrosesan pada satu laptop. Versi Google Colab menggunakan satu virtual machine Colab dan menyimpan keluaran ke Google Drive. Keduanya bukan cluster multi laptop. Logika inti tetap berada di folder src agar hasil lokal dan Colab menggunakan rumus yang sama.</w:t>
      </w:r>
    </w:p>
    <w:p>
      <w:pPr>
        <w:pStyle w:val="Heading1"/>
      </w:pPr>
      <w:r>
        <w:t>4 Profiling dan Quality Check</w:t>
      </w:r>
    </w:p>
    <w:p>
      <w:r>
        <w:t>Versi contaminated memiliki 9.945.511 baris dan 11 kolom dengan ukuran sekitar 763,98 MB. Versi clean memiliki 9.972.038 baris dan 11 kolom dengan ukuran sekitar 765,96 MB. Perbedaan jumlah ini konsisten dengan simulasi lost sales pada jendela stockout.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trPr>
        <w:tc>
          <w:tcPr>
            <w:tcW w:type="dxa" w:w="2721"/>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Pemeriksaan</w:t>
            </w:r>
          </w:p>
        </w:tc>
        <w:tc>
          <w:tcPr>
            <w:tcW w:type="dxa" w:w="4535"/>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Hasil</w:t>
            </w:r>
          </w:p>
        </w:tc>
        <w:tc>
          <w:tcPr>
            <w:tcW w:type="dxa" w:w="1701"/>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Status</w:t>
            </w:r>
          </w:p>
        </w:tc>
      </w:tr>
      <w:tr>
        <w:tc>
          <w:tcPr>
            <w:tcW w:type="dxa" w:w="2721"/>
            <w:vAlign w:val="center"/>
            <w:tcMar>
              <w:top w:w="100" w:type="dxa"/>
              <w:start w:w="120" w:type="dxa"/>
              <w:bottom w:w="100" w:type="dxa"/>
              <w:end w:w="120" w:type="dxa"/>
            </w:tcMar>
            <w:shd w:fill="FFFFFF"/>
          </w:tcPr>
          <w:p>
            <w:pPr>
              <w:spacing w:before="0" w:after="0" w:line="252" w:lineRule="auto"/>
              <w:jc w:val="left"/>
            </w:pPr>
            <w:r>
              <w:rPr>
                <w:rFonts w:ascii="Arial" w:hAnsi="Arial"/>
                <w:sz w:val="18"/>
              </w:rPr>
              <w:t>Rentang tanggal</w:t>
            </w:r>
          </w:p>
        </w:tc>
        <w:tc>
          <w:tcPr>
            <w:tcW w:type="dxa" w:w="4535"/>
            <w:vAlign w:val="center"/>
            <w:tcMar>
              <w:top w:w="100" w:type="dxa"/>
              <w:start w:w="120" w:type="dxa"/>
              <w:bottom w:w="100" w:type="dxa"/>
              <w:end w:w="120" w:type="dxa"/>
            </w:tcMar>
            <w:shd w:fill="FFFFFF"/>
          </w:tcPr>
          <w:p>
            <w:pPr>
              <w:spacing w:before="0" w:after="0" w:line="252" w:lineRule="auto"/>
              <w:jc w:val="left"/>
            </w:pPr>
            <w:r>
              <w:rPr>
                <w:rFonts w:ascii="Arial" w:hAnsi="Arial"/>
                <w:sz w:val="18"/>
              </w:rPr>
              <w:t>2022-01-01 sampai 2025-12-31</w:t>
            </w:r>
          </w:p>
        </w:tc>
        <w:tc>
          <w:tcPr>
            <w:tcW w:type="dxa" w:w="1701"/>
            <w:vAlign w:val="center"/>
            <w:tcMar>
              <w:top w:w="100" w:type="dxa"/>
              <w:start w:w="120" w:type="dxa"/>
              <w:bottom w:w="100" w:type="dxa"/>
              <w:end w:w="120" w:type="dxa"/>
            </w:tcMar>
            <w:shd w:fill="FFFFFF"/>
          </w:tcPr>
          <w:p>
            <w:pPr>
              <w:spacing w:before="0" w:after="0" w:line="252" w:lineRule="auto"/>
              <w:jc w:val="center"/>
            </w:pPr>
            <w:r>
              <w:rPr>
                <w:rFonts w:ascii="Arial" w:hAnsi="Arial"/>
                <w:sz w:val="18"/>
              </w:rPr>
              <w:t>Lulus</w:t>
            </w:r>
          </w:p>
        </w:tc>
      </w:tr>
      <w:tr>
        <w:tc>
          <w:tcPr>
            <w:tcW w:type="dxa" w:w="2721"/>
            <w:vAlign w:val="center"/>
            <w:tcMar>
              <w:top w:w="100" w:type="dxa"/>
              <w:start w:w="120" w:type="dxa"/>
              <w:bottom w:w="100" w:type="dxa"/>
              <w:end w:w="120" w:type="dxa"/>
            </w:tcMar>
            <w:shd w:fill="EAF1F7"/>
          </w:tcPr>
          <w:p>
            <w:pPr>
              <w:spacing w:before="0" w:after="0" w:line="252" w:lineRule="auto"/>
              <w:jc w:val="left"/>
            </w:pPr>
            <w:r>
              <w:rPr>
                <w:rFonts w:ascii="Arial" w:hAnsi="Arial"/>
                <w:sz w:val="18"/>
              </w:rPr>
              <w:t>Nilai kosong kolom wajib</w:t>
            </w:r>
          </w:p>
        </w:tc>
        <w:tc>
          <w:tcPr>
            <w:tcW w:type="dxa" w:w="4535"/>
            <w:vAlign w:val="center"/>
            <w:tcMar>
              <w:top w:w="100" w:type="dxa"/>
              <w:start w:w="120" w:type="dxa"/>
              <w:bottom w:w="100" w:type="dxa"/>
              <w:end w:w="120" w:type="dxa"/>
            </w:tcMar>
            <w:shd w:fill="EAF1F7"/>
          </w:tcPr>
          <w:p>
            <w:pPr>
              <w:spacing w:before="0" w:after="0" w:line="252" w:lineRule="auto"/>
              <w:jc w:val="left"/>
            </w:pPr>
            <w:r>
              <w:rPr>
                <w:rFonts w:ascii="Arial" w:hAnsi="Arial"/>
                <w:sz w:val="18"/>
              </w:rPr>
              <w:t>Tidak ditemukan</w:t>
            </w:r>
          </w:p>
        </w:tc>
        <w:tc>
          <w:tcPr>
            <w:tcW w:type="dxa" w:w="1701"/>
            <w:vAlign w:val="center"/>
            <w:tcMar>
              <w:top w:w="100" w:type="dxa"/>
              <w:start w:w="120" w:type="dxa"/>
              <w:bottom w:w="100" w:type="dxa"/>
              <w:end w:w="120" w:type="dxa"/>
            </w:tcMar>
            <w:shd w:fill="EAF1F7"/>
          </w:tcPr>
          <w:p>
            <w:pPr>
              <w:spacing w:before="0" w:after="0" w:line="252" w:lineRule="auto"/>
              <w:jc w:val="center"/>
            </w:pPr>
            <w:r>
              <w:rPr>
                <w:rFonts w:ascii="Arial" w:hAnsi="Arial"/>
                <w:sz w:val="18"/>
              </w:rPr>
              <w:t>Lulus</w:t>
            </w:r>
          </w:p>
        </w:tc>
      </w:tr>
      <w:tr>
        <w:tc>
          <w:tcPr>
            <w:tcW w:type="dxa" w:w="2721"/>
            <w:vAlign w:val="center"/>
            <w:tcMar>
              <w:top w:w="100" w:type="dxa"/>
              <w:start w:w="120" w:type="dxa"/>
              <w:bottom w:w="100" w:type="dxa"/>
              <w:end w:w="120" w:type="dxa"/>
            </w:tcMar>
            <w:shd w:fill="FFFFFF"/>
          </w:tcPr>
          <w:p>
            <w:pPr>
              <w:spacing w:before="0" w:after="0" w:line="252" w:lineRule="auto"/>
              <w:jc w:val="left"/>
            </w:pPr>
            <w:r>
              <w:rPr>
                <w:rFonts w:ascii="Arial" w:hAnsi="Arial"/>
                <w:sz w:val="18"/>
              </w:rPr>
              <w:t>Promo id kosong</w:t>
            </w:r>
          </w:p>
        </w:tc>
        <w:tc>
          <w:tcPr>
            <w:tcW w:type="dxa" w:w="4535"/>
            <w:vAlign w:val="center"/>
            <w:tcMar>
              <w:top w:w="100" w:type="dxa"/>
              <w:start w:w="120" w:type="dxa"/>
              <w:bottom w:w="100" w:type="dxa"/>
              <w:end w:w="120" w:type="dxa"/>
            </w:tcMar>
            <w:shd w:fill="FFFFFF"/>
          </w:tcPr>
          <w:p>
            <w:pPr>
              <w:spacing w:before="0" w:after="0" w:line="252" w:lineRule="auto"/>
              <w:jc w:val="left"/>
            </w:pPr>
            <w:r>
              <w:rPr>
                <w:rFonts w:ascii="Arial" w:hAnsi="Arial"/>
                <w:sz w:val="18"/>
              </w:rPr>
              <w:t>Diperbolehkan untuk transaksi tanpa promosi</w:t>
            </w:r>
          </w:p>
        </w:tc>
        <w:tc>
          <w:tcPr>
            <w:tcW w:type="dxa" w:w="1701"/>
            <w:vAlign w:val="center"/>
            <w:tcMar>
              <w:top w:w="100" w:type="dxa"/>
              <w:start w:w="120" w:type="dxa"/>
              <w:bottom w:w="100" w:type="dxa"/>
              <w:end w:w="120" w:type="dxa"/>
            </w:tcMar>
            <w:shd w:fill="FFFFFF"/>
          </w:tcPr>
          <w:p>
            <w:pPr>
              <w:spacing w:before="0" w:after="0" w:line="252" w:lineRule="auto"/>
              <w:jc w:val="center"/>
            </w:pPr>
            <w:r>
              <w:rPr>
                <w:rFonts w:ascii="Arial" w:hAnsi="Arial"/>
                <w:sz w:val="18"/>
              </w:rPr>
              <w:t>Sesuai aturan</w:t>
            </w:r>
          </w:p>
        </w:tc>
      </w:tr>
      <w:tr>
        <w:tc>
          <w:tcPr>
            <w:tcW w:type="dxa" w:w="2721"/>
            <w:vAlign w:val="center"/>
            <w:tcMar>
              <w:top w:w="100" w:type="dxa"/>
              <w:start w:w="120" w:type="dxa"/>
              <w:bottom w:w="100" w:type="dxa"/>
              <w:end w:w="120" w:type="dxa"/>
            </w:tcMar>
            <w:shd w:fill="EAF1F7"/>
          </w:tcPr>
          <w:p>
            <w:pPr>
              <w:spacing w:before="0" w:after="0" w:line="252" w:lineRule="auto"/>
              <w:jc w:val="left"/>
            </w:pPr>
            <w:r>
              <w:rPr>
                <w:rFonts w:ascii="Arial" w:hAnsi="Arial"/>
                <w:sz w:val="18"/>
              </w:rPr>
              <w:t>Kuantitas nol atau negatif</w:t>
            </w:r>
          </w:p>
        </w:tc>
        <w:tc>
          <w:tcPr>
            <w:tcW w:type="dxa" w:w="4535"/>
            <w:vAlign w:val="center"/>
            <w:tcMar>
              <w:top w:w="100" w:type="dxa"/>
              <w:start w:w="120" w:type="dxa"/>
              <w:bottom w:w="100" w:type="dxa"/>
              <w:end w:w="120" w:type="dxa"/>
            </w:tcMar>
            <w:shd w:fill="EAF1F7"/>
          </w:tcPr>
          <w:p>
            <w:pPr>
              <w:spacing w:before="0" w:after="0" w:line="252" w:lineRule="auto"/>
              <w:jc w:val="left"/>
            </w:pPr>
            <w:r>
              <w:rPr>
                <w:rFonts w:ascii="Arial" w:hAnsi="Arial"/>
                <w:sz w:val="18"/>
              </w:rPr>
              <w:t>Tidak ditemukan</w:t>
            </w:r>
          </w:p>
        </w:tc>
        <w:tc>
          <w:tcPr>
            <w:tcW w:type="dxa" w:w="1701"/>
            <w:vAlign w:val="center"/>
            <w:tcMar>
              <w:top w:w="100" w:type="dxa"/>
              <w:start w:w="120" w:type="dxa"/>
              <w:bottom w:w="100" w:type="dxa"/>
              <w:end w:w="120" w:type="dxa"/>
            </w:tcMar>
            <w:shd w:fill="EAF1F7"/>
          </w:tcPr>
          <w:p>
            <w:pPr>
              <w:spacing w:before="0" w:after="0" w:line="252" w:lineRule="auto"/>
              <w:jc w:val="center"/>
            </w:pPr>
            <w:r>
              <w:rPr>
                <w:rFonts w:ascii="Arial" w:hAnsi="Arial"/>
                <w:sz w:val="18"/>
              </w:rPr>
              <w:t>Lulus</w:t>
            </w:r>
          </w:p>
        </w:tc>
      </w:tr>
      <w:tr>
        <w:tc>
          <w:tcPr>
            <w:tcW w:type="dxa" w:w="2721"/>
            <w:vAlign w:val="center"/>
            <w:tcMar>
              <w:top w:w="100" w:type="dxa"/>
              <w:start w:w="120" w:type="dxa"/>
              <w:bottom w:w="100" w:type="dxa"/>
              <w:end w:w="120" w:type="dxa"/>
            </w:tcMar>
            <w:shd w:fill="FFFFFF"/>
          </w:tcPr>
          <w:p>
            <w:pPr>
              <w:spacing w:before="0" w:after="0" w:line="252" w:lineRule="auto"/>
              <w:jc w:val="left"/>
            </w:pPr>
            <w:r>
              <w:rPr>
                <w:rFonts w:ascii="Arial" w:hAnsi="Arial"/>
                <w:sz w:val="18"/>
              </w:rPr>
              <w:t>Harga negatif</w:t>
            </w:r>
          </w:p>
        </w:tc>
        <w:tc>
          <w:tcPr>
            <w:tcW w:type="dxa" w:w="4535"/>
            <w:vAlign w:val="center"/>
            <w:tcMar>
              <w:top w:w="100" w:type="dxa"/>
              <w:start w:w="120" w:type="dxa"/>
              <w:bottom w:w="100" w:type="dxa"/>
              <w:end w:w="120" w:type="dxa"/>
            </w:tcMar>
            <w:shd w:fill="FFFFFF"/>
          </w:tcPr>
          <w:p>
            <w:pPr>
              <w:spacing w:before="0" w:after="0" w:line="252" w:lineRule="auto"/>
              <w:jc w:val="left"/>
            </w:pPr>
            <w:r>
              <w:rPr>
                <w:rFonts w:ascii="Arial" w:hAnsi="Arial"/>
                <w:sz w:val="18"/>
              </w:rPr>
              <w:t>Tidak ditemukan</w:t>
            </w:r>
          </w:p>
        </w:tc>
        <w:tc>
          <w:tcPr>
            <w:tcW w:type="dxa" w:w="1701"/>
            <w:vAlign w:val="center"/>
            <w:tcMar>
              <w:top w:w="100" w:type="dxa"/>
              <w:start w:w="120" w:type="dxa"/>
              <w:bottom w:w="100" w:type="dxa"/>
              <w:end w:w="120" w:type="dxa"/>
            </w:tcMar>
            <w:shd w:fill="FFFFFF"/>
          </w:tcPr>
          <w:p>
            <w:pPr>
              <w:spacing w:before="0" w:after="0" w:line="252" w:lineRule="auto"/>
              <w:jc w:val="center"/>
            </w:pPr>
            <w:r>
              <w:rPr>
                <w:rFonts w:ascii="Arial" w:hAnsi="Arial"/>
                <w:sz w:val="18"/>
              </w:rPr>
              <w:t>Lulus</w:t>
            </w:r>
          </w:p>
        </w:tc>
      </w:tr>
      <w:tr>
        <w:tc>
          <w:tcPr>
            <w:tcW w:type="dxa" w:w="2721"/>
            <w:vAlign w:val="center"/>
            <w:tcMar>
              <w:top w:w="100" w:type="dxa"/>
              <w:start w:w="120" w:type="dxa"/>
              <w:bottom w:w="100" w:type="dxa"/>
              <w:end w:w="120" w:type="dxa"/>
            </w:tcMar>
            <w:shd w:fill="EAF1F7"/>
          </w:tcPr>
          <w:p>
            <w:pPr>
              <w:spacing w:before="0" w:after="0" w:line="252" w:lineRule="auto"/>
              <w:jc w:val="left"/>
            </w:pPr>
            <w:r>
              <w:rPr>
                <w:rFonts w:ascii="Arial" w:hAnsi="Arial"/>
                <w:sz w:val="18"/>
              </w:rPr>
              <w:t>Diskon di luar 0 sampai 100 persen</w:t>
            </w:r>
          </w:p>
        </w:tc>
        <w:tc>
          <w:tcPr>
            <w:tcW w:type="dxa" w:w="4535"/>
            <w:vAlign w:val="center"/>
            <w:tcMar>
              <w:top w:w="100" w:type="dxa"/>
              <w:start w:w="120" w:type="dxa"/>
              <w:bottom w:w="100" w:type="dxa"/>
              <w:end w:w="120" w:type="dxa"/>
            </w:tcMar>
            <w:shd w:fill="EAF1F7"/>
          </w:tcPr>
          <w:p>
            <w:pPr>
              <w:spacing w:before="0" w:after="0" w:line="252" w:lineRule="auto"/>
              <w:jc w:val="left"/>
            </w:pPr>
            <w:r>
              <w:rPr>
                <w:rFonts w:ascii="Arial" w:hAnsi="Arial"/>
                <w:sz w:val="18"/>
              </w:rPr>
              <w:t>Tidak ditemukan</w:t>
            </w:r>
          </w:p>
        </w:tc>
        <w:tc>
          <w:tcPr>
            <w:tcW w:type="dxa" w:w="1701"/>
            <w:vAlign w:val="center"/>
            <w:tcMar>
              <w:top w:w="100" w:type="dxa"/>
              <w:start w:w="120" w:type="dxa"/>
              <w:bottom w:w="100" w:type="dxa"/>
              <w:end w:w="120" w:type="dxa"/>
            </w:tcMar>
            <w:shd w:fill="EAF1F7"/>
          </w:tcPr>
          <w:p>
            <w:pPr>
              <w:spacing w:before="0" w:after="0" w:line="252" w:lineRule="auto"/>
              <w:jc w:val="center"/>
            </w:pPr>
            <w:r>
              <w:rPr>
                <w:rFonts w:ascii="Arial" w:hAnsi="Arial"/>
                <w:sz w:val="18"/>
              </w:rPr>
              <w:t>Lulus</w:t>
            </w:r>
          </w:p>
        </w:tc>
      </w:tr>
      <w:tr>
        <w:tc>
          <w:tcPr>
            <w:tcW w:type="dxa" w:w="2721"/>
            <w:vAlign w:val="center"/>
            <w:tcMar>
              <w:top w:w="100" w:type="dxa"/>
              <w:start w:w="120" w:type="dxa"/>
              <w:bottom w:w="100" w:type="dxa"/>
              <w:end w:w="120" w:type="dxa"/>
            </w:tcMar>
            <w:shd w:fill="FFFFFF"/>
          </w:tcPr>
          <w:p>
            <w:pPr>
              <w:spacing w:before="0" w:after="0" w:line="252" w:lineRule="auto"/>
              <w:jc w:val="left"/>
            </w:pPr>
            <w:r>
              <w:rPr>
                <w:rFonts w:ascii="Arial" w:hAnsi="Arial"/>
                <w:sz w:val="18"/>
              </w:rPr>
              <w:t>Formula total value</w:t>
            </w:r>
          </w:p>
        </w:tc>
        <w:tc>
          <w:tcPr>
            <w:tcW w:type="dxa" w:w="4535"/>
            <w:vAlign w:val="center"/>
            <w:tcMar>
              <w:top w:w="100" w:type="dxa"/>
              <w:start w:w="120" w:type="dxa"/>
              <w:bottom w:w="100" w:type="dxa"/>
              <w:end w:w="120" w:type="dxa"/>
            </w:tcMar>
            <w:shd w:fill="FFFFFF"/>
          </w:tcPr>
          <w:p>
            <w:pPr>
              <w:spacing w:before="0" w:after="0" w:line="252" w:lineRule="auto"/>
              <w:jc w:val="left"/>
            </w:pPr>
            <w:r>
              <w:rPr>
                <w:rFonts w:ascii="Arial" w:hAnsi="Arial"/>
                <w:sz w:val="18"/>
              </w:rPr>
              <w:t>Tidak ada selisih di atas toleransi 0,02</w:t>
            </w:r>
          </w:p>
        </w:tc>
        <w:tc>
          <w:tcPr>
            <w:tcW w:type="dxa" w:w="1701"/>
            <w:vAlign w:val="center"/>
            <w:tcMar>
              <w:top w:w="100" w:type="dxa"/>
              <w:start w:w="120" w:type="dxa"/>
              <w:bottom w:w="100" w:type="dxa"/>
              <w:end w:w="120" w:type="dxa"/>
            </w:tcMar>
            <w:shd w:fill="FFFFFF"/>
          </w:tcPr>
          <w:p>
            <w:pPr>
              <w:spacing w:before="0" w:after="0" w:line="252" w:lineRule="auto"/>
              <w:jc w:val="center"/>
            </w:pPr>
            <w:r>
              <w:rPr>
                <w:rFonts w:ascii="Arial" w:hAnsi="Arial"/>
                <w:sz w:val="18"/>
              </w:rPr>
              <w:t>Lulus</w:t>
            </w:r>
          </w:p>
        </w:tc>
      </w:tr>
      <w:tr>
        <w:tc>
          <w:tcPr>
            <w:tcW w:type="dxa" w:w="2721"/>
            <w:vAlign w:val="center"/>
            <w:tcMar>
              <w:top w:w="100" w:type="dxa"/>
              <w:start w:w="120" w:type="dxa"/>
              <w:bottom w:w="100" w:type="dxa"/>
              <w:end w:w="120" w:type="dxa"/>
            </w:tcMar>
            <w:shd w:fill="EAF1F7"/>
          </w:tcPr>
          <w:p>
            <w:pPr>
              <w:spacing w:before="0" w:after="0" w:line="252" w:lineRule="auto"/>
              <w:jc w:val="left"/>
            </w:pPr>
            <w:r>
              <w:rPr>
                <w:rFonts w:ascii="Arial" w:hAnsi="Arial"/>
                <w:sz w:val="18"/>
              </w:rPr>
              <w:t>Foreign key yatim</w:t>
            </w:r>
          </w:p>
        </w:tc>
        <w:tc>
          <w:tcPr>
            <w:tcW w:type="dxa" w:w="4535"/>
            <w:vAlign w:val="center"/>
            <w:tcMar>
              <w:top w:w="100" w:type="dxa"/>
              <w:start w:w="120" w:type="dxa"/>
              <w:bottom w:w="100" w:type="dxa"/>
              <w:end w:w="120" w:type="dxa"/>
            </w:tcMar>
            <w:shd w:fill="EAF1F7"/>
          </w:tcPr>
          <w:p>
            <w:pPr>
              <w:spacing w:before="0" w:after="0" w:line="252" w:lineRule="auto"/>
              <w:jc w:val="left"/>
            </w:pPr>
            <w:r>
              <w:rPr>
                <w:rFonts w:ascii="Arial" w:hAnsi="Arial"/>
                <w:sz w:val="18"/>
              </w:rPr>
              <w:t>Tidak ditemukan pada toko, SKU, pelanggan, atau promosi</w:t>
            </w:r>
          </w:p>
        </w:tc>
        <w:tc>
          <w:tcPr>
            <w:tcW w:type="dxa" w:w="1701"/>
            <w:vAlign w:val="center"/>
            <w:tcMar>
              <w:top w:w="100" w:type="dxa"/>
              <w:start w:w="120" w:type="dxa"/>
              <w:bottom w:w="100" w:type="dxa"/>
              <w:end w:w="120" w:type="dxa"/>
            </w:tcMar>
            <w:shd w:fill="EAF1F7"/>
          </w:tcPr>
          <w:p>
            <w:pPr>
              <w:spacing w:before="0" w:after="0" w:line="252" w:lineRule="auto"/>
              <w:jc w:val="center"/>
            </w:pPr>
            <w:r>
              <w:rPr>
                <w:rFonts w:ascii="Arial" w:hAnsi="Arial"/>
                <w:sz w:val="18"/>
              </w:rPr>
              <w:t>Lulus</w:t>
            </w:r>
          </w:p>
        </w:tc>
      </w:tr>
    </w:tbl>
    <w:p>
      <w:pPr>
        <w:spacing w:after="0"/>
      </w:pPr>
    </w:p>
    <w:p>
      <w:r>
        <w:t>Quality check teknis dipisahkan dari anomali bisnis. Data contaminated tetap valid secara skema dan referensi, tetapi sengaja memuat kehilangan penjualan pada produk stockout serta persediaan berlebih pada slow mover.</w:t>
      </w:r>
    </w:p>
    <w:p>
      <w:pPr>
        <w:pStyle w:val="Heading1"/>
      </w:pPr>
      <w:r>
        <w:t>5 Hasil Analisis</w:t>
      </w:r>
    </w:p>
    <w:p>
      <w:pPr>
        <w:pStyle w:val="Heading2"/>
      </w:pPr>
      <w:r>
        <w:t>5.1 Tren Penjualan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trPr>
        <w:tc>
          <w:tcPr>
            <w:tcW w:type="dxa" w:w="1701"/>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Tahun</w:t>
            </w:r>
          </w:p>
        </w:tc>
        <w:tc>
          <w:tcPr>
            <w:tcW w:type="dxa" w:w="4082"/>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Nilai penjualan</w:t>
            </w:r>
          </w:p>
        </w:tc>
        <w:tc>
          <w:tcPr>
            <w:tcW w:type="dxa" w:w="3175"/>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Pertumbuhan</w:t>
            </w:r>
          </w:p>
        </w:tc>
      </w:tr>
      <w:tr>
        <w:tc>
          <w:tcPr>
            <w:tcW w:type="dxa" w:w="1701"/>
            <w:vAlign w:val="center"/>
            <w:tcMar>
              <w:top w:w="100" w:type="dxa"/>
              <w:start w:w="120" w:type="dxa"/>
              <w:bottom w:w="100" w:type="dxa"/>
              <w:end w:w="120" w:type="dxa"/>
            </w:tcMar>
            <w:shd w:fill="FFFFFF"/>
          </w:tcPr>
          <w:p>
            <w:pPr>
              <w:spacing w:before="0" w:after="0" w:line="252" w:lineRule="auto"/>
              <w:jc w:val="center"/>
            </w:pPr>
            <w:r>
              <w:rPr>
                <w:rFonts w:ascii="Arial" w:hAnsi="Arial"/>
                <w:sz w:val="18"/>
              </w:rPr>
              <w:t>2022</w:t>
            </w:r>
          </w:p>
        </w:tc>
        <w:tc>
          <w:tcPr>
            <w:tcW w:type="dxa" w:w="4082"/>
            <w:vAlign w:val="center"/>
            <w:tcMar>
              <w:top w:w="100" w:type="dxa"/>
              <w:start w:w="120" w:type="dxa"/>
              <w:bottom w:w="100" w:type="dxa"/>
              <w:end w:w="120" w:type="dxa"/>
            </w:tcMar>
            <w:shd w:fill="FFFFFF"/>
          </w:tcPr>
          <w:p>
            <w:pPr>
              <w:spacing w:before="0" w:after="0" w:line="252" w:lineRule="auto"/>
              <w:jc w:val="center"/>
            </w:pPr>
            <w:r>
              <w:rPr>
                <w:rFonts w:ascii="Arial" w:hAnsi="Arial"/>
                <w:sz w:val="18"/>
              </w:rPr>
              <w:t>2.583.127.153,76</w:t>
            </w:r>
          </w:p>
        </w:tc>
        <w:tc>
          <w:tcPr>
            <w:tcW w:type="dxa" w:w="3175"/>
            <w:vAlign w:val="center"/>
            <w:tcMar>
              <w:top w:w="100" w:type="dxa"/>
              <w:start w:w="120" w:type="dxa"/>
              <w:bottom w:w="100" w:type="dxa"/>
              <w:end w:w="120" w:type="dxa"/>
            </w:tcMar>
            <w:shd w:fill="FFFFFF"/>
          </w:tcPr>
          <w:p>
            <w:pPr>
              <w:spacing w:before="0" w:after="0" w:line="252" w:lineRule="auto"/>
              <w:jc w:val="center"/>
            </w:pPr>
            <w:r>
              <w:rPr>
                <w:rFonts w:ascii="Arial" w:hAnsi="Arial"/>
                <w:sz w:val="18"/>
              </w:rPr>
              <w:t>-</w:t>
            </w:r>
          </w:p>
        </w:tc>
      </w:tr>
      <w:tr>
        <w:tc>
          <w:tcPr>
            <w:tcW w:type="dxa" w:w="1701"/>
            <w:vAlign w:val="center"/>
            <w:tcMar>
              <w:top w:w="100" w:type="dxa"/>
              <w:start w:w="120" w:type="dxa"/>
              <w:bottom w:w="100" w:type="dxa"/>
              <w:end w:w="120" w:type="dxa"/>
            </w:tcMar>
            <w:shd w:fill="EAF1F7"/>
          </w:tcPr>
          <w:p>
            <w:pPr>
              <w:spacing w:before="0" w:after="0" w:line="252" w:lineRule="auto"/>
              <w:jc w:val="center"/>
            </w:pPr>
            <w:r>
              <w:rPr>
                <w:rFonts w:ascii="Arial" w:hAnsi="Arial"/>
                <w:sz w:val="18"/>
              </w:rPr>
              <w:t>2023</w:t>
            </w:r>
          </w:p>
        </w:tc>
        <w:tc>
          <w:tcPr>
            <w:tcW w:type="dxa" w:w="4082"/>
            <w:vAlign w:val="center"/>
            <w:tcMar>
              <w:top w:w="100" w:type="dxa"/>
              <w:start w:w="120" w:type="dxa"/>
              <w:bottom w:w="100" w:type="dxa"/>
              <w:end w:w="120" w:type="dxa"/>
            </w:tcMar>
            <w:shd w:fill="EAF1F7"/>
          </w:tcPr>
          <w:p>
            <w:pPr>
              <w:spacing w:before="0" w:after="0" w:line="252" w:lineRule="auto"/>
              <w:jc w:val="center"/>
            </w:pPr>
            <w:r>
              <w:rPr>
                <w:rFonts w:ascii="Arial" w:hAnsi="Arial"/>
                <w:sz w:val="18"/>
              </w:rPr>
              <w:t>2.633.265.835,74</w:t>
            </w:r>
          </w:p>
        </w:tc>
        <w:tc>
          <w:tcPr>
            <w:tcW w:type="dxa" w:w="3175"/>
            <w:vAlign w:val="center"/>
            <w:tcMar>
              <w:top w:w="100" w:type="dxa"/>
              <w:start w:w="120" w:type="dxa"/>
              <w:bottom w:w="100" w:type="dxa"/>
              <w:end w:w="120" w:type="dxa"/>
            </w:tcMar>
            <w:shd w:fill="EAF1F7"/>
          </w:tcPr>
          <w:p>
            <w:pPr>
              <w:spacing w:before="0" w:after="0" w:line="252" w:lineRule="auto"/>
              <w:jc w:val="center"/>
            </w:pPr>
            <w:r>
              <w:rPr>
                <w:rFonts w:ascii="Arial" w:hAnsi="Arial"/>
                <w:sz w:val="18"/>
              </w:rPr>
              <w:t>1,94%</w:t>
            </w:r>
          </w:p>
        </w:tc>
      </w:tr>
      <w:tr>
        <w:tc>
          <w:tcPr>
            <w:tcW w:type="dxa" w:w="1701"/>
            <w:vAlign w:val="center"/>
            <w:tcMar>
              <w:top w:w="100" w:type="dxa"/>
              <w:start w:w="120" w:type="dxa"/>
              <w:bottom w:w="100" w:type="dxa"/>
              <w:end w:w="120" w:type="dxa"/>
            </w:tcMar>
            <w:shd w:fill="FFFFFF"/>
          </w:tcPr>
          <w:p>
            <w:pPr>
              <w:spacing w:before="0" w:after="0" w:line="252" w:lineRule="auto"/>
              <w:jc w:val="center"/>
            </w:pPr>
            <w:r>
              <w:rPr>
                <w:rFonts w:ascii="Arial" w:hAnsi="Arial"/>
                <w:sz w:val="18"/>
              </w:rPr>
              <w:t>2024</w:t>
            </w:r>
          </w:p>
        </w:tc>
        <w:tc>
          <w:tcPr>
            <w:tcW w:type="dxa" w:w="4082"/>
            <w:vAlign w:val="center"/>
            <w:tcMar>
              <w:top w:w="100" w:type="dxa"/>
              <w:start w:w="120" w:type="dxa"/>
              <w:bottom w:w="100" w:type="dxa"/>
              <w:end w:w="120" w:type="dxa"/>
            </w:tcMar>
            <w:shd w:fill="FFFFFF"/>
          </w:tcPr>
          <w:p>
            <w:pPr>
              <w:spacing w:before="0" w:after="0" w:line="252" w:lineRule="auto"/>
              <w:jc w:val="center"/>
            </w:pPr>
            <w:r>
              <w:rPr>
                <w:rFonts w:ascii="Arial" w:hAnsi="Arial"/>
                <w:sz w:val="18"/>
              </w:rPr>
              <w:t>2.686.557.288,58</w:t>
            </w:r>
          </w:p>
        </w:tc>
        <w:tc>
          <w:tcPr>
            <w:tcW w:type="dxa" w:w="3175"/>
            <w:vAlign w:val="center"/>
            <w:tcMar>
              <w:top w:w="100" w:type="dxa"/>
              <w:start w:w="120" w:type="dxa"/>
              <w:bottom w:w="100" w:type="dxa"/>
              <w:end w:w="120" w:type="dxa"/>
            </w:tcMar>
            <w:shd w:fill="FFFFFF"/>
          </w:tcPr>
          <w:p>
            <w:pPr>
              <w:spacing w:before="0" w:after="0" w:line="252" w:lineRule="auto"/>
              <w:jc w:val="center"/>
            </w:pPr>
            <w:r>
              <w:rPr>
                <w:rFonts w:ascii="Arial" w:hAnsi="Arial"/>
                <w:sz w:val="18"/>
              </w:rPr>
              <w:t>2,02%</w:t>
            </w:r>
          </w:p>
        </w:tc>
      </w:tr>
      <w:tr>
        <w:tc>
          <w:tcPr>
            <w:tcW w:type="dxa" w:w="1701"/>
            <w:vAlign w:val="center"/>
            <w:tcMar>
              <w:top w:w="100" w:type="dxa"/>
              <w:start w:w="120" w:type="dxa"/>
              <w:bottom w:w="100" w:type="dxa"/>
              <w:end w:w="120" w:type="dxa"/>
            </w:tcMar>
            <w:shd w:fill="EAF1F7"/>
          </w:tcPr>
          <w:p>
            <w:pPr>
              <w:spacing w:before="0" w:after="0" w:line="252" w:lineRule="auto"/>
              <w:jc w:val="center"/>
            </w:pPr>
            <w:r>
              <w:rPr>
                <w:rFonts w:ascii="Arial" w:hAnsi="Arial"/>
                <w:sz w:val="18"/>
              </w:rPr>
              <w:t>2025</w:t>
            </w:r>
          </w:p>
        </w:tc>
        <w:tc>
          <w:tcPr>
            <w:tcW w:type="dxa" w:w="4082"/>
            <w:vAlign w:val="center"/>
            <w:tcMar>
              <w:top w:w="100" w:type="dxa"/>
              <w:start w:w="120" w:type="dxa"/>
              <w:bottom w:w="100" w:type="dxa"/>
              <w:end w:w="120" w:type="dxa"/>
            </w:tcMar>
            <w:shd w:fill="EAF1F7"/>
          </w:tcPr>
          <w:p>
            <w:pPr>
              <w:spacing w:before="0" w:after="0" w:line="252" w:lineRule="auto"/>
              <w:jc w:val="center"/>
            </w:pPr>
            <w:r>
              <w:rPr>
                <w:rFonts w:ascii="Arial" w:hAnsi="Arial"/>
                <w:sz w:val="18"/>
              </w:rPr>
              <w:t>2.982.529.214,38</w:t>
            </w:r>
          </w:p>
        </w:tc>
        <w:tc>
          <w:tcPr>
            <w:tcW w:type="dxa" w:w="3175"/>
            <w:vAlign w:val="center"/>
            <w:tcMar>
              <w:top w:w="100" w:type="dxa"/>
              <w:start w:w="120" w:type="dxa"/>
              <w:bottom w:w="100" w:type="dxa"/>
              <w:end w:w="120" w:type="dxa"/>
            </w:tcMar>
            <w:shd w:fill="EAF1F7"/>
          </w:tcPr>
          <w:p>
            <w:pPr>
              <w:spacing w:before="0" w:after="0" w:line="252" w:lineRule="auto"/>
              <w:jc w:val="center"/>
            </w:pPr>
            <w:r>
              <w:rPr>
                <w:rFonts w:ascii="Arial" w:hAnsi="Arial"/>
                <w:sz w:val="18"/>
              </w:rPr>
              <w:t>11,02%</w:t>
            </w:r>
          </w:p>
        </w:tc>
      </w:tr>
    </w:tbl>
    <w:p>
      <w:pPr>
        <w:spacing w:after="0"/>
      </w:pPr>
    </w:p>
    <w:p>
      <w:pPr>
        <w:spacing w:before="80" w:after="80"/>
        <w:jc w:val="center"/>
        <w:keepNext/>
      </w:pPr>
      <w:r>
        <w:drawing>
          <wp:inline xmlns:a="http://schemas.openxmlformats.org/drawingml/2006/main" xmlns:pic="http://schemas.openxmlformats.org/drawingml/2006/picture">
            <wp:extent cx="5486400" cy="3046326"/>
            <wp:docPr id="1" name="Picture 1" descr="Gambar 1 Nilai penjualan tahunan 2022 sampai 2025" title="Gambar 1 Nilai penjualan tahunan 2022 sampai 2025"/>
            <wp:cNvGraphicFramePr>
              <a:graphicFrameLocks noChangeAspect="1"/>
            </wp:cNvGraphicFramePr>
            <a:graphic>
              <a:graphicData uri="http://schemas.openxmlformats.org/drawingml/2006/picture">
                <pic:pic>
                  <pic:nvPicPr>
                    <pic:cNvPr id="0" name="yearly_sales.png"/>
                    <pic:cNvPicPr/>
                  </pic:nvPicPr>
                  <pic:blipFill>
                    <a:blip r:embed="rId10"/>
                    <a:stretch>
                      <a:fillRect/>
                    </a:stretch>
                  </pic:blipFill>
                  <pic:spPr>
                    <a:xfrm>
                      <a:off x="0" y="0"/>
                      <a:ext cx="5486400" cy="3046326"/>
                    </a:xfrm>
                    <a:prstGeom prst="rect"/>
                  </pic:spPr>
                </pic:pic>
              </a:graphicData>
            </a:graphic>
          </wp:inline>
        </w:drawing>
      </w:r>
    </w:p>
    <w:p>
      <w:pPr>
        <w:pStyle w:val="Caption"/>
        <w:spacing w:after="200"/>
        <w:jc w:val="center"/>
      </w:pPr>
      <w:r>
        <w:t>Gambar 1 Nilai penjualan tahunan 2022 sampai 2025</w:t>
      </w:r>
    </w:p>
    <w:p>
      <w:r>
        <w:t>Nilai penjualan meningkat dari 2,58 miliar pada 2022 menjadi 2,98 miliar pada 2025. Pertumbuhan tahunan relatif stabil pada 2023 dan 2024, kemudian menguat menjadi 11,02 persen pada 2025. Satuan mata uang tidak disebutkan dalam sumber sehingga angka disajikan tanpa simbol mata uang.</w:t>
      </w:r>
    </w:p>
    <w:p>
      <w:pPr>
        <w:spacing w:before="80" w:after="80"/>
        <w:jc w:val="center"/>
        <w:keepNext/>
      </w:pPr>
      <w:r>
        <w:drawing>
          <wp:inline xmlns:a="http://schemas.openxmlformats.org/drawingml/2006/main" xmlns:pic="http://schemas.openxmlformats.org/drawingml/2006/picture">
            <wp:extent cx="5486400" cy="2709665"/>
            <wp:docPr id="2" name="Picture 2" descr="Gambar 2 Tren nilai penjualan bulanan" title="Gambar 2 Tren nilai penjualan bulanan"/>
            <wp:cNvGraphicFramePr>
              <a:graphicFrameLocks noChangeAspect="1"/>
            </wp:cNvGraphicFramePr>
            <a:graphic>
              <a:graphicData uri="http://schemas.openxmlformats.org/drawingml/2006/picture">
                <pic:pic>
                  <pic:nvPicPr>
                    <pic:cNvPr id="0" name="monthly_sales.png"/>
                    <pic:cNvPicPr/>
                  </pic:nvPicPr>
                  <pic:blipFill>
                    <a:blip r:embed="rId11"/>
                    <a:stretch>
                      <a:fillRect/>
                    </a:stretch>
                  </pic:blipFill>
                  <pic:spPr>
                    <a:xfrm>
                      <a:off x="0" y="0"/>
                      <a:ext cx="5486400" cy="2709665"/>
                    </a:xfrm>
                    <a:prstGeom prst="rect"/>
                  </pic:spPr>
                </pic:pic>
              </a:graphicData>
            </a:graphic>
          </wp:inline>
        </w:drawing>
      </w:r>
    </w:p>
    <w:p>
      <w:pPr>
        <w:pStyle w:val="Caption"/>
        <w:spacing w:after="200"/>
        <w:jc w:val="center"/>
      </w:pPr>
      <w:r>
        <w:t>Gambar 2 Tren nilai penjualan bulanan</w:t>
      </w:r>
    </w:p>
    <w:p>
      <w:r>
        <w:t>Pola bulanan menunjukkan penguatan pada akhir tahun. Desember menjadi bulan dengan nilai tertinggi pada setiap tahun dalam periode analisis, sedangkan beberapa titik rendah muncul pada Februari atau Maret. Pola ini mendukung perencanaan stok musiman menjelang kuartal keempat.</w:t>
      </w:r>
    </w:p>
    <w:p>
      <w:pPr>
        <w:pStyle w:val="Heading2"/>
      </w:pPr>
      <w:r>
        <w:t>5.2 Kanal Penjualan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trPr>
        <w:tc>
          <w:tcPr>
            <w:tcW w:type="dxa" w:w="2268"/>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Kanal</w:t>
            </w:r>
          </w:p>
        </w:tc>
        <w:tc>
          <w:tcPr>
            <w:tcW w:type="dxa" w:w="3855"/>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Nilai penjualan</w:t>
            </w:r>
          </w:p>
        </w:tc>
        <w:tc>
          <w:tcPr>
            <w:tcW w:type="dxa" w:w="2835"/>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Kontribusi</w:t>
            </w:r>
          </w:p>
        </w:tc>
      </w:tr>
      <w:tr>
        <w:tc>
          <w:tcPr>
            <w:tcW w:type="dxa" w:w="2268"/>
            <w:vAlign w:val="center"/>
            <w:tcMar>
              <w:top w:w="100" w:type="dxa"/>
              <w:start w:w="120" w:type="dxa"/>
              <w:bottom w:w="100" w:type="dxa"/>
              <w:end w:w="120" w:type="dxa"/>
            </w:tcMar>
            <w:shd w:fill="FFFFFF"/>
          </w:tcPr>
          <w:p>
            <w:pPr>
              <w:spacing w:before="0" w:after="0" w:line="252" w:lineRule="auto"/>
              <w:jc w:val="left"/>
            </w:pPr>
            <w:r>
              <w:rPr>
                <w:rFonts w:ascii="Arial" w:hAnsi="Arial"/>
                <w:sz w:val="18"/>
              </w:rPr>
              <w:t>In-Store</w:t>
            </w:r>
          </w:p>
        </w:tc>
        <w:tc>
          <w:tcPr>
            <w:tcW w:type="dxa" w:w="3855"/>
            <w:vAlign w:val="center"/>
            <w:tcMar>
              <w:top w:w="100" w:type="dxa"/>
              <w:start w:w="120" w:type="dxa"/>
              <w:bottom w:w="100" w:type="dxa"/>
              <w:end w:w="120" w:type="dxa"/>
            </w:tcMar>
            <w:shd w:fill="FFFFFF"/>
          </w:tcPr>
          <w:p>
            <w:pPr>
              <w:spacing w:before="0" w:after="0" w:line="252" w:lineRule="auto"/>
              <w:jc w:val="center"/>
            </w:pPr>
            <w:r>
              <w:rPr>
                <w:rFonts w:ascii="Arial" w:hAnsi="Arial"/>
                <w:sz w:val="18"/>
              </w:rPr>
              <w:t>6.014.943.423,60</w:t>
            </w:r>
          </w:p>
        </w:tc>
        <w:tc>
          <w:tcPr>
            <w:tcW w:type="dxa" w:w="2835"/>
            <w:vAlign w:val="center"/>
            <w:tcMar>
              <w:top w:w="100" w:type="dxa"/>
              <w:start w:w="120" w:type="dxa"/>
              <w:bottom w:w="100" w:type="dxa"/>
              <w:end w:w="120" w:type="dxa"/>
            </w:tcMar>
            <w:shd w:fill="FFFFFF"/>
          </w:tcPr>
          <w:p>
            <w:pPr>
              <w:spacing w:before="0" w:after="0" w:line="252" w:lineRule="auto"/>
              <w:jc w:val="center"/>
            </w:pPr>
            <w:r>
              <w:rPr>
                <w:rFonts w:ascii="Arial" w:hAnsi="Arial"/>
                <w:sz w:val="18"/>
              </w:rPr>
              <w:t>55,26%</w:t>
            </w:r>
          </w:p>
        </w:tc>
      </w:tr>
      <w:tr>
        <w:tc>
          <w:tcPr>
            <w:tcW w:type="dxa" w:w="2268"/>
            <w:vAlign w:val="center"/>
            <w:tcMar>
              <w:top w:w="100" w:type="dxa"/>
              <w:start w:w="120" w:type="dxa"/>
              <w:bottom w:w="100" w:type="dxa"/>
              <w:end w:w="120" w:type="dxa"/>
            </w:tcMar>
            <w:shd w:fill="EAF1F7"/>
          </w:tcPr>
          <w:p>
            <w:pPr>
              <w:spacing w:before="0" w:after="0" w:line="252" w:lineRule="auto"/>
              <w:jc w:val="left"/>
            </w:pPr>
            <w:r>
              <w:rPr>
                <w:rFonts w:ascii="Arial" w:hAnsi="Arial"/>
                <w:sz w:val="18"/>
              </w:rPr>
              <w:t>Online</w:t>
            </w:r>
          </w:p>
        </w:tc>
        <w:tc>
          <w:tcPr>
            <w:tcW w:type="dxa" w:w="3855"/>
            <w:vAlign w:val="center"/>
            <w:tcMar>
              <w:top w:w="100" w:type="dxa"/>
              <w:start w:w="120" w:type="dxa"/>
              <w:bottom w:w="100" w:type="dxa"/>
              <w:end w:w="120" w:type="dxa"/>
            </w:tcMar>
            <w:shd w:fill="EAF1F7"/>
          </w:tcPr>
          <w:p>
            <w:pPr>
              <w:spacing w:before="0" w:after="0" w:line="252" w:lineRule="auto"/>
              <w:jc w:val="center"/>
            </w:pPr>
            <w:r>
              <w:rPr>
                <w:rFonts w:ascii="Arial" w:hAnsi="Arial"/>
                <w:sz w:val="18"/>
              </w:rPr>
              <w:t>3.237.278.127,13</w:t>
            </w:r>
          </w:p>
        </w:tc>
        <w:tc>
          <w:tcPr>
            <w:tcW w:type="dxa" w:w="2835"/>
            <w:vAlign w:val="center"/>
            <w:tcMar>
              <w:top w:w="100" w:type="dxa"/>
              <w:start w:w="120" w:type="dxa"/>
              <w:bottom w:w="100" w:type="dxa"/>
              <w:end w:w="120" w:type="dxa"/>
            </w:tcMar>
            <w:shd w:fill="EAF1F7"/>
          </w:tcPr>
          <w:p>
            <w:pPr>
              <w:spacing w:before="0" w:after="0" w:line="252" w:lineRule="auto"/>
              <w:jc w:val="center"/>
            </w:pPr>
            <w:r>
              <w:rPr>
                <w:rFonts w:ascii="Arial" w:hAnsi="Arial"/>
                <w:sz w:val="18"/>
              </w:rPr>
              <w:t>29,74%</w:t>
            </w:r>
          </w:p>
        </w:tc>
      </w:tr>
      <w:tr>
        <w:tc>
          <w:tcPr>
            <w:tcW w:type="dxa" w:w="2268"/>
            <w:vAlign w:val="center"/>
            <w:tcMar>
              <w:top w:w="100" w:type="dxa"/>
              <w:start w:w="120" w:type="dxa"/>
              <w:bottom w:w="100" w:type="dxa"/>
              <w:end w:w="120" w:type="dxa"/>
            </w:tcMar>
            <w:shd w:fill="FFFFFF"/>
          </w:tcPr>
          <w:p>
            <w:pPr>
              <w:spacing w:before="0" w:after="0" w:line="252" w:lineRule="auto"/>
              <w:jc w:val="left"/>
            </w:pPr>
            <w:r>
              <w:rPr>
                <w:rFonts w:ascii="Arial" w:hAnsi="Arial"/>
                <w:sz w:val="18"/>
              </w:rPr>
              <w:t>Mobile App</w:t>
            </w:r>
          </w:p>
        </w:tc>
        <w:tc>
          <w:tcPr>
            <w:tcW w:type="dxa" w:w="3855"/>
            <w:vAlign w:val="center"/>
            <w:tcMar>
              <w:top w:w="100" w:type="dxa"/>
              <w:start w:w="120" w:type="dxa"/>
              <w:bottom w:w="100" w:type="dxa"/>
              <w:end w:w="120" w:type="dxa"/>
            </w:tcMar>
            <w:shd w:fill="FFFFFF"/>
          </w:tcPr>
          <w:p>
            <w:pPr>
              <w:spacing w:before="0" w:after="0" w:line="252" w:lineRule="auto"/>
              <w:jc w:val="center"/>
            </w:pPr>
            <w:r>
              <w:rPr>
                <w:rFonts w:ascii="Arial" w:hAnsi="Arial"/>
                <w:sz w:val="18"/>
              </w:rPr>
              <w:t>1.633.257.941,73</w:t>
            </w:r>
          </w:p>
        </w:tc>
        <w:tc>
          <w:tcPr>
            <w:tcW w:type="dxa" w:w="2835"/>
            <w:vAlign w:val="center"/>
            <w:tcMar>
              <w:top w:w="100" w:type="dxa"/>
              <w:start w:w="120" w:type="dxa"/>
              <w:bottom w:w="100" w:type="dxa"/>
              <w:end w:w="120" w:type="dxa"/>
            </w:tcMar>
            <w:shd w:fill="FFFFFF"/>
          </w:tcPr>
          <w:p>
            <w:pPr>
              <w:spacing w:before="0" w:after="0" w:line="252" w:lineRule="auto"/>
              <w:jc w:val="center"/>
            </w:pPr>
            <w:r>
              <w:rPr>
                <w:rFonts w:ascii="Arial" w:hAnsi="Arial"/>
                <w:sz w:val="18"/>
              </w:rPr>
              <w:t>15,00%</w:t>
            </w:r>
          </w:p>
        </w:tc>
      </w:tr>
    </w:tbl>
    <w:p>
      <w:pPr>
        <w:spacing w:after="0"/>
      </w:pPr>
    </w:p>
    <w:p>
      <w:pPr>
        <w:spacing w:before="80" w:after="80"/>
        <w:jc w:val="center"/>
        <w:keepNext/>
      </w:pPr>
      <w:r>
        <w:drawing>
          <wp:inline xmlns:a="http://schemas.openxmlformats.org/drawingml/2006/main" xmlns:pic="http://schemas.openxmlformats.org/drawingml/2006/picture">
            <wp:extent cx="5486400" cy="2912999"/>
            <wp:docPr id="3" name="Picture 3" descr="Gambar 3 Kontribusi nilai penjualan berdasarkan kanal" title="Gambar 3 Kontribusi nilai penjualan berdasarkan kanal"/>
            <wp:cNvGraphicFramePr>
              <a:graphicFrameLocks noChangeAspect="1"/>
            </wp:cNvGraphicFramePr>
            <a:graphic>
              <a:graphicData uri="http://schemas.openxmlformats.org/drawingml/2006/picture">
                <pic:pic>
                  <pic:nvPicPr>
                    <pic:cNvPr id="0" name="channel_sales.png"/>
                    <pic:cNvPicPr/>
                  </pic:nvPicPr>
                  <pic:blipFill>
                    <a:blip r:embed="rId12"/>
                    <a:stretch>
                      <a:fillRect/>
                    </a:stretch>
                  </pic:blipFill>
                  <pic:spPr>
                    <a:xfrm>
                      <a:off x="0" y="0"/>
                      <a:ext cx="5486400" cy="2912999"/>
                    </a:xfrm>
                    <a:prstGeom prst="rect"/>
                  </pic:spPr>
                </pic:pic>
              </a:graphicData>
            </a:graphic>
          </wp:inline>
        </w:drawing>
      </w:r>
    </w:p>
    <w:p>
      <w:pPr>
        <w:pStyle w:val="Caption"/>
        <w:spacing w:after="200"/>
        <w:jc w:val="center"/>
      </w:pPr>
      <w:r>
        <w:t>Gambar 3 Kontribusi nilai penjualan berdasarkan kanal</w:t>
      </w:r>
    </w:p>
    <w:p>
      <w:r>
        <w:t>In Store menyumbang 55,26 persen dari nilai penjualan. Online berkontribusi 29,74 persen dan Mobile App 15,00 persen. Kanal digital secara gabungan mencapai 44,74 persen, sehingga pengembangan kanal digital tetap penting walaupun toko fisik masih dominan.</w:t>
      </w:r>
    </w:p>
    <w:p>
      <w:pPr>
        <w:pStyle w:val="Heading2"/>
      </w:pPr>
      <w:r>
        <w:t>5.3 Kategori dan Kota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2268"/>
        <w:gridCol w:w="2268"/>
        <w:gridCol w:w="2268"/>
      </w:tblGrid>
      <w:tr>
        <w:trPr>
          <w:tblHeader w:val="true"/>
        </w:trPr>
        <w:tc>
          <w:tcPr>
            <w:tcW w:type="dxa" w:w="2835"/>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Kategori</w:t>
            </w:r>
          </w:p>
        </w:tc>
        <w:tc>
          <w:tcPr>
            <w:tcW w:type="dxa" w:w="1531"/>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Kontribusi</w:t>
            </w:r>
          </w:p>
        </w:tc>
        <w:tc>
          <w:tcPr>
            <w:tcW w:type="dxa" w:w="2835"/>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Kota</w:t>
            </w:r>
          </w:p>
        </w:tc>
        <w:tc>
          <w:tcPr>
            <w:tcW w:type="dxa" w:w="1757"/>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Kontribusi</w:t>
            </w:r>
          </w:p>
        </w:tc>
      </w:tr>
      <w:tr>
        <w:tc>
          <w:tcPr>
            <w:tcW w:type="dxa" w:w="2835"/>
            <w:vAlign w:val="center"/>
            <w:tcMar>
              <w:top w:w="100" w:type="dxa"/>
              <w:start w:w="120" w:type="dxa"/>
              <w:bottom w:w="100" w:type="dxa"/>
              <w:end w:w="120" w:type="dxa"/>
            </w:tcMar>
            <w:shd w:fill="FFFFFF"/>
          </w:tcPr>
          <w:p>
            <w:pPr>
              <w:spacing w:before="0" w:after="0" w:line="252" w:lineRule="auto"/>
              <w:jc w:val="left"/>
            </w:pPr>
            <w:r>
              <w:rPr>
                <w:rFonts w:ascii="Arial" w:hAnsi="Arial"/>
                <w:sz w:val="18"/>
              </w:rPr>
              <w:t>Electronics &amp; Accessories</w:t>
            </w:r>
          </w:p>
        </w:tc>
        <w:tc>
          <w:tcPr>
            <w:tcW w:type="dxa" w:w="1531"/>
            <w:vAlign w:val="center"/>
            <w:tcMar>
              <w:top w:w="100" w:type="dxa"/>
              <w:start w:w="120" w:type="dxa"/>
              <w:bottom w:w="100" w:type="dxa"/>
              <w:end w:w="120" w:type="dxa"/>
            </w:tcMar>
            <w:shd w:fill="FFFFFF"/>
          </w:tcPr>
          <w:p>
            <w:pPr>
              <w:spacing w:before="0" w:after="0" w:line="252" w:lineRule="auto"/>
              <w:jc w:val="center"/>
            </w:pPr>
            <w:r>
              <w:rPr>
                <w:rFonts w:ascii="Arial" w:hAnsi="Arial"/>
                <w:sz w:val="18"/>
              </w:rPr>
              <w:t>21,39%</w:t>
            </w:r>
          </w:p>
        </w:tc>
        <w:tc>
          <w:tcPr>
            <w:tcW w:type="dxa" w:w="2835"/>
            <w:vAlign w:val="center"/>
            <w:tcMar>
              <w:top w:w="100" w:type="dxa"/>
              <w:start w:w="120" w:type="dxa"/>
              <w:bottom w:w="100" w:type="dxa"/>
              <w:end w:w="120" w:type="dxa"/>
            </w:tcMar>
            <w:shd w:fill="FFFFFF"/>
          </w:tcPr>
          <w:p>
            <w:pPr>
              <w:spacing w:before="0" w:after="0" w:line="252" w:lineRule="auto"/>
              <w:jc w:val="left"/>
            </w:pPr>
            <w:r>
              <w:rPr>
                <w:rFonts w:ascii="Arial" w:hAnsi="Arial"/>
                <w:sz w:val="18"/>
              </w:rPr>
              <w:t>Karachi</w:t>
            </w:r>
          </w:p>
        </w:tc>
        <w:tc>
          <w:tcPr>
            <w:tcW w:type="dxa" w:w="1757"/>
            <w:vAlign w:val="center"/>
            <w:tcMar>
              <w:top w:w="100" w:type="dxa"/>
              <w:start w:w="120" w:type="dxa"/>
              <w:bottom w:w="100" w:type="dxa"/>
              <w:end w:w="120" w:type="dxa"/>
            </w:tcMar>
            <w:shd w:fill="FFFFFF"/>
          </w:tcPr>
          <w:p>
            <w:pPr>
              <w:spacing w:before="0" w:after="0" w:line="252" w:lineRule="auto"/>
              <w:jc w:val="center"/>
            </w:pPr>
            <w:r>
              <w:rPr>
                <w:rFonts w:ascii="Arial" w:hAnsi="Arial"/>
                <w:sz w:val="18"/>
              </w:rPr>
              <w:t>19,02%</w:t>
            </w:r>
          </w:p>
        </w:tc>
      </w:tr>
      <w:tr>
        <w:tc>
          <w:tcPr>
            <w:tcW w:type="dxa" w:w="2835"/>
            <w:vAlign w:val="center"/>
            <w:tcMar>
              <w:top w:w="100" w:type="dxa"/>
              <w:start w:w="120" w:type="dxa"/>
              <w:bottom w:w="100" w:type="dxa"/>
              <w:end w:w="120" w:type="dxa"/>
            </w:tcMar>
            <w:shd w:fill="EAF1F7"/>
          </w:tcPr>
          <w:p>
            <w:pPr>
              <w:spacing w:before="0" w:after="0" w:line="252" w:lineRule="auto"/>
              <w:jc w:val="left"/>
            </w:pPr>
            <w:r>
              <w:rPr>
                <w:rFonts w:ascii="Arial" w:hAnsi="Arial"/>
                <w:sz w:val="18"/>
              </w:rPr>
              <w:t>Apparel &amp; Footwear</w:t>
            </w:r>
          </w:p>
        </w:tc>
        <w:tc>
          <w:tcPr>
            <w:tcW w:type="dxa" w:w="1531"/>
            <w:vAlign w:val="center"/>
            <w:tcMar>
              <w:top w:w="100" w:type="dxa"/>
              <w:start w:w="120" w:type="dxa"/>
              <w:bottom w:w="100" w:type="dxa"/>
              <w:end w:w="120" w:type="dxa"/>
            </w:tcMar>
            <w:shd w:fill="EAF1F7"/>
          </w:tcPr>
          <w:p>
            <w:pPr>
              <w:spacing w:before="0" w:after="0" w:line="252" w:lineRule="auto"/>
              <w:jc w:val="center"/>
            </w:pPr>
            <w:r>
              <w:rPr>
                <w:rFonts w:ascii="Arial" w:hAnsi="Arial"/>
                <w:sz w:val="18"/>
              </w:rPr>
              <w:t>17,56%</w:t>
            </w:r>
          </w:p>
        </w:tc>
        <w:tc>
          <w:tcPr>
            <w:tcW w:type="dxa" w:w="2835"/>
            <w:vAlign w:val="center"/>
            <w:tcMar>
              <w:top w:w="100" w:type="dxa"/>
              <w:start w:w="120" w:type="dxa"/>
              <w:bottom w:w="100" w:type="dxa"/>
              <w:end w:w="120" w:type="dxa"/>
            </w:tcMar>
            <w:shd w:fill="EAF1F7"/>
          </w:tcPr>
          <w:p>
            <w:pPr>
              <w:spacing w:before="0" w:after="0" w:line="252" w:lineRule="auto"/>
              <w:jc w:val="left"/>
            </w:pPr>
            <w:r>
              <w:rPr>
                <w:rFonts w:ascii="Arial" w:hAnsi="Arial"/>
                <w:sz w:val="18"/>
              </w:rPr>
              <w:t>Multan</w:t>
            </w:r>
          </w:p>
        </w:tc>
        <w:tc>
          <w:tcPr>
            <w:tcW w:type="dxa" w:w="1757"/>
            <w:vAlign w:val="center"/>
            <w:tcMar>
              <w:top w:w="100" w:type="dxa"/>
              <w:start w:w="120" w:type="dxa"/>
              <w:bottom w:w="100" w:type="dxa"/>
              <w:end w:w="120" w:type="dxa"/>
            </w:tcMar>
            <w:shd w:fill="EAF1F7"/>
          </w:tcPr>
          <w:p>
            <w:pPr>
              <w:spacing w:before="0" w:after="0" w:line="252" w:lineRule="auto"/>
              <w:jc w:val="center"/>
            </w:pPr>
            <w:r>
              <w:rPr>
                <w:rFonts w:ascii="Arial" w:hAnsi="Arial"/>
                <w:sz w:val="18"/>
              </w:rPr>
              <w:t>15,39%</w:t>
            </w:r>
          </w:p>
        </w:tc>
      </w:tr>
      <w:tr>
        <w:tc>
          <w:tcPr>
            <w:tcW w:type="dxa" w:w="2835"/>
            <w:vAlign w:val="center"/>
            <w:tcMar>
              <w:top w:w="100" w:type="dxa"/>
              <w:start w:w="120" w:type="dxa"/>
              <w:bottom w:w="100" w:type="dxa"/>
              <w:end w:w="120" w:type="dxa"/>
            </w:tcMar>
            <w:shd w:fill="FFFFFF"/>
          </w:tcPr>
          <w:p>
            <w:pPr>
              <w:spacing w:before="0" w:after="0" w:line="252" w:lineRule="auto"/>
              <w:jc w:val="left"/>
            </w:pPr>
            <w:r>
              <w:rPr>
                <w:rFonts w:ascii="Arial" w:hAnsi="Arial"/>
                <w:sz w:val="18"/>
              </w:rPr>
              <w:t>Personal Care</w:t>
            </w:r>
          </w:p>
        </w:tc>
        <w:tc>
          <w:tcPr>
            <w:tcW w:type="dxa" w:w="1531"/>
            <w:vAlign w:val="center"/>
            <w:tcMar>
              <w:top w:w="100" w:type="dxa"/>
              <w:start w:w="120" w:type="dxa"/>
              <w:bottom w:w="100" w:type="dxa"/>
              <w:end w:w="120" w:type="dxa"/>
            </w:tcMar>
            <w:shd w:fill="FFFFFF"/>
          </w:tcPr>
          <w:p>
            <w:pPr>
              <w:spacing w:before="0" w:after="0" w:line="252" w:lineRule="auto"/>
              <w:jc w:val="center"/>
            </w:pPr>
            <w:r>
              <w:rPr>
                <w:rFonts w:ascii="Arial" w:hAnsi="Arial"/>
                <w:sz w:val="18"/>
              </w:rPr>
              <w:t>14,87%</w:t>
            </w:r>
          </w:p>
        </w:tc>
        <w:tc>
          <w:tcPr>
            <w:tcW w:type="dxa" w:w="2835"/>
            <w:vAlign w:val="center"/>
            <w:tcMar>
              <w:top w:w="100" w:type="dxa"/>
              <w:start w:w="120" w:type="dxa"/>
              <w:bottom w:w="100" w:type="dxa"/>
              <w:end w:w="120" w:type="dxa"/>
            </w:tcMar>
            <w:shd w:fill="FFFFFF"/>
          </w:tcPr>
          <w:p>
            <w:pPr>
              <w:spacing w:before="0" w:after="0" w:line="252" w:lineRule="auto"/>
              <w:jc w:val="left"/>
            </w:pPr>
            <w:r>
              <w:rPr>
                <w:rFonts w:ascii="Arial" w:hAnsi="Arial"/>
                <w:sz w:val="18"/>
              </w:rPr>
              <w:t>Islamabad</w:t>
            </w:r>
          </w:p>
        </w:tc>
        <w:tc>
          <w:tcPr>
            <w:tcW w:type="dxa" w:w="1757"/>
            <w:vAlign w:val="center"/>
            <w:tcMar>
              <w:top w:w="100" w:type="dxa"/>
              <w:start w:w="120" w:type="dxa"/>
              <w:bottom w:w="100" w:type="dxa"/>
              <w:end w:w="120" w:type="dxa"/>
            </w:tcMar>
            <w:shd w:fill="FFFFFF"/>
          </w:tcPr>
          <w:p>
            <w:pPr>
              <w:spacing w:before="0" w:after="0" w:line="252" w:lineRule="auto"/>
              <w:jc w:val="center"/>
            </w:pPr>
            <w:r>
              <w:rPr>
                <w:rFonts w:ascii="Arial" w:hAnsi="Arial"/>
                <w:sz w:val="18"/>
              </w:rPr>
              <w:t>12,29%</w:t>
            </w:r>
          </w:p>
        </w:tc>
      </w:tr>
      <w:tr>
        <w:tc>
          <w:tcPr>
            <w:tcW w:type="dxa" w:w="2835"/>
            <w:vAlign w:val="center"/>
            <w:tcMar>
              <w:top w:w="100" w:type="dxa"/>
              <w:start w:w="120" w:type="dxa"/>
              <w:bottom w:w="100" w:type="dxa"/>
              <w:end w:w="120" w:type="dxa"/>
            </w:tcMar>
            <w:shd w:fill="EAF1F7"/>
          </w:tcPr>
          <w:p>
            <w:pPr>
              <w:spacing w:before="0" w:after="0" w:line="252" w:lineRule="auto"/>
              <w:jc w:val="left"/>
            </w:pPr>
            <w:r>
              <w:rPr>
                <w:rFonts w:ascii="Arial" w:hAnsi="Arial"/>
                <w:sz w:val="18"/>
              </w:rPr>
              <w:t>Home &amp; Kitchen</w:t>
            </w:r>
          </w:p>
        </w:tc>
        <w:tc>
          <w:tcPr>
            <w:tcW w:type="dxa" w:w="1531"/>
            <w:vAlign w:val="center"/>
            <w:tcMar>
              <w:top w:w="100" w:type="dxa"/>
              <w:start w:w="120" w:type="dxa"/>
              <w:bottom w:w="100" w:type="dxa"/>
              <w:end w:w="120" w:type="dxa"/>
            </w:tcMar>
            <w:shd w:fill="EAF1F7"/>
          </w:tcPr>
          <w:p>
            <w:pPr>
              <w:spacing w:before="0" w:after="0" w:line="252" w:lineRule="auto"/>
              <w:jc w:val="center"/>
            </w:pPr>
            <w:r>
              <w:rPr>
                <w:rFonts w:ascii="Arial" w:hAnsi="Arial"/>
                <w:sz w:val="18"/>
              </w:rPr>
              <w:t>14,50%</w:t>
            </w:r>
          </w:p>
        </w:tc>
        <w:tc>
          <w:tcPr>
            <w:tcW w:type="dxa" w:w="2835"/>
            <w:vAlign w:val="center"/>
            <w:tcMar>
              <w:top w:w="100" w:type="dxa"/>
              <w:start w:w="120" w:type="dxa"/>
              <w:bottom w:w="100" w:type="dxa"/>
              <w:end w:w="120" w:type="dxa"/>
            </w:tcMar>
            <w:shd w:fill="EAF1F7"/>
          </w:tcPr>
          <w:p>
            <w:pPr>
              <w:spacing w:before="0" w:after="0" w:line="252" w:lineRule="auto"/>
              <w:jc w:val="left"/>
            </w:pPr>
            <w:r>
              <w:rPr>
                <w:rFonts w:ascii="Arial" w:hAnsi="Arial"/>
                <w:sz w:val="18"/>
              </w:rPr>
              <w:t>Sialkot</w:t>
            </w:r>
          </w:p>
        </w:tc>
        <w:tc>
          <w:tcPr>
            <w:tcW w:type="dxa" w:w="1757"/>
            <w:vAlign w:val="center"/>
            <w:tcMar>
              <w:top w:w="100" w:type="dxa"/>
              <w:start w:w="120" w:type="dxa"/>
              <w:bottom w:w="100" w:type="dxa"/>
              <w:end w:w="120" w:type="dxa"/>
            </w:tcMar>
            <w:shd w:fill="EAF1F7"/>
          </w:tcPr>
          <w:p>
            <w:pPr>
              <w:spacing w:before="0" w:after="0" w:line="252" w:lineRule="auto"/>
              <w:jc w:val="center"/>
            </w:pPr>
            <w:r>
              <w:rPr>
                <w:rFonts w:ascii="Arial" w:hAnsi="Arial"/>
                <w:sz w:val="18"/>
              </w:rPr>
              <w:t>9,47%</w:t>
            </w:r>
          </w:p>
        </w:tc>
      </w:tr>
      <w:tr>
        <w:tc>
          <w:tcPr>
            <w:tcW w:type="dxa" w:w="2835"/>
            <w:vAlign w:val="center"/>
            <w:tcMar>
              <w:top w:w="100" w:type="dxa"/>
              <w:start w:w="120" w:type="dxa"/>
              <w:bottom w:w="100" w:type="dxa"/>
              <w:end w:w="120" w:type="dxa"/>
            </w:tcMar>
            <w:shd w:fill="FFFFFF"/>
          </w:tcPr>
          <w:p>
            <w:pPr>
              <w:spacing w:before="0" w:after="0" w:line="252" w:lineRule="auto"/>
              <w:jc w:val="left"/>
            </w:pPr>
            <w:r>
              <w:rPr>
                <w:rFonts w:ascii="Arial" w:hAnsi="Arial"/>
                <w:sz w:val="18"/>
              </w:rPr>
              <w:t>Health &amp; Wellness</w:t>
            </w:r>
          </w:p>
        </w:tc>
        <w:tc>
          <w:tcPr>
            <w:tcW w:type="dxa" w:w="1531"/>
            <w:vAlign w:val="center"/>
            <w:tcMar>
              <w:top w:w="100" w:type="dxa"/>
              <w:start w:w="120" w:type="dxa"/>
              <w:bottom w:w="100" w:type="dxa"/>
              <w:end w:w="120" w:type="dxa"/>
            </w:tcMar>
            <w:shd w:fill="FFFFFF"/>
          </w:tcPr>
          <w:p>
            <w:pPr>
              <w:spacing w:before="0" w:after="0" w:line="252" w:lineRule="auto"/>
              <w:jc w:val="center"/>
            </w:pPr>
            <w:r>
              <w:rPr>
                <w:rFonts w:ascii="Arial" w:hAnsi="Arial"/>
                <w:sz w:val="18"/>
              </w:rPr>
              <w:t>8,17%</w:t>
            </w:r>
          </w:p>
        </w:tc>
        <w:tc>
          <w:tcPr>
            <w:tcW w:type="dxa" w:w="2835"/>
            <w:vAlign w:val="center"/>
            <w:tcMar>
              <w:top w:w="100" w:type="dxa"/>
              <w:start w:w="120" w:type="dxa"/>
              <w:bottom w:w="100" w:type="dxa"/>
              <w:end w:w="120" w:type="dxa"/>
            </w:tcMar>
            <w:shd w:fill="FFFFFF"/>
          </w:tcPr>
          <w:p>
            <w:pPr>
              <w:spacing w:before="0" w:after="0" w:line="252" w:lineRule="auto"/>
              <w:jc w:val="left"/>
            </w:pPr>
            <w:r>
              <w:rPr>
                <w:rFonts w:ascii="Arial" w:hAnsi="Arial"/>
                <w:sz w:val="18"/>
              </w:rPr>
              <w:t>Peshawar</w:t>
            </w:r>
          </w:p>
        </w:tc>
        <w:tc>
          <w:tcPr>
            <w:tcW w:type="dxa" w:w="1757"/>
            <w:vAlign w:val="center"/>
            <w:tcMar>
              <w:top w:w="100" w:type="dxa"/>
              <w:start w:w="120" w:type="dxa"/>
              <w:bottom w:w="100" w:type="dxa"/>
              <w:end w:w="120" w:type="dxa"/>
            </w:tcMar>
            <w:shd w:fill="FFFFFF"/>
          </w:tcPr>
          <w:p>
            <w:pPr>
              <w:spacing w:before="0" w:after="0" w:line="252" w:lineRule="auto"/>
              <w:jc w:val="center"/>
            </w:pPr>
            <w:r>
              <w:rPr>
                <w:rFonts w:ascii="Arial" w:hAnsi="Arial"/>
                <w:sz w:val="18"/>
              </w:rPr>
              <w:t>9,46%</w:t>
            </w:r>
          </w:p>
        </w:tc>
      </w:tr>
    </w:tbl>
    <w:p>
      <w:pPr>
        <w:spacing w:after="0"/>
      </w:pPr>
    </w:p>
    <w:p>
      <w:pPr>
        <w:spacing w:before="80" w:after="80"/>
        <w:jc w:val="center"/>
        <w:keepNext/>
      </w:pPr>
      <w:r>
        <w:drawing>
          <wp:inline xmlns:a="http://schemas.openxmlformats.org/drawingml/2006/main" xmlns:pic="http://schemas.openxmlformats.org/drawingml/2006/picture">
            <wp:extent cx="5577840" cy="2595202"/>
            <wp:docPr id="4" name="Picture 4" descr="Gambar 4 Kategori dan kota dengan kontribusi penjualan terbesar" title="Gambar 4 Kategori dan kota dengan kontribusi penjualan terbesar"/>
            <wp:cNvGraphicFramePr>
              <a:graphicFrameLocks noChangeAspect="1"/>
            </wp:cNvGraphicFramePr>
            <a:graphic>
              <a:graphicData uri="http://schemas.openxmlformats.org/drawingml/2006/picture">
                <pic:pic>
                  <pic:nvPicPr>
                    <pic:cNvPr id="0" name="category_city_sales.png"/>
                    <pic:cNvPicPr/>
                  </pic:nvPicPr>
                  <pic:blipFill>
                    <a:blip r:embed="rId13"/>
                    <a:stretch>
                      <a:fillRect/>
                    </a:stretch>
                  </pic:blipFill>
                  <pic:spPr>
                    <a:xfrm>
                      <a:off x="0" y="0"/>
                      <a:ext cx="5577840" cy="2595202"/>
                    </a:xfrm>
                    <a:prstGeom prst="rect"/>
                  </pic:spPr>
                </pic:pic>
              </a:graphicData>
            </a:graphic>
          </wp:inline>
        </w:drawing>
      </w:r>
    </w:p>
    <w:p>
      <w:pPr>
        <w:pStyle w:val="Caption"/>
        <w:spacing w:after="200"/>
        <w:jc w:val="center"/>
      </w:pPr>
      <w:r>
        <w:t>Gambar 4 Kategori dan kota dengan kontribusi penjualan terbesar</w:t>
      </w:r>
    </w:p>
    <w:p>
      <w:r>
        <w:t>Electronics and Accessories menjadi kategori terbesar dengan kontribusi 21,39 persen, disusul Apparel and Footwear sebesar 17,56 persen. Karachi menyumbang 19,02 persen dan Multan 15,39 persen. Konsentrasi tersebut dapat digunakan untuk menetapkan prioritas ketersediaan stok, namun alokasi tetap perlu memperhatikan margin dan kecepatan perputaran SKU.</w:t>
      </w:r>
    </w:p>
    <w:p>
      <w:pPr>
        <w:pStyle w:val="Heading2"/>
      </w:pPr>
      <w:r>
        <w:t>5.4 Perbandingan Promosi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1512"/>
        <w:gridCol w:w="1512"/>
        <w:gridCol w:w="1512"/>
        <w:gridCol w:w="1512"/>
        <w:gridCol w:w="1512"/>
      </w:tblGrid>
      <w:tr>
        <w:trPr>
          <w:tblHeader w:val="true"/>
        </w:trPr>
        <w:tc>
          <w:tcPr>
            <w:tcW w:type="dxa" w:w="1928"/>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Kelompok struk</w:t>
            </w:r>
          </w:p>
        </w:tc>
        <w:tc>
          <w:tcPr>
            <w:tcW w:type="dxa" w:w="1417"/>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Jumlah</w:t>
            </w:r>
          </w:p>
        </w:tc>
        <w:tc>
          <w:tcPr>
            <w:tcW w:type="dxa" w:w="1361"/>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Unit rata-rata</w:t>
            </w:r>
          </w:p>
        </w:tc>
        <w:tc>
          <w:tcPr>
            <w:tcW w:type="dxa" w:w="1587"/>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Nilai rata-rata</w:t>
            </w:r>
          </w:p>
        </w:tc>
        <w:tc>
          <w:tcPr>
            <w:tcW w:type="dxa" w:w="1587"/>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Laba rata-rata</w:t>
            </w:r>
          </w:p>
        </w:tc>
        <w:tc>
          <w:tcPr>
            <w:tcW w:type="dxa" w:w="1077"/>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Margin</w:t>
            </w:r>
          </w:p>
        </w:tc>
      </w:tr>
      <w:tr>
        <w:tc>
          <w:tcPr>
            <w:tcW w:type="dxa" w:w="1928"/>
            <w:vAlign w:val="center"/>
            <w:tcMar>
              <w:top w:w="100" w:type="dxa"/>
              <w:start w:w="120" w:type="dxa"/>
              <w:bottom w:w="100" w:type="dxa"/>
              <w:end w:w="120" w:type="dxa"/>
            </w:tcMar>
            <w:shd w:fill="FFFFFF"/>
          </w:tcPr>
          <w:p>
            <w:pPr>
              <w:spacing w:before="0" w:after="0" w:line="252" w:lineRule="auto"/>
              <w:jc w:val="left"/>
            </w:pPr>
            <w:r>
              <w:rPr>
                <w:rFonts w:ascii="Arial" w:hAnsi="Arial"/>
                <w:sz w:val="18"/>
              </w:rPr>
              <w:t>Tanpa promosi</w:t>
            </w:r>
          </w:p>
        </w:tc>
        <w:tc>
          <w:tcPr>
            <w:tcW w:type="dxa" w:w="1417"/>
            <w:vAlign w:val="center"/>
            <w:tcMar>
              <w:top w:w="100" w:type="dxa"/>
              <w:start w:w="120" w:type="dxa"/>
              <w:bottom w:w="100" w:type="dxa"/>
              <w:end w:w="120" w:type="dxa"/>
            </w:tcMar>
            <w:shd w:fill="FFFFFF"/>
          </w:tcPr>
          <w:p>
            <w:pPr>
              <w:spacing w:before="0" w:after="0" w:line="252" w:lineRule="auto"/>
              <w:jc w:val="center"/>
            </w:pPr>
            <w:r>
              <w:rPr>
                <w:rFonts w:ascii="Arial" w:hAnsi="Arial"/>
                <w:sz w:val="18"/>
              </w:rPr>
              <w:t>3.929.116</w:t>
            </w:r>
          </w:p>
        </w:tc>
        <w:tc>
          <w:tcPr>
            <w:tcW w:type="dxa" w:w="1361"/>
            <w:vAlign w:val="center"/>
            <w:tcMar>
              <w:top w:w="100" w:type="dxa"/>
              <w:start w:w="120" w:type="dxa"/>
              <w:bottom w:w="100" w:type="dxa"/>
              <w:end w:w="120" w:type="dxa"/>
            </w:tcMar>
            <w:shd w:fill="FFFFFF"/>
          </w:tcPr>
          <w:p>
            <w:pPr>
              <w:spacing w:before="0" w:after="0" w:line="252" w:lineRule="auto"/>
              <w:jc w:val="center"/>
            </w:pPr>
            <w:r>
              <w:rPr>
                <w:rFonts w:ascii="Arial" w:hAnsi="Arial"/>
                <w:sz w:val="18"/>
              </w:rPr>
              <w:t>3,53</w:t>
            </w:r>
          </w:p>
        </w:tc>
        <w:tc>
          <w:tcPr>
            <w:tcW w:type="dxa" w:w="1587"/>
            <w:vAlign w:val="center"/>
            <w:tcMar>
              <w:top w:w="100" w:type="dxa"/>
              <w:start w:w="120" w:type="dxa"/>
              <w:bottom w:w="100" w:type="dxa"/>
              <w:end w:w="120" w:type="dxa"/>
            </w:tcMar>
            <w:shd w:fill="FFFFFF"/>
          </w:tcPr>
          <w:p>
            <w:pPr>
              <w:spacing w:before="0" w:after="0" w:line="252" w:lineRule="auto"/>
              <w:jc w:val="center"/>
            </w:pPr>
            <w:r>
              <w:rPr>
                <w:rFonts w:ascii="Arial" w:hAnsi="Arial"/>
                <w:sz w:val="18"/>
              </w:rPr>
              <w:t>2.186,27</w:t>
            </w:r>
          </w:p>
        </w:tc>
        <w:tc>
          <w:tcPr>
            <w:tcW w:type="dxa" w:w="1587"/>
            <w:vAlign w:val="center"/>
            <w:tcMar>
              <w:top w:w="100" w:type="dxa"/>
              <w:start w:w="120" w:type="dxa"/>
              <w:bottom w:w="100" w:type="dxa"/>
              <w:end w:w="120" w:type="dxa"/>
            </w:tcMar>
            <w:shd w:fill="FFFFFF"/>
          </w:tcPr>
          <w:p>
            <w:pPr>
              <w:spacing w:before="0" w:after="0" w:line="252" w:lineRule="auto"/>
              <w:jc w:val="center"/>
            </w:pPr>
            <w:r>
              <w:rPr>
                <w:rFonts w:ascii="Arial" w:hAnsi="Arial"/>
                <w:sz w:val="18"/>
              </w:rPr>
              <w:t>703,19</w:t>
            </w:r>
          </w:p>
        </w:tc>
        <w:tc>
          <w:tcPr>
            <w:tcW w:type="dxa" w:w="1077"/>
            <w:vAlign w:val="center"/>
            <w:tcMar>
              <w:top w:w="100" w:type="dxa"/>
              <w:start w:w="120" w:type="dxa"/>
              <w:bottom w:w="100" w:type="dxa"/>
              <w:end w:w="120" w:type="dxa"/>
            </w:tcMar>
            <w:shd w:fill="FFFFFF"/>
          </w:tcPr>
          <w:p>
            <w:pPr>
              <w:spacing w:before="0" w:after="0" w:line="252" w:lineRule="auto"/>
              <w:jc w:val="center"/>
            </w:pPr>
            <w:r>
              <w:rPr>
                <w:rFonts w:ascii="Arial" w:hAnsi="Arial"/>
                <w:sz w:val="18"/>
              </w:rPr>
              <w:t>32,16%</w:t>
            </w:r>
          </w:p>
        </w:tc>
      </w:tr>
      <w:tr>
        <w:tc>
          <w:tcPr>
            <w:tcW w:type="dxa" w:w="1928"/>
            <w:vAlign w:val="center"/>
            <w:tcMar>
              <w:top w:w="100" w:type="dxa"/>
              <w:start w:w="120" w:type="dxa"/>
              <w:bottom w:w="100" w:type="dxa"/>
              <w:end w:w="120" w:type="dxa"/>
            </w:tcMar>
            <w:shd w:fill="EAF1F7"/>
          </w:tcPr>
          <w:p>
            <w:pPr>
              <w:spacing w:before="0" w:after="0" w:line="252" w:lineRule="auto"/>
              <w:jc w:val="left"/>
            </w:pPr>
            <w:r>
              <w:rPr>
                <w:rFonts w:ascii="Arial" w:hAnsi="Arial"/>
                <w:sz w:val="18"/>
              </w:rPr>
              <w:t>Dengan promosi</w:t>
            </w:r>
          </w:p>
        </w:tc>
        <w:tc>
          <w:tcPr>
            <w:tcW w:type="dxa" w:w="1417"/>
            <w:vAlign w:val="center"/>
            <w:tcMar>
              <w:top w:w="100" w:type="dxa"/>
              <w:start w:w="120" w:type="dxa"/>
              <w:bottom w:w="100" w:type="dxa"/>
              <w:end w:w="120" w:type="dxa"/>
            </w:tcMar>
            <w:shd w:fill="EAF1F7"/>
          </w:tcPr>
          <w:p>
            <w:pPr>
              <w:spacing w:before="0" w:after="0" w:line="252" w:lineRule="auto"/>
              <w:jc w:val="center"/>
            </w:pPr>
            <w:r>
              <w:rPr>
                <w:rFonts w:ascii="Arial" w:hAnsi="Arial"/>
                <w:sz w:val="18"/>
              </w:rPr>
              <w:t>1.238.748</w:t>
            </w:r>
          </w:p>
        </w:tc>
        <w:tc>
          <w:tcPr>
            <w:tcW w:type="dxa" w:w="1361"/>
            <w:vAlign w:val="center"/>
            <w:tcMar>
              <w:top w:w="100" w:type="dxa"/>
              <w:start w:w="120" w:type="dxa"/>
              <w:bottom w:w="100" w:type="dxa"/>
              <w:end w:w="120" w:type="dxa"/>
            </w:tcMar>
            <w:shd w:fill="EAF1F7"/>
          </w:tcPr>
          <w:p>
            <w:pPr>
              <w:spacing w:before="0" w:after="0" w:line="252" w:lineRule="auto"/>
              <w:jc w:val="center"/>
            </w:pPr>
            <w:r>
              <w:rPr>
                <w:rFonts w:ascii="Arial" w:hAnsi="Arial"/>
                <w:sz w:val="18"/>
              </w:rPr>
              <w:t>3,91</w:t>
            </w:r>
          </w:p>
        </w:tc>
        <w:tc>
          <w:tcPr>
            <w:tcW w:type="dxa" w:w="1587"/>
            <w:vAlign w:val="center"/>
            <w:tcMar>
              <w:top w:w="100" w:type="dxa"/>
              <w:start w:w="120" w:type="dxa"/>
              <w:bottom w:w="100" w:type="dxa"/>
              <w:end w:w="120" w:type="dxa"/>
            </w:tcMar>
            <w:shd w:fill="EAF1F7"/>
          </w:tcPr>
          <w:p>
            <w:pPr>
              <w:spacing w:before="0" w:after="0" w:line="252" w:lineRule="auto"/>
              <w:jc w:val="center"/>
            </w:pPr>
            <w:r>
              <w:rPr>
                <w:rFonts w:ascii="Arial" w:hAnsi="Arial"/>
                <w:sz w:val="18"/>
              </w:rPr>
              <w:t>1.852,98</w:t>
            </w:r>
          </w:p>
        </w:tc>
        <w:tc>
          <w:tcPr>
            <w:tcW w:type="dxa" w:w="1587"/>
            <w:vAlign w:val="center"/>
            <w:tcMar>
              <w:top w:w="100" w:type="dxa"/>
              <w:start w:w="120" w:type="dxa"/>
              <w:bottom w:w="100" w:type="dxa"/>
              <w:end w:w="120" w:type="dxa"/>
            </w:tcMar>
            <w:shd w:fill="EAF1F7"/>
          </w:tcPr>
          <w:p>
            <w:pPr>
              <w:spacing w:before="0" w:after="0" w:line="252" w:lineRule="auto"/>
              <w:jc w:val="center"/>
            </w:pPr>
            <w:r>
              <w:rPr>
                <w:rFonts w:ascii="Arial" w:hAnsi="Arial"/>
                <w:sz w:val="18"/>
              </w:rPr>
              <w:t>191,25</w:t>
            </w:r>
          </w:p>
        </w:tc>
        <w:tc>
          <w:tcPr>
            <w:tcW w:type="dxa" w:w="1077"/>
            <w:vAlign w:val="center"/>
            <w:tcMar>
              <w:top w:w="100" w:type="dxa"/>
              <w:start w:w="120" w:type="dxa"/>
              <w:bottom w:w="100" w:type="dxa"/>
              <w:end w:w="120" w:type="dxa"/>
            </w:tcMar>
            <w:shd w:fill="EAF1F7"/>
          </w:tcPr>
          <w:p>
            <w:pPr>
              <w:spacing w:before="0" w:after="0" w:line="252" w:lineRule="auto"/>
              <w:jc w:val="center"/>
            </w:pPr>
            <w:r>
              <w:rPr>
                <w:rFonts w:ascii="Arial" w:hAnsi="Arial"/>
                <w:sz w:val="18"/>
              </w:rPr>
              <w:t>10,32%</w:t>
            </w:r>
          </w:p>
        </w:tc>
      </w:tr>
    </w:tbl>
    <w:p>
      <w:pPr>
        <w:spacing w:after="0"/>
      </w:pPr>
    </w:p>
    <w:p>
      <w:pPr>
        <w:spacing w:before="80" w:after="80"/>
        <w:jc w:val="center"/>
        <w:keepNext/>
      </w:pPr>
      <w:r>
        <w:drawing>
          <wp:inline xmlns:a="http://schemas.openxmlformats.org/drawingml/2006/main" xmlns:pic="http://schemas.openxmlformats.org/drawingml/2006/picture">
            <wp:extent cx="5577840" cy="2261203"/>
            <wp:docPr id="5" name="Picture 5" descr="Gambar 5 Perbandingan struk dengan dan tanpa promosi" title="Gambar 5 Perbandingan struk dengan dan tanpa promosi"/>
            <wp:cNvGraphicFramePr>
              <a:graphicFrameLocks noChangeAspect="1"/>
            </wp:cNvGraphicFramePr>
            <a:graphic>
              <a:graphicData uri="http://schemas.openxmlformats.org/drawingml/2006/picture">
                <pic:pic>
                  <pic:nvPicPr>
                    <pic:cNvPr id="0" name="promotion_comparison.png"/>
                    <pic:cNvPicPr/>
                  </pic:nvPicPr>
                  <pic:blipFill>
                    <a:blip r:embed="rId14"/>
                    <a:stretch>
                      <a:fillRect/>
                    </a:stretch>
                  </pic:blipFill>
                  <pic:spPr>
                    <a:xfrm>
                      <a:off x="0" y="0"/>
                      <a:ext cx="5577840" cy="2261203"/>
                    </a:xfrm>
                    <a:prstGeom prst="rect"/>
                  </pic:spPr>
                </pic:pic>
              </a:graphicData>
            </a:graphic>
          </wp:inline>
        </w:drawing>
      </w:r>
    </w:p>
    <w:p>
      <w:pPr>
        <w:pStyle w:val="Caption"/>
        <w:spacing w:after="200"/>
        <w:jc w:val="center"/>
      </w:pPr>
      <w:r>
        <w:t>Gambar 5 Perbandingan struk dengan dan tanpa promosi</w:t>
      </w:r>
    </w:p>
    <w:p>
      <w:r>
        <w:t>Sebanyak 23,97 persen struk memakai setidaknya satu promosi. Struk dengan promosi memiliki rata-rata 3,91 unit dibandingkan 3,53 unit tanpa promosi, tetapi rata-rata nilainya lebih rendah, yaitu 1.852,98 dibandingkan 2.186,27. Margin laba kelompok promosi juga lebih rendah, 10,32 persen dibandingkan 32,16 persen. Temuan ini menunjukkan asosiasi, bukan sebab akibat, karena promosi dapat ditargetkan pada produk, kategori, atau periode tertentu.</w:t>
      </w:r>
    </w:p>
    <w:p>
      <w:pPr>
        <w:pStyle w:val="Heading2"/>
      </w:pPr>
      <w:r>
        <w:t>5.5 Risiko Inventori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trPr>
        <w:tc>
          <w:tcPr>
            <w:tcW w:type="dxa" w:w="4989"/>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Indikator</w:t>
            </w:r>
          </w:p>
        </w:tc>
        <w:tc>
          <w:tcPr>
            <w:tcW w:type="dxa" w:w="1928"/>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Jumlah</w:t>
            </w:r>
          </w:p>
        </w:tc>
        <w:tc>
          <w:tcPr>
            <w:tcW w:type="dxa" w:w="2041"/>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Persentase</w:t>
            </w:r>
          </w:p>
        </w:tc>
      </w:tr>
      <w:tr>
        <w:tc>
          <w:tcPr>
            <w:tcW w:type="dxa" w:w="4989"/>
            <w:vAlign w:val="center"/>
            <w:tcMar>
              <w:top w:w="100" w:type="dxa"/>
              <w:start w:w="120" w:type="dxa"/>
              <w:bottom w:w="100" w:type="dxa"/>
              <w:end w:w="120" w:type="dxa"/>
            </w:tcMar>
            <w:shd w:fill="FFFFFF"/>
          </w:tcPr>
          <w:p>
            <w:pPr>
              <w:spacing w:before="0" w:after="0" w:line="252" w:lineRule="auto"/>
              <w:jc w:val="left"/>
            </w:pPr>
            <w:r>
              <w:rPr>
                <w:rFonts w:ascii="Arial" w:hAnsi="Arial"/>
                <w:sz w:val="18"/>
              </w:rPr>
              <w:t>Baris inventory snapshot</w:t>
            </w:r>
          </w:p>
        </w:tc>
        <w:tc>
          <w:tcPr>
            <w:tcW w:type="dxa" w:w="1928"/>
            <w:vAlign w:val="center"/>
            <w:tcMar>
              <w:top w:w="100" w:type="dxa"/>
              <w:start w:w="120" w:type="dxa"/>
              <w:bottom w:w="100" w:type="dxa"/>
              <w:end w:w="120" w:type="dxa"/>
            </w:tcMar>
            <w:shd w:fill="FFFFFF"/>
          </w:tcPr>
          <w:p>
            <w:pPr>
              <w:spacing w:before="0" w:after="0" w:line="252" w:lineRule="auto"/>
              <w:jc w:val="center"/>
            </w:pPr>
            <w:r>
              <w:rPr>
                <w:rFonts w:ascii="Arial" w:hAnsi="Arial"/>
                <w:sz w:val="18"/>
              </w:rPr>
              <w:t>26.408</w:t>
            </w:r>
          </w:p>
        </w:tc>
        <w:tc>
          <w:tcPr>
            <w:tcW w:type="dxa" w:w="2041"/>
            <w:vAlign w:val="center"/>
            <w:tcMar>
              <w:top w:w="100" w:type="dxa"/>
              <w:start w:w="120" w:type="dxa"/>
              <w:bottom w:w="100" w:type="dxa"/>
              <w:end w:w="120" w:type="dxa"/>
            </w:tcMar>
            <w:shd w:fill="FFFFFF"/>
          </w:tcPr>
          <w:p>
            <w:pPr>
              <w:spacing w:before="0" w:after="0" w:line="252" w:lineRule="auto"/>
              <w:jc w:val="center"/>
            </w:pPr>
            <w:r>
              <w:rPr>
                <w:rFonts w:ascii="Arial" w:hAnsi="Arial"/>
                <w:sz w:val="18"/>
              </w:rPr>
              <w:t>100,00%</w:t>
            </w:r>
          </w:p>
        </w:tc>
      </w:tr>
      <w:tr>
        <w:tc>
          <w:tcPr>
            <w:tcW w:type="dxa" w:w="4989"/>
            <w:vAlign w:val="center"/>
            <w:tcMar>
              <w:top w:w="100" w:type="dxa"/>
              <w:start w:w="120" w:type="dxa"/>
              <w:bottom w:w="100" w:type="dxa"/>
              <w:end w:w="120" w:type="dxa"/>
            </w:tcMar>
            <w:shd w:fill="EAF1F7"/>
          </w:tcPr>
          <w:p>
            <w:pPr>
              <w:spacing w:before="0" w:after="0" w:line="252" w:lineRule="auto"/>
              <w:jc w:val="left"/>
            </w:pPr>
            <w:r>
              <w:rPr>
                <w:rFonts w:ascii="Arial" w:hAnsi="Arial"/>
                <w:sz w:val="18"/>
              </w:rPr>
              <w:t>Stok sama dengan atau di bawah reorder point</w:t>
            </w:r>
          </w:p>
        </w:tc>
        <w:tc>
          <w:tcPr>
            <w:tcW w:type="dxa" w:w="1928"/>
            <w:vAlign w:val="center"/>
            <w:tcMar>
              <w:top w:w="100" w:type="dxa"/>
              <w:start w:w="120" w:type="dxa"/>
              <w:bottom w:w="100" w:type="dxa"/>
              <w:end w:w="120" w:type="dxa"/>
            </w:tcMar>
            <w:shd w:fill="EAF1F7"/>
          </w:tcPr>
          <w:p>
            <w:pPr>
              <w:spacing w:before="0" w:after="0" w:line="252" w:lineRule="auto"/>
              <w:jc w:val="center"/>
            </w:pPr>
            <w:r>
              <w:rPr>
                <w:rFonts w:ascii="Arial" w:hAnsi="Arial"/>
                <w:sz w:val="18"/>
              </w:rPr>
              <w:t>7.162</w:t>
            </w:r>
          </w:p>
        </w:tc>
        <w:tc>
          <w:tcPr>
            <w:tcW w:type="dxa" w:w="2041"/>
            <w:vAlign w:val="center"/>
            <w:tcMar>
              <w:top w:w="100" w:type="dxa"/>
              <w:start w:w="120" w:type="dxa"/>
              <w:bottom w:w="100" w:type="dxa"/>
              <w:end w:w="120" w:type="dxa"/>
            </w:tcMar>
            <w:shd w:fill="EAF1F7"/>
          </w:tcPr>
          <w:p>
            <w:pPr>
              <w:spacing w:before="0" w:after="0" w:line="252" w:lineRule="auto"/>
              <w:jc w:val="center"/>
            </w:pPr>
            <w:r>
              <w:rPr>
                <w:rFonts w:ascii="Arial" w:hAnsi="Arial"/>
                <w:sz w:val="18"/>
              </w:rPr>
              <w:t>27,12%</w:t>
            </w:r>
          </w:p>
        </w:tc>
      </w:tr>
      <w:tr>
        <w:tc>
          <w:tcPr>
            <w:tcW w:type="dxa" w:w="4989"/>
            <w:vAlign w:val="center"/>
            <w:tcMar>
              <w:top w:w="100" w:type="dxa"/>
              <w:start w:w="120" w:type="dxa"/>
              <w:bottom w:w="100" w:type="dxa"/>
              <w:end w:w="120" w:type="dxa"/>
            </w:tcMar>
            <w:shd w:fill="FFFFFF"/>
          </w:tcPr>
          <w:p>
            <w:pPr>
              <w:spacing w:before="0" w:after="0" w:line="252" w:lineRule="auto"/>
              <w:jc w:val="left"/>
            </w:pPr>
            <w:r>
              <w:rPr>
                <w:rFonts w:ascii="Arial" w:hAnsi="Arial"/>
                <w:sz w:val="18"/>
              </w:rPr>
              <w:t>Stok sama dengan atau di bawah safety stock</w:t>
            </w:r>
          </w:p>
        </w:tc>
        <w:tc>
          <w:tcPr>
            <w:tcW w:type="dxa" w:w="1928"/>
            <w:vAlign w:val="center"/>
            <w:tcMar>
              <w:top w:w="100" w:type="dxa"/>
              <w:start w:w="120" w:type="dxa"/>
              <w:bottom w:w="100" w:type="dxa"/>
              <w:end w:w="120" w:type="dxa"/>
            </w:tcMar>
            <w:shd w:fill="FFFFFF"/>
          </w:tcPr>
          <w:p>
            <w:pPr>
              <w:spacing w:before="0" w:after="0" w:line="252" w:lineRule="auto"/>
              <w:jc w:val="center"/>
            </w:pPr>
            <w:r>
              <w:rPr>
                <w:rFonts w:ascii="Arial" w:hAnsi="Arial"/>
                <w:sz w:val="18"/>
              </w:rPr>
              <w:t>5.270</w:t>
            </w:r>
          </w:p>
        </w:tc>
        <w:tc>
          <w:tcPr>
            <w:tcW w:type="dxa" w:w="2041"/>
            <w:vAlign w:val="center"/>
            <w:tcMar>
              <w:top w:w="100" w:type="dxa"/>
              <w:start w:w="120" w:type="dxa"/>
              <w:bottom w:w="100" w:type="dxa"/>
              <w:end w:w="120" w:type="dxa"/>
            </w:tcMar>
            <w:shd w:fill="FFFFFF"/>
          </w:tcPr>
          <w:p>
            <w:pPr>
              <w:spacing w:before="0" w:after="0" w:line="252" w:lineRule="auto"/>
              <w:jc w:val="center"/>
            </w:pPr>
            <w:r>
              <w:rPr>
                <w:rFonts w:ascii="Arial" w:hAnsi="Arial"/>
                <w:sz w:val="18"/>
              </w:rPr>
              <w:t>19,96%</w:t>
            </w:r>
          </w:p>
        </w:tc>
      </w:tr>
      <w:tr>
        <w:tc>
          <w:tcPr>
            <w:tcW w:type="dxa" w:w="4989"/>
            <w:vAlign w:val="center"/>
            <w:tcMar>
              <w:top w:w="100" w:type="dxa"/>
              <w:start w:w="120" w:type="dxa"/>
              <w:bottom w:w="100" w:type="dxa"/>
              <w:end w:w="120" w:type="dxa"/>
            </w:tcMar>
            <w:shd w:fill="EAF1F7"/>
          </w:tcPr>
          <w:p>
            <w:pPr>
              <w:spacing w:before="0" w:after="0" w:line="252" w:lineRule="auto"/>
              <w:jc w:val="left"/>
            </w:pPr>
            <w:r>
              <w:rPr>
                <w:rFonts w:ascii="Arial" w:hAnsi="Arial"/>
                <w:sz w:val="18"/>
              </w:rPr>
              <w:t>SKU berlabel stockout risk</w:t>
            </w:r>
          </w:p>
        </w:tc>
        <w:tc>
          <w:tcPr>
            <w:tcW w:type="dxa" w:w="1928"/>
            <w:vAlign w:val="center"/>
            <w:tcMar>
              <w:top w:w="100" w:type="dxa"/>
              <w:start w:w="120" w:type="dxa"/>
              <w:bottom w:w="100" w:type="dxa"/>
              <w:end w:w="120" w:type="dxa"/>
            </w:tcMar>
            <w:shd w:fill="EAF1F7"/>
          </w:tcPr>
          <w:p>
            <w:pPr>
              <w:spacing w:before="0" w:after="0" w:line="252" w:lineRule="auto"/>
              <w:jc w:val="center"/>
            </w:pPr>
            <w:r>
              <w:rPr>
                <w:rFonts w:ascii="Arial" w:hAnsi="Arial"/>
                <w:sz w:val="18"/>
              </w:rPr>
              <w:t>200</w:t>
            </w:r>
          </w:p>
        </w:tc>
        <w:tc>
          <w:tcPr>
            <w:tcW w:type="dxa" w:w="2041"/>
            <w:vAlign w:val="center"/>
            <w:tcMar>
              <w:top w:w="100" w:type="dxa"/>
              <w:start w:w="120" w:type="dxa"/>
              <w:bottom w:w="100" w:type="dxa"/>
              <w:end w:w="120" w:type="dxa"/>
            </w:tcMar>
            <w:shd w:fill="EAF1F7"/>
          </w:tcPr>
          <w:p>
            <w:pPr>
              <w:spacing w:before="0" w:after="0" w:line="252" w:lineRule="auto"/>
              <w:jc w:val="center"/>
            </w:pPr>
            <w:r>
              <w:rPr>
                <w:rFonts w:ascii="Arial" w:hAnsi="Arial"/>
                <w:sz w:val="18"/>
              </w:rPr>
              <w:t>-</w:t>
            </w:r>
          </w:p>
        </w:tc>
      </w:tr>
      <w:tr>
        <w:tc>
          <w:tcPr>
            <w:tcW w:type="dxa" w:w="4989"/>
            <w:vAlign w:val="center"/>
            <w:tcMar>
              <w:top w:w="100" w:type="dxa"/>
              <w:start w:w="120" w:type="dxa"/>
              <w:bottom w:w="100" w:type="dxa"/>
              <w:end w:w="120" w:type="dxa"/>
            </w:tcMar>
            <w:shd w:fill="FFFFFF"/>
          </w:tcPr>
          <w:p>
            <w:pPr>
              <w:spacing w:before="0" w:after="0" w:line="252" w:lineRule="auto"/>
              <w:jc w:val="left"/>
            </w:pPr>
            <w:r>
              <w:rPr>
                <w:rFonts w:ascii="Arial" w:hAnsi="Arial"/>
                <w:sz w:val="18"/>
              </w:rPr>
              <w:t>SKU berlabel slow mover</w:t>
            </w:r>
          </w:p>
        </w:tc>
        <w:tc>
          <w:tcPr>
            <w:tcW w:type="dxa" w:w="1928"/>
            <w:vAlign w:val="center"/>
            <w:tcMar>
              <w:top w:w="100" w:type="dxa"/>
              <w:start w:w="120" w:type="dxa"/>
              <w:bottom w:w="100" w:type="dxa"/>
              <w:end w:w="120" w:type="dxa"/>
            </w:tcMar>
            <w:shd w:fill="FFFFFF"/>
          </w:tcPr>
          <w:p>
            <w:pPr>
              <w:spacing w:before="0" w:after="0" w:line="252" w:lineRule="auto"/>
              <w:jc w:val="center"/>
            </w:pPr>
            <w:r>
              <w:rPr>
                <w:rFonts w:ascii="Arial" w:hAnsi="Arial"/>
                <w:sz w:val="18"/>
              </w:rPr>
              <w:t>400</w:t>
            </w:r>
          </w:p>
        </w:tc>
        <w:tc>
          <w:tcPr>
            <w:tcW w:type="dxa" w:w="2041"/>
            <w:vAlign w:val="center"/>
            <w:tcMar>
              <w:top w:w="100" w:type="dxa"/>
              <w:start w:w="120" w:type="dxa"/>
              <w:bottom w:w="100" w:type="dxa"/>
              <w:end w:w="120" w:type="dxa"/>
            </w:tcMar>
            <w:shd w:fill="FFFFFF"/>
          </w:tcPr>
          <w:p>
            <w:pPr>
              <w:spacing w:before="0" w:after="0" w:line="252" w:lineRule="auto"/>
              <w:jc w:val="center"/>
            </w:pPr>
            <w:r>
              <w:rPr>
                <w:rFonts w:ascii="Arial" w:hAnsi="Arial"/>
                <w:sz w:val="18"/>
              </w:rPr>
              <w:t>-</w:t>
            </w:r>
          </w:p>
        </w:tc>
      </w:tr>
    </w:tbl>
    <w:p>
      <w:pPr>
        <w:spacing w:after="0"/>
      </w:pPr>
    </w:p>
    <w:p>
      <w:r>
        <w:t>Sebanyak 7.162 baris inventori berada pada atau di bawah reorder point dan 5.270 baris berada pada atau di bawah safety stock. Kedua kondisi tersebut perlu diprioritaskan bersama label stockout risk. Sebaliknya, 400 SKU slow mover memerlukan pengurangan pembelian, redistribusi stok, atau promosi yang terukur agar modal kerja tidak terlalu lama tertahan.</w:t>
      </w:r>
    </w:p>
    <w:p>
      <w:pPr>
        <w:pStyle w:val="Heading1"/>
      </w:pPr>
      <w:r>
        <w:t>6 Validasi Pipeline dan Penyimpanan</w:t>
      </w:r>
    </w:p>
    <w:p>
      <w:pPr>
        <w:pStyle w:val="ListBullet"/>
      </w:pPr>
      <w:r>
        <w:t>Skema CSV ditentukan secara eksplisit sebelum pembacaan data.</w:t>
      </w:r>
    </w:p>
    <w:p>
      <w:pPr>
        <w:pStyle w:val="ListBullet"/>
      </w:pPr>
      <w:r>
        <w:t>Tabel master yang kecil disiapkan untuk broadcast join sehingga pertukaran data dapat dikurangi.</w:t>
      </w:r>
    </w:p>
    <w:p>
      <w:pPr>
        <w:pStyle w:val="ListBullet"/>
      </w:pPr>
      <w:r>
        <w:t>Kolom turunan dihitung secara konsisten di dalam fungsi transformasi bersama.</w:t>
      </w:r>
    </w:p>
    <w:p>
      <w:pPr>
        <w:pStyle w:val="ListBullet"/>
      </w:pPr>
      <w:r>
        <w:t>Hasil detail ditulis ke Parquet dan dibaca ulang untuk memeriksa jumlah baris serta nilai penting.</w:t>
      </w:r>
    </w:p>
    <w:p>
      <w:pPr>
        <w:pStyle w:val="ListBullet"/>
      </w:pPr>
      <w:r>
        <w:t>Agregat disimpan terpisah agar dapat digunakan untuk grafik dan data mart PostgreSQL tanpa memuat seluruh transaksi ke Pandas.</w:t>
      </w:r>
    </w:p>
    <w:p>
      <w:pPr>
        <w:pStyle w:val="ListBullet"/>
      </w:pPr>
      <w:r>
        <w:t>Folder notebook lokal dan Colab memakai sumber fungsi yang sama sehingga perhitungan tidak bercabang.</w:t>
      </w:r>
    </w:p>
    <w:p>
      <w:pPr>
        <w:pStyle w:val="Heading1"/>
      </w:pPr>
      <w:r>
        <w:t>7 Uji Performa</w:t>
      </w:r>
    </w:p>
    <w:p>
      <w:r>
        <w:t>Proyek menyediakan skenario benchmark untuk 10.000, 100.000, 1.000.000, dan seluruh baris. Namun waktu eksekusi tidak dicantumkan dalam laporan ini karena benchmark PySpark belum dijalankan pada konfigurasi final yang sama. Pelaporan waktu tanpa pengukuran ulang dapat menyesatkan karena hasil dipengaruhi CPU, RAM, media penyimpanan, versi Java, jumlah thread Spark, dan kondisi cache.</w:t>
      </w:r>
    </w:p>
    <w:p>
      <w:r>
        <w:t>Saat benchmark dijalankan, setiap ukuran data sebaiknya diuji sekurang kurangnya tiga kali. Catat waktu baca, transformasi dan agregasi, penulisan Parquet, serta pembacaan ulang. Gunakan median untuk mengurangi pengaruh proses latar belakang.</w:t>
      </w:r>
    </w:p>
    <w:p>
      <w:pPr>
        <w:pStyle w:val="Heading1"/>
      </w:pPr>
      <w:r>
        <w:t>8 Keterbatasan</w:t>
      </w:r>
    </w:p>
    <w:p>
      <w:pPr>
        <w:pStyle w:val="ListBullet"/>
      </w:pPr>
      <w:r>
        <w:t>Dataset bersifat sintetis sehingga pola tidak dapat langsung digeneralisasi ke perusahaan retail nyata.</w:t>
      </w:r>
    </w:p>
    <w:p>
      <w:pPr>
        <w:pStyle w:val="ListBullet"/>
      </w:pPr>
      <w:r>
        <w:t>Satuan mata uang tidak dinyatakan secara eksplisit oleh sumber.</w:t>
      </w:r>
    </w:p>
    <w:p>
      <w:pPr>
        <w:pStyle w:val="ListBullet"/>
      </w:pPr>
      <w:r>
        <w:t>Dokumentasi sumber dan file lokal berbeda pada jumlah transaksi, jumlah baris inventori, dan jumlah flag SKU.</w:t>
      </w:r>
    </w:p>
    <w:p>
      <w:pPr>
        <w:pStyle w:val="ListBullet"/>
      </w:pPr>
      <w:r>
        <w:t>Perbandingan promosi bersifat deskriptif dan tidak mengendalikan perbedaan produk, waktu, lokasi, maupun sasaran kampanye.</w:t>
      </w:r>
    </w:p>
    <w:p>
      <w:pPr>
        <w:pStyle w:val="ListBullet"/>
      </w:pPr>
      <w:r>
        <w:t>Hasil benchmark belum tersedia pada konfigurasi final.</w:t>
      </w:r>
    </w:p>
    <w:p>
      <w:pPr>
        <w:pStyle w:val="Heading1"/>
      </w:pPr>
      <w:r>
        <w:t>9 Rekomendasi</w:t>
      </w:r>
    </w:p>
    <w:p>
      <w:r>
        <w:rPr>
          <w:b/>
        </w:rPr>
        <w:t xml:space="preserve">Prioritaskan pengisian ulang stok. </w:t>
      </w:r>
      <w:r>
        <w:t>Fokuskan pemantauan harian pada 5.270 baris di bawah safety stock dan 200 SKU berlabel stockout risk, terutama pada kategori dan kota dengan kontribusi tinggi.</w:t>
      </w:r>
    </w:p>
    <w:p>
      <w:r>
        <w:rPr>
          <w:b/>
        </w:rPr>
        <w:t xml:space="preserve">Pisahkan strategi slow mover. </w:t>
      </w:r>
      <w:r>
        <w:t>Gunakan redistribusi antar toko, pengurangan pembelian, bundling, atau diskon terukur untuk 400 SKU slow mover. Keberhasilan tidak cukup dinilai dari unit terjual, tetapi juga margin dan pengurangan stok.</w:t>
      </w:r>
    </w:p>
    <w:p>
      <w:r>
        <w:rPr>
          <w:b/>
        </w:rPr>
        <w:t xml:space="preserve">Evaluasi profitabilitas promosi. </w:t>
      </w:r>
      <w:r>
        <w:t>Promosi berkaitan dengan unit per struk yang lebih tinggi, tetapi nilai per struk dan margin lebih rendah. Evaluasi sebaiknya dilakukan per promo, SKU, kategori, dan periode sebelum anggaran diperbesar.</w:t>
      </w:r>
    </w:p>
    <w:p>
      <w:r>
        <w:rPr>
          <w:b/>
        </w:rPr>
        <w:t xml:space="preserve">Jaga keseimbangan kanal. </w:t>
      </w:r>
      <w:r>
        <w:t>Pertahankan kualitas operasi toko fisik karena kontribusinya 55,26 persen, sambil meningkatkan pengalaman Online dan Mobile App yang secara gabungan sudah mencapai 44,74 persen.</w:t>
      </w:r>
    </w:p>
    <w:p>
      <w:r>
        <w:rPr>
          <w:b/>
        </w:rPr>
        <w:t xml:space="preserve">Siapkan stok musiman. </w:t>
      </w:r>
      <w:r>
        <w:t>Gunakan penguatan penjualan pada November dan Desember untuk merencanakan reorder lebih awal, khususnya bagi produk yang memiliki lead time panjang.</w:t>
      </w:r>
    </w:p>
    <w:p>
      <w:pPr>
        <w:pStyle w:val="Heading1"/>
      </w:pPr>
      <w:r>
        <w:t>10 Kesimpulan</w:t>
      </w:r>
    </w:p>
    <w:p>
      <w:r>
        <w:t>Pipeline berhasil dirancang untuk mengolah hampir sepuluh juta baris transaksi dengan pemisahan jelas antara eksplorasi sampel, transformasi data penuh, penyimpanan, validasi, dan visualisasi. Penjualan tumbuh sepanjang periode analisis dan mencapai nilai tertinggi pada 2025. In Store masih menjadi kanal utama, sementara kanal digital telah memberi kontribusi yang berarti. Analisis promosi menunjukkan trade off antara kenaikan unit dan penurunan nilai serta margin per struk. Pada sisi inventori, data menunjukkan kebutuhan untuk menangani risiko stockout dan slow mover dengan strategi yang berbeda.</w:t>
      </w:r>
    </w:p>
    <w:p>
      <w:pPr>
        <w:pStyle w:val="Heading1"/>
      </w:pPr>
      <w:r>
        <w:t>Daftar Referensi</w:t>
      </w:r>
    </w:p>
    <w:p>
      <w:pPr>
        <w:pStyle w:val="ListNumber"/>
      </w:pPr>
      <w:r>
        <w:t>Shehzad, Mrayyan. Synthetic Retail Dataset 10 Million Transactions. Kaggle. https://www.kaggle.com/datasets/mrayyanshehzad/synthetic-retail-dataset-10-million-transactions</w:t>
      </w:r>
    </w:p>
    <w:p>
      <w:pPr>
        <w:pStyle w:val="ListNumber"/>
      </w:pPr>
      <w:r>
        <w:t>Apache Software Foundation. Apache Spark dan PySpark documentation. https://spark.apache.org/docs/latest/api/python/</w:t>
      </w:r>
    </w:p>
    <w:p>
      <w:pPr>
        <w:pStyle w:val="ListNumber"/>
      </w:pPr>
      <w:r>
        <w:t>Apache Software Foundation. Apache Parquet. https://parquet.apache.org/</w:t>
      </w:r>
    </w:p>
    <w:p>
      <w:pPr>
        <w:pStyle w:val="ListNumber"/>
      </w:pPr>
      <w:r>
        <w:t>PostgreSQL Global Development Group. PostgreSQL documentation. https://www.postgresql.org/docs/</w:t>
      </w:r>
    </w:p>
    <w:p>
      <w:pPr>
        <w:pStyle w:val="Heading1"/>
      </w:pPr>
      <w:r>
        <w:t>Lampiran Urutan Eksekusi</w:t>
      </w:r>
    </w:p>
    <w:p>
      <w:r>
        <w:t>Urutan notebook lokal dan Colab dibuat sama agar proses mudah diikuti.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tblHeader w:val="true"/>
        </w:trPr>
        <w:tc>
          <w:tcPr>
            <w:tcW w:type="dxa" w:w="1020"/>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Urutan</w:t>
            </w:r>
          </w:p>
        </w:tc>
        <w:tc>
          <w:tcPr>
            <w:tcW w:type="dxa" w:w="2721"/>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Notebook</w:t>
            </w:r>
          </w:p>
        </w:tc>
        <w:tc>
          <w:tcPr>
            <w:tcW w:type="dxa" w:w="5216"/>
            <w:vAlign w:val="center"/>
            <w:tcMar>
              <w:top w:w="100" w:type="dxa"/>
              <w:start w:w="120" w:type="dxa"/>
              <w:bottom w:w="100" w:type="dxa"/>
              <w:end w:w="120" w:type="dxa"/>
            </w:tcMar>
            <w:shd w:fill="244A73"/>
          </w:tcPr>
          <w:p>
            <w:pPr>
              <w:spacing w:before="0" w:after="0" w:line="252" w:lineRule="auto"/>
              <w:jc w:val="center"/>
            </w:pPr>
            <w:r>
              <w:rPr>
                <w:rFonts w:ascii="Arial" w:hAnsi="Arial"/>
                <w:b/>
                <w:color w:val="FFFFFF"/>
                <w:sz w:val="18"/>
              </w:rPr>
              <w:t>Hasil utama</w:t>
            </w:r>
          </w:p>
        </w:tc>
      </w:tr>
      <w:tr>
        <w:tc>
          <w:tcPr>
            <w:tcW w:type="dxa" w:w="1020"/>
            <w:vAlign w:val="center"/>
            <w:tcMar>
              <w:top w:w="100" w:type="dxa"/>
              <w:start w:w="120" w:type="dxa"/>
              <w:bottom w:w="100" w:type="dxa"/>
              <w:end w:w="120" w:type="dxa"/>
            </w:tcMar>
            <w:shd w:fill="FFFFFF"/>
          </w:tcPr>
          <w:p>
            <w:pPr>
              <w:spacing w:before="0" w:after="0" w:line="252" w:lineRule="auto"/>
              <w:jc w:val="center"/>
            </w:pPr>
            <w:r>
              <w:rPr>
                <w:rFonts w:ascii="Arial" w:hAnsi="Arial"/>
                <w:sz w:val="18"/>
              </w:rPr>
              <w:t>1</w:t>
            </w:r>
          </w:p>
        </w:tc>
        <w:tc>
          <w:tcPr>
            <w:tcW w:type="dxa" w:w="2721"/>
            <w:vAlign w:val="center"/>
            <w:tcMar>
              <w:top w:w="100" w:type="dxa"/>
              <w:start w:w="120" w:type="dxa"/>
              <w:bottom w:w="100" w:type="dxa"/>
              <w:end w:w="120" w:type="dxa"/>
            </w:tcMar>
            <w:shd w:fill="FFFFFF"/>
          </w:tcPr>
          <w:p>
            <w:pPr>
              <w:spacing w:before="0" w:after="0" w:line="252" w:lineRule="auto"/>
              <w:jc w:val="left"/>
            </w:pPr>
            <w:r>
              <w:rPr>
                <w:rFonts w:ascii="Arial" w:hAnsi="Arial"/>
                <w:sz w:val="18"/>
              </w:rPr>
              <w:t>01 exploration</w:t>
            </w:r>
          </w:p>
        </w:tc>
        <w:tc>
          <w:tcPr>
            <w:tcW w:type="dxa" w:w="5216"/>
            <w:vAlign w:val="center"/>
            <w:tcMar>
              <w:top w:w="100" w:type="dxa"/>
              <w:start w:w="120" w:type="dxa"/>
              <w:bottom w:w="100" w:type="dxa"/>
              <w:end w:w="120" w:type="dxa"/>
            </w:tcMar>
            <w:shd w:fill="FFFFFF"/>
          </w:tcPr>
          <w:p>
            <w:pPr>
              <w:spacing w:before="0" w:after="0" w:line="252" w:lineRule="auto"/>
              <w:jc w:val="left"/>
            </w:pPr>
            <w:r>
              <w:rPr>
                <w:rFonts w:ascii="Arial" w:hAnsi="Arial"/>
                <w:sz w:val="18"/>
              </w:rPr>
              <w:t>Profiling data, schema, kualitas, dan eksplorasi sampel</w:t>
            </w:r>
          </w:p>
        </w:tc>
      </w:tr>
      <w:tr>
        <w:tc>
          <w:tcPr>
            <w:tcW w:type="dxa" w:w="1020"/>
            <w:vAlign w:val="center"/>
            <w:tcMar>
              <w:top w:w="100" w:type="dxa"/>
              <w:start w:w="120" w:type="dxa"/>
              <w:bottom w:w="100" w:type="dxa"/>
              <w:end w:w="120" w:type="dxa"/>
            </w:tcMar>
            <w:shd w:fill="EAF1F7"/>
          </w:tcPr>
          <w:p>
            <w:pPr>
              <w:spacing w:before="0" w:after="0" w:line="252" w:lineRule="auto"/>
              <w:jc w:val="center"/>
            </w:pPr>
            <w:r>
              <w:rPr>
                <w:rFonts w:ascii="Arial" w:hAnsi="Arial"/>
                <w:sz w:val="18"/>
              </w:rPr>
              <w:t>2</w:t>
            </w:r>
          </w:p>
        </w:tc>
        <w:tc>
          <w:tcPr>
            <w:tcW w:type="dxa" w:w="2721"/>
            <w:vAlign w:val="center"/>
            <w:tcMar>
              <w:top w:w="100" w:type="dxa"/>
              <w:start w:w="120" w:type="dxa"/>
              <w:bottom w:w="100" w:type="dxa"/>
              <w:end w:w="120" w:type="dxa"/>
            </w:tcMar>
            <w:shd w:fill="EAF1F7"/>
          </w:tcPr>
          <w:p>
            <w:pPr>
              <w:spacing w:before="0" w:after="0" w:line="252" w:lineRule="auto"/>
              <w:jc w:val="left"/>
            </w:pPr>
            <w:r>
              <w:rPr>
                <w:rFonts w:ascii="Arial" w:hAnsi="Arial"/>
                <w:sz w:val="18"/>
              </w:rPr>
              <w:t>02 pyspark transform</w:t>
            </w:r>
          </w:p>
        </w:tc>
        <w:tc>
          <w:tcPr>
            <w:tcW w:type="dxa" w:w="5216"/>
            <w:vAlign w:val="center"/>
            <w:tcMar>
              <w:top w:w="100" w:type="dxa"/>
              <w:start w:w="120" w:type="dxa"/>
              <w:bottom w:w="100" w:type="dxa"/>
              <w:end w:w="120" w:type="dxa"/>
            </w:tcMar>
            <w:shd w:fill="EAF1F7"/>
          </w:tcPr>
          <w:p>
            <w:pPr>
              <w:spacing w:before="0" w:after="0" w:line="252" w:lineRule="auto"/>
              <w:jc w:val="left"/>
            </w:pPr>
            <w:r>
              <w:rPr>
                <w:rFonts w:ascii="Arial" w:hAnsi="Arial"/>
                <w:sz w:val="18"/>
              </w:rPr>
              <w:t>ETL data penuh, Parquet, serta agregat analitik</w:t>
            </w:r>
          </w:p>
        </w:tc>
      </w:tr>
      <w:tr>
        <w:tc>
          <w:tcPr>
            <w:tcW w:type="dxa" w:w="1020"/>
            <w:vAlign w:val="center"/>
            <w:tcMar>
              <w:top w:w="100" w:type="dxa"/>
              <w:start w:w="120" w:type="dxa"/>
              <w:bottom w:w="100" w:type="dxa"/>
              <w:end w:w="120" w:type="dxa"/>
            </w:tcMar>
            <w:shd w:fill="FFFFFF"/>
          </w:tcPr>
          <w:p>
            <w:pPr>
              <w:spacing w:before="0" w:after="0" w:line="252" w:lineRule="auto"/>
              <w:jc w:val="center"/>
            </w:pPr>
            <w:r>
              <w:rPr>
                <w:rFonts w:ascii="Arial" w:hAnsi="Arial"/>
                <w:sz w:val="18"/>
              </w:rPr>
              <w:t>3</w:t>
            </w:r>
          </w:p>
        </w:tc>
        <w:tc>
          <w:tcPr>
            <w:tcW w:type="dxa" w:w="2721"/>
            <w:vAlign w:val="center"/>
            <w:tcMar>
              <w:top w:w="100" w:type="dxa"/>
              <w:start w:w="120" w:type="dxa"/>
              <w:bottom w:w="100" w:type="dxa"/>
              <w:end w:w="120" w:type="dxa"/>
            </w:tcMar>
            <w:shd w:fill="FFFFFF"/>
          </w:tcPr>
          <w:p>
            <w:pPr>
              <w:spacing w:before="0" w:after="0" w:line="252" w:lineRule="auto"/>
              <w:jc w:val="left"/>
            </w:pPr>
            <w:r>
              <w:rPr>
                <w:rFonts w:ascii="Arial" w:hAnsi="Arial"/>
                <w:sz w:val="18"/>
              </w:rPr>
              <w:t>03 etl validation</w:t>
            </w:r>
          </w:p>
        </w:tc>
        <w:tc>
          <w:tcPr>
            <w:tcW w:type="dxa" w:w="5216"/>
            <w:vAlign w:val="center"/>
            <w:tcMar>
              <w:top w:w="100" w:type="dxa"/>
              <w:start w:w="120" w:type="dxa"/>
              <w:bottom w:w="100" w:type="dxa"/>
              <w:end w:w="120" w:type="dxa"/>
            </w:tcMar>
            <w:shd w:fill="FFFFFF"/>
          </w:tcPr>
          <w:p>
            <w:pPr>
              <w:spacing w:before="0" w:after="0" w:line="252" w:lineRule="auto"/>
              <w:jc w:val="left"/>
            </w:pPr>
            <w:r>
              <w:rPr>
                <w:rFonts w:ascii="Arial" w:hAnsi="Arial"/>
                <w:sz w:val="18"/>
              </w:rPr>
              <w:t>Validasi baca ulang, grafik, promosi, inventori, dan database opsional</w:t>
            </w:r>
          </w:p>
        </w:tc>
      </w:tr>
    </w:tbl>
    <w:p>
      <w:pPr>
        <w:spacing w:after="0"/>
      </w:pPr>
    </w:p>
    <w:sectPr w:rsidR="00FC693F" w:rsidRPr="0006063C" w:rsidSect="00034616">
      <w:footerReference w:type="default" r:id="rId9"/>
      <w:pgSz w:w="11906" w:h="16838"/>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Penjualan Retail dan Risiko Inventori</dc:title>
  <dc:subject>Laporan studi kasus Big Data dengan PySpark</dc:subject>
  <dc:creator/>
  <cp:keywords>Big Data, PySpark, ETL, retail, inventory</cp:keywords>
  <dc:description>generated by python-docx</dc:description>
  <cp:lastModifiedBy/>
  <cp:revision>1</cp:revision>
  <dcterms:created xsi:type="dcterms:W3CDTF">2013-12-23T23:15:00Z</dcterms:created>
  <dcterms:modified xsi:type="dcterms:W3CDTF">2013-12-23T23:15:00Z</dcterms:modified>
  <cp:category/>
</cp:coreProperties>
</file>