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22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10:00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entre UNICEF, RELAF y la SUBSECRETARÍA DE NIÑEZ, ADOLESCENCIA Y FAMIL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45 
Recursos necesarios: Proyector y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22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2024-08-14T09:17:26-03:00</dcterms:created>
  <dcterms:modified xsi:type="dcterms:W3CDTF">2024-08-14T09:17:26-03:00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