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65835">
      <w:pPr>
        <w:spacing w:before="240" w:after="240"/>
        <w:jc w:val="center"/>
      </w:pPr>
      <w:r>
        <w:rPr>
          <w:rFonts w:ascii="黑体" w:hAnsi="黑体" w:eastAsia="黑体"/>
          <w:b/>
          <w:color w:val="000000"/>
          <w:sz w:val="44"/>
        </w:rPr>
        <w:t>食品安全事故流行病学调查结案报告</w:t>
      </w:r>
    </w:p>
    <w:p w14:paraId="254C62BA">
      <w:pPr>
        <w:spacing w:before="240" w:after="160"/>
        <w:rPr>
          <w:highlight w:val="yellow"/>
        </w:rPr>
      </w:pPr>
      <w:r>
        <w:rPr>
          <w:rFonts w:ascii="黑体" w:hAnsi="黑体" w:eastAsia="黑体"/>
          <w:b/>
          <w:color w:val="000000"/>
          <w:sz w:val="32"/>
          <w:highlight w:val="yellow"/>
        </w:rPr>
        <w:t>一、</w:t>
      </w:r>
      <w:r>
        <w:rPr>
          <w:rFonts w:ascii="黑体" w:hAnsi="黑体" w:eastAsia="黑体"/>
          <w:b/>
          <w:color w:val="auto"/>
          <w:sz w:val="32"/>
          <w:highlight w:val="yellow"/>
        </w:rPr>
        <w:t>背景</w:t>
      </w:r>
    </w:p>
    <w:p w14:paraId="16367ACF">
      <w:pPr>
        <w:spacing w:before="200" w:after="120"/>
      </w:pPr>
      <w:r>
        <w:rPr>
          <w:rFonts w:ascii="黑体" w:hAnsi="黑体" w:eastAsia="黑体"/>
          <w:b/>
          <w:color w:val="000000"/>
          <w:sz w:val="28"/>
        </w:rPr>
        <w:t>（一）调查任务来源</w:t>
      </w:r>
    </w:p>
    <w:p w14:paraId="55ED678D">
      <w:pPr>
        <w:spacing w:after="120" w:line="360" w:lineRule="auto"/>
        <w:ind w:firstLine="420"/>
      </w:pPr>
      <w:r>
        <w:rPr>
          <w:rFonts w:ascii="宋体" w:hAnsi="宋体" w:eastAsia="宋体"/>
          <w:b w:val="0"/>
          <w:sz w:val="24"/>
        </w:rPr>
        <w:t>2019年6月5日凌晨4时起，海河市中心医院急诊科陆续接诊多名出现腹泻、呕吐、腹痛、发热等症状的病人。接诊医生张医生于当日上午向海河市红林区疾病预防控制中心应急办公室及食品药品监督管理局报告。</w:t>
      </w:r>
    </w:p>
    <w:p w14:paraId="3F145EA2">
      <w:pPr>
        <w:spacing w:before="200" w:after="120"/>
      </w:pPr>
      <w:r>
        <w:rPr>
          <w:rFonts w:ascii="黑体" w:hAnsi="黑体" w:eastAsia="黑体"/>
          <w:b/>
          <w:color w:val="000000"/>
          <w:sz w:val="28"/>
        </w:rPr>
        <w:t>（二）事故简单描述</w:t>
      </w:r>
    </w:p>
    <w:p w14:paraId="70417E29">
      <w:pPr>
        <w:spacing w:after="120" w:line="360" w:lineRule="auto"/>
        <w:ind w:firstLine="420"/>
      </w:pPr>
      <w:r>
        <w:rPr>
          <w:rFonts w:ascii="宋体" w:hAnsi="宋体" w:eastAsia="宋体"/>
          <w:b w:val="0"/>
          <w:sz w:val="24"/>
        </w:rPr>
        <w:t>2019年6月4日晚，H酒店举行寿宴。6月5日凌晨起，参加寿宴的人员陆续出现胃肠道症状并前往海河市中心医院就诊。经初步核实，约20余名患者具有共同就餐史，怀疑为一起群体性食物中毒事件。</w:t>
      </w:r>
    </w:p>
    <w:p w14:paraId="7F4FBC44">
      <w:pPr>
        <w:spacing w:before="200" w:after="120"/>
      </w:pPr>
      <w:r>
        <w:rPr>
          <w:rFonts w:ascii="黑体" w:hAnsi="黑体" w:eastAsia="黑体"/>
          <w:b/>
          <w:color w:val="000000"/>
          <w:sz w:val="28"/>
        </w:rPr>
        <w:t>（三）参与调查机构与人员</w:t>
      </w:r>
    </w:p>
    <w:p w14:paraId="6FDBD6BA">
      <w:pPr>
        <w:spacing w:after="120" w:line="360" w:lineRule="auto"/>
        <w:ind w:firstLine="420"/>
      </w:pPr>
      <w:r>
        <w:rPr>
          <w:rFonts w:ascii="宋体" w:hAnsi="宋体" w:eastAsia="宋体"/>
          <w:b w:val="0"/>
          <w:sz w:val="24"/>
        </w:rPr>
        <w:t>海河市红林区疾病预防控制中心（流行病学调查组、消杀组、采样组）、食品药品监督管理局（监督采样组）、区卫健委、区市场监督管理局等。</w:t>
      </w:r>
    </w:p>
    <w:p w14:paraId="3652E0B5">
      <w:pPr>
        <w:spacing w:before="200" w:after="120"/>
      </w:pPr>
      <w:r>
        <w:rPr>
          <w:rFonts w:ascii="黑体" w:hAnsi="黑体" w:eastAsia="黑体"/>
          <w:b/>
          <w:color w:val="000000"/>
          <w:sz w:val="28"/>
        </w:rPr>
        <w:t>（四）调查目的</w:t>
      </w:r>
    </w:p>
    <w:p w14:paraId="5B332041">
      <w:pPr>
        <w:spacing w:after="120" w:line="360" w:lineRule="auto"/>
        <w:ind w:firstLine="420"/>
      </w:pPr>
      <w:r>
        <w:rPr>
          <w:rFonts w:ascii="宋体" w:hAnsi="宋体" w:eastAsia="宋体"/>
          <w:b w:val="0"/>
          <w:sz w:val="24"/>
        </w:rPr>
        <w:t>查明本次事故的发病人数、罹患率、致病因子、污染食品及污染原因，提出针对性防控措施。</w:t>
      </w:r>
    </w:p>
    <w:p w14:paraId="7A367E32">
      <w:pPr>
        <w:spacing w:before="240" w:after="160"/>
        <w:rPr>
          <w:highlight w:val="yellow"/>
        </w:rPr>
      </w:pPr>
      <w:r>
        <w:rPr>
          <w:rFonts w:ascii="黑体" w:hAnsi="黑体" w:eastAsia="黑体"/>
          <w:b/>
          <w:color w:val="000000"/>
          <w:sz w:val="32"/>
          <w:highlight w:val="yellow"/>
        </w:rPr>
        <w:t>二、基本情况</w:t>
      </w:r>
    </w:p>
    <w:p w14:paraId="2C9CAE43">
      <w:pPr>
        <w:spacing w:after="120" w:line="360" w:lineRule="auto"/>
        <w:ind w:firstLine="420"/>
      </w:pPr>
      <w:r>
        <w:rPr>
          <w:rFonts w:ascii="宋体" w:hAnsi="宋体" w:eastAsia="宋体"/>
          <w:b w:val="0"/>
          <w:sz w:val="24"/>
        </w:rPr>
        <w:t>事故发生地：H酒店（好运来酒店），位于海河市红林区。</w:t>
      </w:r>
    </w:p>
    <w:p w14:paraId="157C76BE">
      <w:pPr>
        <w:spacing w:after="120" w:line="360" w:lineRule="auto"/>
        <w:ind w:firstLine="420"/>
      </w:pPr>
      <w:r>
        <w:rPr>
          <w:rFonts w:ascii="宋体" w:hAnsi="宋体" w:eastAsia="宋体"/>
          <w:b w:val="0"/>
          <w:sz w:val="24"/>
        </w:rPr>
        <w:t>酒店概况：H酒店设有大型就餐大厅及后厨操作间，具备承办大型宴席资质。</w:t>
      </w:r>
    </w:p>
    <w:p w14:paraId="5502A320">
      <w:pPr>
        <w:spacing w:after="120" w:line="360" w:lineRule="auto"/>
        <w:ind w:firstLine="420"/>
      </w:pPr>
      <w:r>
        <w:rPr>
          <w:rFonts w:ascii="宋体" w:hAnsi="宋体" w:eastAsia="宋体"/>
          <w:b w:val="0"/>
          <w:sz w:val="24"/>
        </w:rPr>
        <w:t>气候与风俗：6月初当地气候温暖潮湿，适宜微生物繁殖。寿宴为民间常见聚集性就餐活动。</w:t>
      </w:r>
    </w:p>
    <w:p w14:paraId="1E33B320">
      <w:pPr>
        <w:spacing w:before="240" w:after="160"/>
      </w:pPr>
      <w:r>
        <w:rPr>
          <w:rFonts w:ascii="黑体" w:hAnsi="黑体" w:eastAsia="黑体"/>
          <w:b/>
          <w:color w:val="000000"/>
          <w:sz w:val="32"/>
        </w:rPr>
        <w:t>三、调查过程</w:t>
      </w:r>
    </w:p>
    <w:p w14:paraId="6A672787">
      <w:pPr>
        <w:spacing w:before="200" w:after="120"/>
      </w:pPr>
      <w:r>
        <w:rPr>
          <w:rFonts w:ascii="黑体" w:hAnsi="黑体" w:eastAsia="黑体"/>
          <w:b/>
          <w:color w:val="000000"/>
          <w:sz w:val="28"/>
        </w:rPr>
        <w:t>（一）调查目的</w:t>
      </w:r>
    </w:p>
    <w:p w14:paraId="1F1B89EE">
      <w:pPr>
        <w:pStyle w:val="16"/>
        <w:spacing w:after="80" w:line="360" w:lineRule="auto"/>
        <w:ind w:left="850"/>
      </w:pPr>
      <w:r>
        <w:rPr>
          <w:rFonts w:ascii="宋体" w:hAnsi="宋体" w:eastAsia="宋体"/>
          <w:b w:val="0"/>
          <w:sz w:val="24"/>
        </w:rPr>
        <w:t>核实诊断，确定是否为食品安全事故；</w:t>
      </w:r>
    </w:p>
    <w:p w14:paraId="5AA8E39D">
      <w:pPr>
        <w:pStyle w:val="16"/>
        <w:spacing w:after="80" w:line="360" w:lineRule="auto"/>
        <w:ind w:left="850"/>
      </w:pPr>
      <w:r>
        <w:rPr>
          <w:rFonts w:ascii="宋体" w:hAnsi="宋体" w:eastAsia="宋体"/>
          <w:b w:val="0"/>
          <w:sz w:val="24"/>
        </w:rPr>
        <w:t>查明致病因子、致病食品及污染环节；</w:t>
      </w:r>
    </w:p>
    <w:p w14:paraId="78BBF6C7">
      <w:pPr>
        <w:pStyle w:val="16"/>
        <w:spacing w:after="80" w:line="360" w:lineRule="auto"/>
        <w:ind w:left="850"/>
      </w:pPr>
      <w:r>
        <w:rPr>
          <w:rFonts w:ascii="宋体" w:hAnsi="宋体" w:eastAsia="宋体"/>
          <w:b w:val="0"/>
          <w:sz w:val="24"/>
        </w:rPr>
        <w:t>分析病例三间分布特征，判定事故波及范围；</w:t>
      </w:r>
    </w:p>
    <w:p w14:paraId="13F1A71A">
      <w:pPr>
        <w:pStyle w:val="16"/>
        <w:spacing w:after="80" w:line="360" w:lineRule="auto"/>
        <w:ind w:left="850"/>
      </w:pPr>
      <w:r>
        <w:rPr>
          <w:rFonts w:ascii="宋体" w:hAnsi="宋体" w:eastAsia="宋体"/>
          <w:b w:val="0"/>
          <w:sz w:val="24"/>
        </w:rPr>
        <w:t>提出科学有效的防控建议。</w:t>
      </w:r>
    </w:p>
    <w:p w14:paraId="1CBB2EE3">
      <w:pPr>
        <w:spacing w:before="200" w:after="120"/>
      </w:pPr>
      <w:r>
        <w:rPr>
          <w:rFonts w:ascii="黑体" w:hAnsi="黑体" w:eastAsia="黑体"/>
          <w:b/>
          <w:color w:val="000000"/>
          <w:sz w:val="28"/>
        </w:rPr>
        <w:t>（二）调查方法</w:t>
      </w:r>
    </w:p>
    <w:p w14:paraId="552B3F3C">
      <w:pPr>
        <w:spacing w:before="160" w:after="80"/>
      </w:pPr>
      <w:r>
        <w:rPr>
          <w:rFonts w:ascii="黑体" w:hAnsi="黑体" w:eastAsia="黑体"/>
          <w:b/>
          <w:color w:val="000000"/>
          <w:sz w:val="24"/>
        </w:rPr>
        <w:t>1. 现场流行病学调查</w:t>
      </w:r>
    </w:p>
    <w:p w14:paraId="2D3DDAFE">
      <w:pPr>
        <w:pStyle w:val="16"/>
        <w:spacing w:after="80" w:line="360" w:lineRule="auto"/>
        <w:ind w:left="850"/>
      </w:pPr>
      <w:r>
        <w:rPr>
          <w:rFonts w:ascii="宋体" w:hAnsi="宋体" w:eastAsia="宋体"/>
          <w:b w:val="0"/>
          <w:sz w:val="24"/>
        </w:rPr>
        <w:t>病例定义：2019年6月4日晚在H酒店参加寿宴，且自6月4日22时起出现腹泻（≥3次/24h）、呕吐、腹痛、发热（≥37.5℃）等症状之一者。</w:t>
      </w:r>
    </w:p>
    <w:p w14:paraId="627BF943">
      <w:pPr>
        <w:pStyle w:val="16"/>
        <w:spacing w:after="80" w:line="360" w:lineRule="auto"/>
        <w:ind w:left="850"/>
      </w:pPr>
      <w:r>
        <w:rPr>
          <w:rFonts w:ascii="宋体" w:hAnsi="宋体" w:eastAsia="宋体"/>
          <w:b w:val="0"/>
          <w:sz w:val="24"/>
        </w:rPr>
        <w:t>病例搜索：通过医院门诊记录、住院记录及酒店就餐名单主动搜索病例。</w:t>
      </w:r>
    </w:p>
    <w:p w14:paraId="36E5B16D">
      <w:pPr>
        <w:pStyle w:val="16"/>
        <w:spacing w:after="80" w:line="360" w:lineRule="auto"/>
        <w:ind w:left="850"/>
      </w:pPr>
      <w:r>
        <w:rPr>
          <w:rFonts w:ascii="宋体" w:hAnsi="宋体" w:eastAsia="宋体"/>
          <w:b w:val="0"/>
          <w:sz w:val="24"/>
        </w:rPr>
        <w:t>个案调查：使用统一调查问卷对病例进行发病经过、临床表现、饮食史等调查。</w:t>
      </w:r>
    </w:p>
    <w:p w14:paraId="13ED84FC">
      <w:pPr>
        <w:pStyle w:val="16"/>
        <w:spacing w:after="80" w:line="360" w:lineRule="auto"/>
        <w:ind w:left="850"/>
      </w:pPr>
      <w:r>
        <w:rPr>
          <w:rFonts w:ascii="宋体" w:hAnsi="宋体" w:eastAsia="宋体"/>
          <w:b w:val="0"/>
          <w:sz w:val="24"/>
        </w:rPr>
        <w:t>描述性流行病学分析：分析疾病临床特征、时间分布、地区分布、人群分布。</w:t>
      </w:r>
    </w:p>
    <w:p w14:paraId="781F1E11">
      <w:pPr>
        <w:pStyle w:val="16"/>
        <w:spacing w:after="80" w:line="360" w:lineRule="auto"/>
        <w:ind w:left="850"/>
      </w:pPr>
      <w:r>
        <w:rPr>
          <w:rFonts w:ascii="宋体" w:hAnsi="宋体" w:eastAsia="宋体"/>
          <w:b w:val="0"/>
          <w:sz w:val="24"/>
        </w:rPr>
        <w:t>分析性流行病学研究：开展病例-对照研究，计算OR值及95%CI。</w:t>
      </w:r>
    </w:p>
    <w:p w14:paraId="31BA831D">
      <w:pPr>
        <w:spacing w:before="160" w:after="80"/>
      </w:pPr>
      <w:r>
        <w:rPr>
          <w:rFonts w:ascii="黑体" w:hAnsi="黑体" w:eastAsia="黑体"/>
          <w:b/>
          <w:color w:val="000000"/>
          <w:sz w:val="24"/>
        </w:rPr>
        <w:t>2. 食品卫生学调查</w:t>
      </w:r>
    </w:p>
    <w:p w14:paraId="5DE8AE7E">
      <w:pPr>
        <w:pStyle w:val="16"/>
        <w:spacing w:after="80" w:line="360" w:lineRule="auto"/>
        <w:ind w:left="850"/>
      </w:pPr>
      <w:r>
        <w:rPr>
          <w:rFonts w:ascii="宋体" w:hAnsi="宋体" w:eastAsia="宋体"/>
          <w:b w:val="0"/>
          <w:sz w:val="24"/>
        </w:rPr>
        <w:t>访谈可疑食品生产经营单位负责人、厨师、配菜人员、洗碗工及其他知情人员；</w:t>
      </w:r>
    </w:p>
    <w:p w14:paraId="11F9C363">
      <w:pPr>
        <w:pStyle w:val="16"/>
        <w:spacing w:after="80" w:line="360" w:lineRule="auto"/>
        <w:ind w:left="850"/>
      </w:pPr>
      <w:r>
        <w:rPr>
          <w:rFonts w:ascii="宋体" w:hAnsi="宋体" w:eastAsia="宋体"/>
          <w:b w:val="0"/>
          <w:sz w:val="24"/>
        </w:rPr>
        <w:t>查阅可疑食品进货记录、食谱配方、生产加工工艺流程、关键环节时间温度记录、设备清洁消毒记录、从业人员出勤及健康证记录；</w:t>
      </w:r>
    </w:p>
    <w:p w14:paraId="016A5767">
      <w:pPr>
        <w:pStyle w:val="16"/>
        <w:spacing w:after="80" w:line="360" w:lineRule="auto"/>
        <w:ind w:left="850"/>
      </w:pPr>
      <w:r>
        <w:rPr>
          <w:rFonts w:ascii="宋体" w:hAnsi="宋体" w:eastAsia="宋体"/>
          <w:b w:val="0"/>
          <w:sz w:val="24"/>
        </w:rPr>
        <w:t>现场勘查原料储存、加工制作、成品存放等环节；</w:t>
      </w:r>
    </w:p>
    <w:p w14:paraId="167029D4">
      <w:pPr>
        <w:pStyle w:val="16"/>
        <w:spacing w:after="80" w:line="360" w:lineRule="auto"/>
        <w:ind w:left="850"/>
      </w:pPr>
      <w:r>
        <w:rPr>
          <w:rFonts w:ascii="宋体" w:hAnsi="宋体" w:eastAsia="宋体"/>
          <w:b w:val="0"/>
          <w:sz w:val="24"/>
        </w:rPr>
        <w:t>采集可疑食品、原材料、食品工用具涂抹样、环境样品及从业人员生物标本。</w:t>
      </w:r>
    </w:p>
    <w:p w14:paraId="5EEC27E7">
      <w:pPr>
        <w:spacing w:before="160" w:after="80"/>
      </w:pPr>
      <w:r>
        <w:rPr>
          <w:rFonts w:ascii="黑体" w:hAnsi="黑体" w:eastAsia="黑体"/>
          <w:b/>
          <w:color w:val="000000"/>
          <w:sz w:val="24"/>
        </w:rPr>
        <w:t>3. 实验室检验</w:t>
      </w:r>
    </w:p>
    <w:p w14:paraId="6D563140">
      <w:pPr>
        <w:pStyle w:val="16"/>
        <w:spacing w:after="80" w:line="360" w:lineRule="auto"/>
        <w:ind w:left="850"/>
      </w:pPr>
      <w:r>
        <w:rPr>
          <w:rFonts w:ascii="宋体" w:hAnsi="宋体" w:eastAsia="宋体"/>
          <w:b w:val="0"/>
          <w:sz w:val="24"/>
        </w:rPr>
        <w:t>采集患者呕吐物、粪便/肛拭子、血液、尿液等生物标本；</w:t>
      </w:r>
    </w:p>
    <w:p w14:paraId="51FC4381">
      <w:pPr>
        <w:pStyle w:val="16"/>
        <w:spacing w:after="80" w:line="360" w:lineRule="auto"/>
        <w:ind w:left="850"/>
      </w:pPr>
      <w:r>
        <w:rPr>
          <w:rFonts w:ascii="宋体" w:hAnsi="宋体" w:eastAsia="宋体"/>
          <w:b w:val="0"/>
          <w:sz w:val="24"/>
        </w:rPr>
        <w:t>采集剩余食品、原材料、加工设备/工用具涂抹样品、食品加工用水等；</w:t>
      </w:r>
    </w:p>
    <w:p w14:paraId="4595F0F4">
      <w:pPr>
        <w:pStyle w:val="16"/>
        <w:spacing w:after="80" w:line="360" w:lineRule="auto"/>
        <w:ind w:left="850"/>
      </w:pPr>
      <w:r>
        <w:rPr>
          <w:rFonts w:ascii="宋体" w:hAnsi="宋体" w:eastAsia="宋体"/>
          <w:b w:val="0"/>
          <w:sz w:val="24"/>
        </w:rPr>
        <w:t>依据国家标准进行沙门氏菌、金黄色葡萄球菌等致病性微生物分离培养与鉴定；</w:t>
      </w:r>
    </w:p>
    <w:p w14:paraId="02F2A5C1">
      <w:pPr>
        <w:pStyle w:val="16"/>
        <w:spacing w:after="80" w:line="360" w:lineRule="auto"/>
        <w:ind w:left="850"/>
      </w:pPr>
      <w:r>
        <w:rPr>
          <w:rFonts w:ascii="宋体" w:hAnsi="宋体" w:eastAsia="宋体"/>
          <w:b w:val="0"/>
          <w:sz w:val="24"/>
        </w:rPr>
        <w:t>采用脉冲场凝胶电泳（PFGE）技术对分离菌株进行分子分型，判定同源性。</w:t>
      </w:r>
    </w:p>
    <w:p w14:paraId="4A2803D7">
      <w:pPr>
        <w:spacing w:before="240" w:after="160"/>
        <w:rPr>
          <w:highlight w:val="yellow"/>
        </w:rPr>
      </w:pPr>
      <w:r>
        <w:rPr>
          <w:rFonts w:ascii="黑体" w:hAnsi="黑体" w:eastAsia="黑体"/>
          <w:b/>
          <w:color w:val="000000"/>
          <w:sz w:val="32"/>
          <w:highlight w:val="yellow"/>
        </w:rPr>
        <w:t>四、调查结果</w:t>
      </w:r>
    </w:p>
    <w:p w14:paraId="2AF4B9A9">
      <w:pPr>
        <w:spacing w:before="200" w:after="120"/>
      </w:pPr>
      <w:r>
        <w:rPr>
          <w:rFonts w:ascii="黑体" w:hAnsi="黑体" w:eastAsia="黑体"/>
          <w:b/>
          <w:color w:val="000000"/>
          <w:sz w:val="28"/>
        </w:rPr>
        <w:t>（一）现场流行病学调查</w:t>
      </w:r>
    </w:p>
    <w:p w14:paraId="252B0157">
      <w:pPr>
        <w:spacing w:before="160" w:after="80"/>
      </w:pPr>
      <w:r>
        <w:rPr>
          <w:rFonts w:ascii="黑体" w:hAnsi="黑体" w:eastAsia="黑体"/>
          <w:b/>
          <w:color w:val="000000"/>
          <w:sz w:val="24"/>
        </w:rPr>
        <w:t>1. 发病概况</w:t>
      </w:r>
    </w:p>
    <w:p w14:paraId="0CE71488">
      <w:pPr>
        <w:pStyle w:val="16"/>
        <w:spacing w:after="80" w:line="360" w:lineRule="auto"/>
        <w:ind w:left="850"/>
      </w:pPr>
      <w:r>
        <w:rPr>
          <w:rFonts w:ascii="宋体" w:hAnsi="宋体" w:eastAsia="宋体"/>
          <w:b w:val="0"/>
          <w:sz w:val="24"/>
        </w:rPr>
        <w:t>共发现病例29例（实验室确诊+临床诊断），无危重及死亡病例。</w:t>
      </w:r>
    </w:p>
    <w:p w14:paraId="49936113">
      <w:pPr>
        <w:pStyle w:val="16"/>
        <w:spacing w:after="80" w:line="360" w:lineRule="auto"/>
        <w:ind w:left="850"/>
      </w:pPr>
      <w:r>
        <w:rPr>
          <w:rFonts w:ascii="宋体" w:hAnsi="宋体" w:eastAsia="宋体"/>
          <w:b w:val="0"/>
          <w:sz w:val="24"/>
        </w:rPr>
        <w:t>病例全部分布在H酒店同一就餐大厅，座位分布无规律性。</w:t>
      </w:r>
    </w:p>
    <w:p w14:paraId="616BBC49">
      <w:pPr>
        <w:pStyle w:val="16"/>
        <w:spacing w:after="80" w:line="360" w:lineRule="auto"/>
        <w:ind w:left="850"/>
      </w:pPr>
      <w:r>
        <w:rPr>
          <w:rFonts w:ascii="宋体" w:hAnsi="宋体" w:eastAsia="宋体"/>
          <w:b w:val="0"/>
          <w:sz w:val="24"/>
        </w:rPr>
        <w:t>该酒店厨房饮用水水质检测未发现致病菌。</w:t>
      </w:r>
    </w:p>
    <w:p w14:paraId="22402B53">
      <w:pPr>
        <w:spacing w:before="160" w:after="80"/>
      </w:pPr>
      <w:r>
        <w:rPr>
          <w:rFonts w:ascii="黑体" w:hAnsi="黑体" w:eastAsia="黑体"/>
          <w:b/>
          <w:color w:val="000000"/>
          <w:sz w:val="24"/>
        </w:rPr>
        <w:t>2. 临床特征</w:t>
      </w:r>
    </w:p>
    <w:p w14:paraId="3449686E">
      <w:pPr>
        <w:pStyle w:val="16"/>
        <w:spacing w:after="80" w:line="360" w:lineRule="auto"/>
        <w:ind w:left="850"/>
      </w:pPr>
      <w:r>
        <w:rPr>
          <w:rFonts w:ascii="宋体" w:hAnsi="宋体" w:eastAsia="宋体"/>
          <w:b w:val="0"/>
          <w:sz w:val="24"/>
        </w:rPr>
        <w:t>主要症状：腹泻（10-20次/天，黄色或黄绿色水样便）、呕吐、发热（多数为中等发热以上），部分病例伴腹痛、乏力、寒战。</w:t>
      </w:r>
    </w:p>
    <w:p w14:paraId="48210EDE">
      <w:pPr>
        <w:pStyle w:val="16"/>
        <w:spacing w:after="80" w:line="360" w:lineRule="auto"/>
        <w:ind w:left="850"/>
      </w:pPr>
      <w:r>
        <w:rPr>
          <w:rFonts w:ascii="宋体" w:hAnsi="宋体" w:eastAsia="宋体"/>
          <w:b w:val="0"/>
          <w:sz w:val="24"/>
        </w:rPr>
        <w:t>临床辅助检查：白细胞和中性粒细胞比例升高。</w:t>
      </w:r>
    </w:p>
    <w:p w14:paraId="6BFA6E3C">
      <w:pPr>
        <w:pStyle w:val="16"/>
        <w:spacing w:after="80" w:line="360" w:lineRule="auto"/>
        <w:ind w:left="850"/>
      </w:pPr>
      <w:r>
        <w:rPr>
          <w:rFonts w:ascii="宋体" w:hAnsi="宋体" w:eastAsia="宋体"/>
          <w:b w:val="0"/>
          <w:sz w:val="24"/>
        </w:rPr>
        <w:t>病程：多为3-7天；经抗感染、补液及对症治疗后好转。</w:t>
      </w:r>
    </w:p>
    <w:p w14:paraId="31E7907A">
      <w:pPr>
        <w:spacing w:before="160" w:after="80"/>
      </w:pPr>
      <w:r>
        <w:rPr>
          <w:rFonts w:ascii="黑体" w:hAnsi="黑体" w:eastAsia="黑体"/>
          <w:b/>
          <w:color w:val="000000"/>
          <w:sz w:val="24"/>
        </w:rPr>
        <w:t>3. 时间分布</w:t>
      </w:r>
    </w:p>
    <w:p w14:paraId="6C7475F1">
      <w:pPr>
        <w:pStyle w:val="16"/>
        <w:spacing w:after="80" w:line="360" w:lineRule="auto"/>
        <w:ind w:left="850"/>
      </w:pPr>
      <w:r>
        <w:rPr>
          <w:rFonts w:ascii="宋体" w:hAnsi="宋体" w:eastAsia="宋体"/>
          <w:b w:val="0"/>
          <w:sz w:val="24"/>
        </w:rPr>
        <w:t>首发病例于6月4日22时出现症状；末例病例于6月5日8时发病（高峰期为5日5时～17时）。</w:t>
      </w:r>
    </w:p>
    <w:p w14:paraId="1BAF8541">
      <w:pPr>
        <w:pStyle w:val="16"/>
        <w:spacing w:after="80" w:line="360" w:lineRule="auto"/>
        <w:ind w:left="850"/>
      </w:pPr>
      <w:r>
        <w:rPr>
          <w:rFonts w:ascii="宋体" w:hAnsi="宋体" w:eastAsia="宋体"/>
          <w:b w:val="0"/>
          <w:sz w:val="24"/>
        </w:rPr>
        <w:t>流行曲线呈点源暴发模式，单峰分布。</w:t>
      </w:r>
    </w:p>
    <w:p w14:paraId="4FD7289E">
      <w:pPr>
        <w:pStyle w:val="16"/>
        <w:spacing w:after="80" w:line="360" w:lineRule="auto"/>
        <w:ind w:left="850"/>
      </w:pPr>
      <w:r>
        <w:rPr>
          <w:rFonts w:ascii="宋体" w:hAnsi="宋体" w:eastAsia="宋体"/>
          <w:b w:val="0"/>
          <w:sz w:val="24"/>
        </w:rPr>
        <w:t>潜伏期：最短3小时，最长33小时，平均潜伏期12小时。</w:t>
      </w:r>
    </w:p>
    <w:p w14:paraId="23FB4B4B">
      <w:pPr>
        <w:spacing w:before="160" w:after="80"/>
      </w:pPr>
      <w:r>
        <w:rPr>
          <w:rFonts w:ascii="黑体" w:hAnsi="黑体" w:eastAsia="黑体"/>
          <w:b/>
          <w:color w:val="000000"/>
          <w:sz w:val="24"/>
        </w:rPr>
        <w:t>4. 地区分布</w:t>
      </w:r>
    </w:p>
    <w:p w14:paraId="2EE0A930">
      <w:pPr>
        <w:spacing w:after="120" w:line="360" w:lineRule="auto"/>
        <w:ind w:firstLine="420"/>
      </w:pPr>
      <w:r>
        <w:rPr>
          <w:rFonts w:ascii="宋体" w:hAnsi="宋体" w:eastAsia="宋体"/>
          <w:b w:val="0"/>
          <w:sz w:val="24"/>
        </w:rPr>
        <w:t>所有病例均集中在H酒店就餐大厅，无家庭续发或社区散发。</w:t>
      </w:r>
    </w:p>
    <w:p w14:paraId="63902ECB">
      <w:pPr>
        <w:spacing w:before="160" w:after="80"/>
      </w:pPr>
      <w:r>
        <w:rPr>
          <w:rFonts w:ascii="黑体" w:hAnsi="黑体" w:eastAsia="黑体"/>
          <w:b/>
          <w:color w:val="000000"/>
          <w:sz w:val="24"/>
        </w:rPr>
        <w:t>5. 人群分布</w:t>
      </w:r>
    </w:p>
    <w:p w14:paraId="6F142730">
      <w:pPr>
        <w:spacing w:after="120" w:line="360" w:lineRule="auto"/>
        <w:ind w:firstLine="420"/>
      </w:pPr>
      <w:r>
        <w:rPr>
          <w:rFonts w:ascii="宋体" w:hAnsi="宋体" w:eastAsia="宋体"/>
          <w:b w:val="0"/>
          <w:sz w:val="24"/>
        </w:rPr>
        <w:t>病例均为6月4日晚H酒店寿宴就餐者；性别、年龄分布无明显聚集性（详见附表）。</w:t>
      </w:r>
    </w:p>
    <w:p w14:paraId="63F7D776">
      <w:pPr>
        <w:spacing w:before="160" w:after="80"/>
      </w:pPr>
      <w:r>
        <w:rPr>
          <w:rFonts w:ascii="黑体" w:hAnsi="黑体" w:eastAsia="黑体"/>
          <w:b/>
          <w:color w:val="000000"/>
          <w:sz w:val="24"/>
        </w:rPr>
        <w:t>6. 病例-对照研究结果</w:t>
      </w:r>
    </w:p>
    <w:p w14:paraId="0A84F58B">
      <w:pPr>
        <w:spacing w:after="120" w:line="360" w:lineRule="auto"/>
        <w:ind w:firstLine="420"/>
      </w:pPr>
      <w:r>
        <w:rPr>
          <w:rFonts w:ascii="宋体" w:hAnsi="宋体" w:eastAsia="宋体"/>
          <w:b w:val="0"/>
          <w:sz w:val="24"/>
        </w:rPr>
        <w:t>请你根据上述信息，计算OR值和95%可信区间（CI）。（要求学生现场计算，给出答案）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43C3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729" w:type="dxa"/>
            <w:shd w:val="clear" w:color="auto" w:fill="D9E1F2"/>
          </w:tcPr>
          <w:p w14:paraId="6D8F7A24">
            <w:pPr>
              <w:spacing w:after="0" w:line="240" w:lineRule="auto"/>
              <w:jc w:val="center"/>
              <w:rPr>
                <w:sz w:val="21"/>
                <w:szCs w:val="21"/>
              </w:rPr>
            </w:pPr>
            <w:r>
              <w:rPr>
                <w:rFonts w:ascii="黑体" w:hAnsi="黑体" w:eastAsia="黑体"/>
                <w:b/>
                <w:sz w:val="20"/>
                <w:szCs w:val="21"/>
              </w:rPr>
              <w:t>菜品</w:t>
            </w:r>
          </w:p>
        </w:tc>
        <w:tc>
          <w:tcPr>
            <w:tcW w:w="1729" w:type="dxa"/>
            <w:shd w:val="clear" w:color="auto" w:fill="D9E1F2"/>
          </w:tcPr>
          <w:p w14:paraId="60CC9D9D">
            <w:pPr>
              <w:spacing w:after="0" w:line="240" w:lineRule="auto"/>
              <w:jc w:val="center"/>
              <w:rPr>
                <w:sz w:val="21"/>
                <w:szCs w:val="21"/>
              </w:rPr>
            </w:pPr>
            <w:r>
              <w:rPr>
                <w:rFonts w:ascii="黑体" w:hAnsi="黑体" w:eastAsia="黑体"/>
                <w:b/>
                <w:sz w:val="18"/>
                <w:szCs w:val="20"/>
              </w:rPr>
              <w:t>病例（吃/没吃）</w:t>
            </w:r>
          </w:p>
        </w:tc>
        <w:tc>
          <w:tcPr>
            <w:tcW w:w="1729" w:type="dxa"/>
            <w:shd w:val="clear" w:color="auto" w:fill="D9E1F2"/>
          </w:tcPr>
          <w:p w14:paraId="7390AA01">
            <w:pPr>
              <w:spacing w:after="0" w:line="240" w:lineRule="auto"/>
              <w:jc w:val="center"/>
              <w:rPr>
                <w:sz w:val="21"/>
                <w:szCs w:val="21"/>
              </w:rPr>
            </w:pPr>
            <w:r>
              <w:rPr>
                <w:rFonts w:ascii="黑体" w:hAnsi="黑体" w:eastAsia="黑体"/>
                <w:b/>
                <w:sz w:val="20"/>
                <w:szCs w:val="21"/>
              </w:rPr>
              <w:t>对照（吃/没吃）</w:t>
            </w:r>
          </w:p>
        </w:tc>
        <w:tc>
          <w:tcPr>
            <w:tcW w:w="1729" w:type="dxa"/>
            <w:shd w:val="clear" w:color="auto" w:fill="D9E1F2"/>
          </w:tcPr>
          <w:p w14:paraId="45C8165A">
            <w:pPr>
              <w:spacing w:after="0" w:line="240" w:lineRule="auto"/>
              <w:jc w:val="center"/>
              <w:rPr>
                <w:sz w:val="21"/>
                <w:szCs w:val="21"/>
              </w:rPr>
            </w:pPr>
            <w:r>
              <w:rPr>
                <w:rFonts w:ascii="黑体" w:hAnsi="黑体" w:eastAsia="黑体"/>
                <w:b/>
                <w:sz w:val="20"/>
                <w:szCs w:val="21"/>
              </w:rPr>
              <w:t>OR</w:t>
            </w:r>
          </w:p>
        </w:tc>
        <w:tc>
          <w:tcPr>
            <w:tcW w:w="1729" w:type="dxa"/>
            <w:shd w:val="clear" w:color="auto" w:fill="D9E1F2"/>
          </w:tcPr>
          <w:p w14:paraId="2EFBE911">
            <w:pPr>
              <w:spacing w:after="0" w:line="240" w:lineRule="auto"/>
              <w:jc w:val="center"/>
              <w:rPr>
                <w:sz w:val="21"/>
                <w:szCs w:val="21"/>
              </w:rPr>
            </w:pPr>
            <w:r>
              <w:rPr>
                <w:rFonts w:ascii="黑体" w:hAnsi="黑体" w:eastAsia="黑体"/>
                <w:b/>
                <w:sz w:val="20"/>
                <w:szCs w:val="21"/>
              </w:rPr>
              <w:t>95%CI</w:t>
            </w:r>
          </w:p>
        </w:tc>
      </w:tr>
      <w:tr w14:paraId="31C5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0749EB41">
            <w:pPr>
              <w:spacing w:after="0" w:line="240" w:lineRule="auto"/>
              <w:jc w:val="center"/>
            </w:pPr>
            <w:r>
              <w:rPr>
                <w:rFonts w:ascii="宋体" w:hAnsi="宋体" w:eastAsia="宋体"/>
                <w:b w:val="0"/>
                <w:sz w:val="21"/>
              </w:rPr>
              <w:t>素炒粉干</w:t>
            </w:r>
          </w:p>
        </w:tc>
        <w:tc>
          <w:tcPr>
            <w:tcW w:w="1729" w:type="dxa"/>
          </w:tcPr>
          <w:p w14:paraId="117B90C7">
            <w:pPr>
              <w:spacing w:after="0" w:line="240" w:lineRule="auto"/>
              <w:jc w:val="center"/>
            </w:pPr>
            <w:r>
              <w:rPr>
                <w:rFonts w:ascii="宋体" w:hAnsi="宋体" w:eastAsia="宋体"/>
                <w:b w:val="0"/>
                <w:sz w:val="21"/>
              </w:rPr>
              <w:t>27 / 2</w:t>
            </w:r>
          </w:p>
        </w:tc>
        <w:tc>
          <w:tcPr>
            <w:tcW w:w="1729" w:type="dxa"/>
          </w:tcPr>
          <w:p w14:paraId="03BE82E4">
            <w:pPr>
              <w:spacing w:after="0" w:line="240" w:lineRule="auto"/>
              <w:jc w:val="center"/>
            </w:pPr>
            <w:r>
              <w:rPr>
                <w:rFonts w:ascii="宋体" w:hAnsi="宋体" w:eastAsia="宋体"/>
                <w:b w:val="0"/>
                <w:sz w:val="21"/>
              </w:rPr>
              <w:t>8 / 21</w:t>
            </w:r>
          </w:p>
        </w:tc>
        <w:tc>
          <w:tcPr>
            <w:tcW w:w="1729" w:type="dxa"/>
          </w:tcPr>
          <w:p w14:paraId="63E96A88">
            <w:pPr>
              <w:spacing w:after="0" w:line="240" w:lineRule="auto"/>
              <w:jc w:val="center"/>
            </w:pPr>
            <w:r>
              <w:rPr>
                <w:rFonts w:ascii="宋体" w:hAnsi="宋体" w:eastAsia="宋体"/>
                <w:b w:val="0"/>
                <w:sz w:val="21"/>
              </w:rPr>
              <w:t>35.44</w:t>
            </w:r>
          </w:p>
        </w:tc>
        <w:tc>
          <w:tcPr>
            <w:tcW w:w="1729" w:type="dxa"/>
          </w:tcPr>
          <w:p w14:paraId="785897CE">
            <w:pPr>
              <w:spacing w:after="0" w:line="240" w:lineRule="auto"/>
              <w:jc w:val="center"/>
            </w:pPr>
            <w:r>
              <w:rPr>
                <w:rFonts w:ascii="宋体" w:hAnsi="宋体" w:eastAsia="宋体"/>
                <w:b w:val="0"/>
                <w:sz w:val="21"/>
              </w:rPr>
              <w:t>(6.78, 185.21)</w:t>
            </w:r>
          </w:p>
        </w:tc>
      </w:tr>
      <w:tr w14:paraId="53DA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7107253">
            <w:pPr>
              <w:spacing w:after="0" w:line="240" w:lineRule="auto"/>
              <w:jc w:val="center"/>
            </w:pPr>
            <w:r>
              <w:rPr>
                <w:rFonts w:ascii="宋体" w:hAnsi="宋体" w:eastAsia="宋体"/>
                <w:b w:val="0"/>
                <w:sz w:val="21"/>
              </w:rPr>
              <w:t>白灼菜心</w:t>
            </w:r>
          </w:p>
        </w:tc>
        <w:tc>
          <w:tcPr>
            <w:tcW w:w="1729" w:type="dxa"/>
          </w:tcPr>
          <w:p w14:paraId="2D868998">
            <w:pPr>
              <w:spacing w:after="0" w:line="240" w:lineRule="auto"/>
              <w:jc w:val="center"/>
            </w:pPr>
            <w:r>
              <w:rPr>
                <w:rFonts w:ascii="宋体" w:hAnsi="宋体" w:eastAsia="宋体"/>
                <w:b w:val="0"/>
                <w:sz w:val="21"/>
              </w:rPr>
              <w:t>22 / 7</w:t>
            </w:r>
          </w:p>
        </w:tc>
        <w:tc>
          <w:tcPr>
            <w:tcW w:w="1729" w:type="dxa"/>
          </w:tcPr>
          <w:p w14:paraId="0C09000A">
            <w:pPr>
              <w:spacing w:after="0" w:line="240" w:lineRule="auto"/>
              <w:jc w:val="center"/>
            </w:pPr>
            <w:r>
              <w:rPr>
                <w:rFonts w:ascii="宋体" w:hAnsi="宋体" w:eastAsia="宋体"/>
                <w:b w:val="0"/>
                <w:sz w:val="21"/>
              </w:rPr>
              <w:t>13 / 16</w:t>
            </w:r>
          </w:p>
        </w:tc>
        <w:tc>
          <w:tcPr>
            <w:tcW w:w="1729" w:type="dxa"/>
          </w:tcPr>
          <w:p w14:paraId="44E3326C">
            <w:pPr>
              <w:spacing w:after="0" w:line="240" w:lineRule="auto"/>
              <w:jc w:val="center"/>
            </w:pPr>
            <w:r>
              <w:rPr>
                <w:rFonts w:ascii="宋体" w:hAnsi="宋体" w:eastAsia="宋体"/>
                <w:b w:val="0"/>
                <w:sz w:val="21"/>
              </w:rPr>
              <w:t>3.87</w:t>
            </w:r>
          </w:p>
        </w:tc>
        <w:tc>
          <w:tcPr>
            <w:tcW w:w="1729" w:type="dxa"/>
          </w:tcPr>
          <w:p w14:paraId="10F4A79E">
            <w:pPr>
              <w:spacing w:after="0" w:line="240" w:lineRule="auto"/>
              <w:jc w:val="center"/>
            </w:pPr>
            <w:r>
              <w:rPr>
                <w:rFonts w:ascii="宋体" w:hAnsi="宋体" w:eastAsia="宋体"/>
                <w:b w:val="0"/>
                <w:sz w:val="21"/>
              </w:rPr>
              <w:t>(1.12, 13.36)</w:t>
            </w:r>
          </w:p>
        </w:tc>
      </w:tr>
      <w:tr w14:paraId="2AA9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AE54315">
            <w:pPr>
              <w:spacing w:after="0" w:line="240" w:lineRule="auto"/>
              <w:jc w:val="center"/>
            </w:pPr>
            <w:r>
              <w:rPr>
                <w:rFonts w:ascii="宋体" w:hAnsi="宋体" w:eastAsia="宋体"/>
                <w:b w:val="0"/>
                <w:sz w:val="21"/>
              </w:rPr>
              <w:t>水果罐头拼盘</w:t>
            </w:r>
          </w:p>
        </w:tc>
        <w:tc>
          <w:tcPr>
            <w:tcW w:w="1729" w:type="dxa"/>
          </w:tcPr>
          <w:p w14:paraId="44905010">
            <w:pPr>
              <w:spacing w:after="0" w:line="240" w:lineRule="auto"/>
              <w:jc w:val="center"/>
            </w:pPr>
            <w:r>
              <w:rPr>
                <w:rFonts w:ascii="宋体" w:hAnsi="宋体" w:eastAsia="宋体"/>
                <w:b w:val="0"/>
                <w:sz w:val="21"/>
              </w:rPr>
              <w:t>16 / 13</w:t>
            </w:r>
          </w:p>
        </w:tc>
        <w:tc>
          <w:tcPr>
            <w:tcW w:w="1729" w:type="dxa"/>
          </w:tcPr>
          <w:p w14:paraId="4CCE9C2F">
            <w:pPr>
              <w:spacing w:after="0" w:line="240" w:lineRule="auto"/>
              <w:jc w:val="center"/>
            </w:pPr>
            <w:r>
              <w:rPr>
                <w:rFonts w:ascii="宋体" w:hAnsi="宋体" w:eastAsia="宋体"/>
                <w:b w:val="0"/>
                <w:sz w:val="21"/>
              </w:rPr>
              <w:t>14 / 15</w:t>
            </w:r>
          </w:p>
        </w:tc>
        <w:tc>
          <w:tcPr>
            <w:tcW w:w="1729" w:type="dxa"/>
          </w:tcPr>
          <w:p w14:paraId="7F75B4A4">
            <w:pPr>
              <w:spacing w:after="0" w:line="240" w:lineRule="auto"/>
              <w:jc w:val="center"/>
            </w:pPr>
            <w:r>
              <w:rPr>
                <w:rFonts w:ascii="宋体" w:hAnsi="宋体" w:eastAsia="宋体"/>
                <w:b w:val="0"/>
                <w:sz w:val="21"/>
              </w:rPr>
              <w:t>1.32</w:t>
            </w:r>
          </w:p>
        </w:tc>
        <w:tc>
          <w:tcPr>
            <w:tcW w:w="1729" w:type="dxa"/>
          </w:tcPr>
          <w:p w14:paraId="3BBFFD46">
            <w:pPr>
              <w:spacing w:after="0" w:line="240" w:lineRule="auto"/>
              <w:jc w:val="center"/>
            </w:pPr>
            <w:r>
              <w:rPr>
                <w:rFonts w:ascii="宋体" w:hAnsi="宋体" w:eastAsia="宋体"/>
                <w:b w:val="0"/>
                <w:sz w:val="21"/>
              </w:rPr>
              <w:t>(0.46, 3.76)</w:t>
            </w:r>
          </w:p>
        </w:tc>
      </w:tr>
      <w:tr w14:paraId="4B0D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EC87490">
            <w:pPr>
              <w:spacing w:after="0" w:line="240" w:lineRule="auto"/>
              <w:jc w:val="center"/>
            </w:pPr>
            <w:r>
              <w:rPr>
                <w:rFonts w:ascii="宋体" w:hAnsi="宋体" w:eastAsia="宋体"/>
                <w:b w:val="0"/>
                <w:sz w:val="21"/>
              </w:rPr>
              <w:t>幸福煲仔</w:t>
            </w:r>
          </w:p>
        </w:tc>
        <w:tc>
          <w:tcPr>
            <w:tcW w:w="1729" w:type="dxa"/>
          </w:tcPr>
          <w:p w14:paraId="7C2A2368">
            <w:pPr>
              <w:spacing w:after="0" w:line="240" w:lineRule="auto"/>
              <w:jc w:val="center"/>
            </w:pPr>
            <w:r>
              <w:rPr>
                <w:rFonts w:ascii="宋体" w:hAnsi="宋体" w:eastAsia="宋体"/>
                <w:b w:val="0"/>
                <w:sz w:val="21"/>
              </w:rPr>
              <w:t>20 / 9</w:t>
            </w:r>
          </w:p>
        </w:tc>
        <w:tc>
          <w:tcPr>
            <w:tcW w:w="1729" w:type="dxa"/>
          </w:tcPr>
          <w:p w14:paraId="1BB5E004">
            <w:pPr>
              <w:spacing w:after="0" w:line="240" w:lineRule="auto"/>
              <w:jc w:val="center"/>
            </w:pPr>
            <w:r>
              <w:rPr>
                <w:rFonts w:ascii="宋体" w:hAnsi="宋体" w:eastAsia="宋体"/>
                <w:b w:val="0"/>
                <w:sz w:val="21"/>
              </w:rPr>
              <w:t>19 / 10</w:t>
            </w:r>
          </w:p>
        </w:tc>
        <w:tc>
          <w:tcPr>
            <w:tcW w:w="1729" w:type="dxa"/>
          </w:tcPr>
          <w:p w14:paraId="75BC595D">
            <w:pPr>
              <w:spacing w:after="0" w:line="240" w:lineRule="auto"/>
              <w:jc w:val="center"/>
            </w:pPr>
            <w:r>
              <w:rPr>
                <w:rFonts w:ascii="宋体" w:hAnsi="宋体" w:eastAsia="宋体"/>
                <w:b w:val="0"/>
                <w:sz w:val="21"/>
              </w:rPr>
              <w:t>1.17</w:t>
            </w:r>
          </w:p>
        </w:tc>
        <w:tc>
          <w:tcPr>
            <w:tcW w:w="1729" w:type="dxa"/>
          </w:tcPr>
          <w:p w14:paraId="5CE2FADD">
            <w:pPr>
              <w:spacing w:after="0" w:line="240" w:lineRule="auto"/>
              <w:jc w:val="center"/>
            </w:pPr>
            <w:r>
              <w:rPr>
                <w:rFonts w:ascii="宋体" w:hAnsi="宋体" w:eastAsia="宋体"/>
                <w:b w:val="0"/>
                <w:sz w:val="21"/>
              </w:rPr>
              <w:t>(0.40, 3.42)</w:t>
            </w:r>
          </w:p>
        </w:tc>
      </w:tr>
      <w:tr w14:paraId="1FFE1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5E8BC84">
            <w:pPr>
              <w:spacing w:after="0" w:line="240" w:lineRule="auto"/>
              <w:jc w:val="center"/>
            </w:pPr>
            <w:r>
              <w:rPr>
                <w:rFonts w:ascii="宋体" w:hAnsi="宋体" w:eastAsia="宋体"/>
                <w:b w:val="0"/>
                <w:sz w:val="21"/>
              </w:rPr>
              <w:t>清蒸鸦片鱼</w:t>
            </w:r>
          </w:p>
        </w:tc>
        <w:tc>
          <w:tcPr>
            <w:tcW w:w="1729" w:type="dxa"/>
          </w:tcPr>
          <w:p w14:paraId="4D63D941">
            <w:pPr>
              <w:spacing w:after="0" w:line="240" w:lineRule="auto"/>
              <w:jc w:val="center"/>
            </w:pPr>
            <w:r>
              <w:rPr>
                <w:rFonts w:ascii="宋体" w:hAnsi="宋体" w:eastAsia="宋体"/>
                <w:b w:val="0"/>
                <w:sz w:val="21"/>
              </w:rPr>
              <w:t>23 / 6</w:t>
            </w:r>
          </w:p>
        </w:tc>
        <w:tc>
          <w:tcPr>
            <w:tcW w:w="1729" w:type="dxa"/>
          </w:tcPr>
          <w:p w14:paraId="1D9DE956">
            <w:pPr>
              <w:spacing w:after="0" w:line="240" w:lineRule="auto"/>
              <w:jc w:val="center"/>
            </w:pPr>
            <w:r>
              <w:rPr>
                <w:rFonts w:ascii="宋体" w:hAnsi="宋体" w:eastAsia="宋体"/>
                <w:b w:val="0"/>
                <w:sz w:val="21"/>
              </w:rPr>
              <w:t>20 / 9</w:t>
            </w:r>
          </w:p>
        </w:tc>
        <w:tc>
          <w:tcPr>
            <w:tcW w:w="1729" w:type="dxa"/>
          </w:tcPr>
          <w:p w14:paraId="564C0151">
            <w:pPr>
              <w:spacing w:after="0" w:line="240" w:lineRule="auto"/>
              <w:jc w:val="center"/>
            </w:pPr>
            <w:r>
              <w:rPr>
                <w:rFonts w:ascii="宋体" w:hAnsi="宋体" w:eastAsia="宋体"/>
                <w:b w:val="0"/>
                <w:sz w:val="21"/>
              </w:rPr>
              <w:t>1.73</w:t>
            </w:r>
          </w:p>
        </w:tc>
        <w:tc>
          <w:tcPr>
            <w:tcW w:w="1729" w:type="dxa"/>
          </w:tcPr>
          <w:p w14:paraId="14C0B7C8">
            <w:pPr>
              <w:spacing w:after="0" w:line="240" w:lineRule="auto"/>
              <w:jc w:val="center"/>
            </w:pPr>
            <w:r>
              <w:rPr>
                <w:rFonts w:ascii="宋体" w:hAnsi="宋体" w:eastAsia="宋体"/>
                <w:b w:val="0"/>
                <w:sz w:val="21"/>
              </w:rPr>
              <w:t>(0.52, 5.72)</w:t>
            </w:r>
          </w:p>
        </w:tc>
      </w:tr>
      <w:tr w14:paraId="2C4D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30669C48">
            <w:pPr>
              <w:spacing w:after="0" w:line="240" w:lineRule="auto"/>
              <w:jc w:val="center"/>
            </w:pPr>
            <w:r>
              <w:rPr>
                <w:rFonts w:ascii="宋体" w:hAnsi="宋体" w:eastAsia="宋体"/>
                <w:b w:val="0"/>
                <w:sz w:val="21"/>
              </w:rPr>
              <w:t>蒜香小排</w:t>
            </w:r>
          </w:p>
        </w:tc>
        <w:tc>
          <w:tcPr>
            <w:tcW w:w="1729" w:type="dxa"/>
          </w:tcPr>
          <w:p w14:paraId="3C867FF4">
            <w:pPr>
              <w:spacing w:after="0" w:line="240" w:lineRule="auto"/>
              <w:jc w:val="center"/>
            </w:pPr>
            <w:r>
              <w:rPr>
                <w:rFonts w:ascii="宋体" w:hAnsi="宋体" w:eastAsia="宋体"/>
                <w:b w:val="0"/>
                <w:sz w:val="21"/>
              </w:rPr>
              <w:t>23 / 6</w:t>
            </w:r>
          </w:p>
        </w:tc>
        <w:tc>
          <w:tcPr>
            <w:tcW w:w="1729" w:type="dxa"/>
          </w:tcPr>
          <w:p w14:paraId="067F6EC4">
            <w:pPr>
              <w:spacing w:after="0" w:line="240" w:lineRule="auto"/>
              <w:jc w:val="center"/>
            </w:pPr>
            <w:r>
              <w:rPr>
                <w:rFonts w:ascii="宋体" w:hAnsi="宋体" w:eastAsia="宋体"/>
                <w:b w:val="0"/>
                <w:sz w:val="21"/>
              </w:rPr>
              <w:t>16 / 13</w:t>
            </w:r>
          </w:p>
        </w:tc>
        <w:tc>
          <w:tcPr>
            <w:tcW w:w="1729" w:type="dxa"/>
          </w:tcPr>
          <w:p w14:paraId="0F85720E">
            <w:pPr>
              <w:spacing w:after="0" w:line="240" w:lineRule="auto"/>
              <w:jc w:val="center"/>
            </w:pPr>
            <w:r>
              <w:rPr>
                <w:rFonts w:ascii="宋体" w:hAnsi="宋体" w:eastAsia="宋体"/>
                <w:b w:val="0"/>
                <w:sz w:val="21"/>
              </w:rPr>
              <w:t>3.12</w:t>
            </w:r>
          </w:p>
        </w:tc>
        <w:tc>
          <w:tcPr>
            <w:tcW w:w="1729" w:type="dxa"/>
          </w:tcPr>
          <w:p w14:paraId="2F0EDEBD">
            <w:pPr>
              <w:spacing w:after="0" w:line="240" w:lineRule="auto"/>
              <w:jc w:val="center"/>
            </w:pPr>
            <w:r>
              <w:rPr>
                <w:rFonts w:ascii="宋体" w:hAnsi="宋体" w:eastAsia="宋体"/>
                <w:b w:val="0"/>
                <w:sz w:val="21"/>
              </w:rPr>
              <w:t>(0.93, 10.48)</w:t>
            </w:r>
          </w:p>
        </w:tc>
      </w:tr>
      <w:tr w14:paraId="7DEF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2A153E4">
            <w:pPr>
              <w:spacing w:after="0" w:line="240" w:lineRule="auto"/>
              <w:jc w:val="center"/>
            </w:pPr>
            <w:r>
              <w:rPr>
                <w:rFonts w:ascii="宋体" w:hAnsi="宋体" w:eastAsia="宋体"/>
                <w:b w:val="0"/>
                <w:sz w:val="21"/>
              </w:rPr>
              <w:t>粗粮一品海参</w:t>
            </w:r>
          </w:p>
        </w:tc>
        <w:tc>
          <w:tcPr>
            <w:tcW w:w="1729" w:type="dxa"/>
          </w:tcPr>
          <w:p w14:paraId="268F3E0C">
            <w:pPr>
              <w:spacing w:after="0" w:line="240" w:lineRule="auto"/>
              <w:jc w:val="center"/>
            </w:pPr>
            <w:r>
              <w:rPr>
                <w:rFonts w:ascii="宋体" w:hAnsi="宋体" w:eastAsia="宋体"/>
                <w:b w:val="0"/>
                <w:sz w:val="21"/>
              </w:rPr>
              <w:t>22 / 7</w:t>
            </w:r>
          </w:p>
        </w:tc>
        <w:tc>
          <w:tcPr>
            <w:tcW w:w="1729" w:type="dxa"/>
          </w:tcPr>
          <w:p w14:paraId="429CA884">
            <w:pPr>
              <w:spacing w:after="0" w:line="240" w:lineRule="auto"/>
              <w:jc w:val="center"/>
            </w:pPr>
            <w:r>
              <w:rPr>
                <w:rFonts w:ascii="宋体" w:hAnsi="宋体" w:eastAsia="宋体"/>
                <w:b w:val="0"/>
                <w:sz w:val="21"/>
              </w:rPr>
              <w:t>23 / 6</w:t>
            </w:r>
          </w:p>
        </w:tc>
        <w:tc>
          <w:tcPr>
            <w:tcW w:w="1729" w:type="dxa"/>
          </w:tcPr>
          <w:p w14:paraId="166FFEDB">
            <w:pPr>
              <w:spacing w:after="0" w:line="240" w:lineRule="auto"/>
              <w:jc w:val="center"/>
            </w:pPr>
            <w:r>
              <w:rPr>
                <w:rFonts w:ascii="宋体" w:hAnsi="宋体" w:eastAsia="宋体"/>
                <w:b w:val="0"/>
                <w:sz w:val="21"/>
              </w:rPr>
              <w:t>0.82</w:t>
            </w:r>
          </w:p>
        </w:tc>
        <w:tc>
          <w:tcPr>
            <w:tcW w:w="1729" w:type="dxa"/>
          </w:tcPr>
          <w:p w14:paraId="06F612B0">
            <w:pPr>
              <w:spacing w:after="0" w:line="240" w:lineRule="auto"/>
              <w:jc w:val="center"/>
            </w:pPr>
            <w:r>
              <w:rPr>
                <w:rFonts w:ascii="宋体" w:hAnsi="宋体" w:eastAsia="宋体"/>
                <w:b w:val="0"/>
                <w:sz w:val="21"/>
              </w:rPr>
              <w:t>(0.24, 2.83)</w:t>
            </w:r>
          </w:p>
        </w:tc>
      </w:tr>
      <w:tr w14:paraId="78B9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650312B6">
            <w:pPr>
              <w:spacing w:after="0" w:line="240" w:lineRule="auto"/>
              <w:jc w:val="center"/>
            </w:pPr>
            <w:r>
              <w:rPr>
                <w:rFonts w:ascii="宋体" w:hAnsi="宋体" w:eastAsia="宋体"/>
                <w:b w:val="0"/>
                <w:sz w:val="21"/>
              </w:rPr>
              <w:t>蒜蓉粉丝蒸扇贝</w:t>
            </w:r>
          </w:p>
        </w:tc>
        <w:tc>
          <w:tcPr>
            <w:tcW w:w="1729" w:type="dxa"/>
          </w:tcPr>
          <w:p w14:paraId="1C0B3EBF">
            <w:pPr>
              <w:spacing w:after="0" w:line="240" w:lineRule="auto"/>
              <w:jc w:val="center"/>
            </w:pPr>
            <w:r>
              <w:rPr>
                <w:rFonts w:ascii="宋体" w:hAnsi="宋体" w:eastAsia="宋体"/>
                <w:b w:val="0"/>
                <w:sz w:val="21"/>
              </w:rPr>
              <w:t>24 / 5</w:t>
            </w:r>
          </w:p>
        </w:tc>
        <w:tc>
          <w:tcPr>
            <w:tcW w:w="1729" w:type="dxa"/>
          </w:tcPr>
          <w:p w14:paraId="517E126F">
            <w:pPr>
              <w:spacing w:after="0" w:line="240" w:lineRule="auto"/>
              <w:jc w:val="center"/>
            </w:pPr>
            <w:r>
              <w:rPr>
                <w:rFonts w:ascii="宋体" w:hAnsi="宋体" w:eastAsia="宋体"/>
                <w:b w:val="0"/>
                <w:sz w:val="21"/>
              </w:rPr>
              <w:t>23 / 6</w:t>
            </w:r>
          </w:p>
        </w:tc>
        <w:tc>
          <w:tcPr>
            <w:tcW w:w="1729" w:type="dxa"/>
          </w:tcPr>
          <w:p w14:paraId="1582E887">
            <w:pPr>
              <w:spacing w:after="0" w:line="240" w:lineRule="auto"/>
              <w:jc w:val="center"/>
            </w:pPr>
            <w:r>
              <w:rPr>
                <w:rFonts w:ascii="宋体" w:hAnsi="宋体" w:eastAsia="宋体"/>
                <w:b w:val="0"/>
                <w:sz w:val="21"/>
              </w:rPr>
              <w:t>1.25</w:t>
            </w:r>
          </w:p>
        </w:tc>
        <w:tc>
          <w:tcPr>
            <w:tcW w:w="1729" w:type="dxa"/>
          </w:tcPr>
          <w:p w14:paraId="082F27A1">
            <w:pPr>
              <w:spacing w:after="0" w:line="240" w:lineRule="auto"/>
              <w:jc w:val="center"/>
            </w:pPr>
            <w:r>
              <w:rPr>
                <w:rFonts w:ascii="宋体" w:hAnsi="宋体" w:eastAsia="宋体"/>
                <w:b w:val="0"/>
                <w:sz w:val="21"/>
              </w:rPr>
              <w:t>(0.33, 4.78)</w:t>
            </w:r>
          </w:p>
        </w:tc>
      </w:tr>
      <w:tr w14:paraId="1961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650E244">
            <w:pPr>
              <w:spacing w:after="0" w:line="240" w:lineRule="auto"/>
              <w:jc w:val="center"/>
            </w:pPr>
            <w:r>
              <w:rPr>
                <w:rFonts w:ascii="宋体" w:hAnsi="宋体" w:eastAsia="宋体"/>
                <w:b w:val="0"/>
                <w:sz w:val="21"/>
              </w:rPr>
              <w:t>麻油鸭</w:t>
            </w:r>
          </w:p>
        </w:tc>
        <w:tc>
          <w:tcPr>
            <w:tcW w:w="1729" w:type="dxa"/>
          </w:tcPr>
          <w:p w14:paraId="38D2E323">
            <w:pPr>
              <w:spacing w:after="0" w:line="240" w:lineRule="auto"/>
              <w:jc w:val="center"/>
            </w:pPr>
            <w:r>
              <w:rPr>
                <w:rFonts w:ascii="宋体" w:hAnsi="宋体" w:eastAsia="宋体"/>
                <w:b w:val="0"/>
                <w:sz w:val="21"/>
              </w:rPr>
              <w:t>24 / 5</w:t>
            </w:r>
          </w:p>
        </w:tc>
        <w:tc>
          <w:tcPr>
            <w:tcW w:w="1729" w:type="dxa"/>
          </w:tcPr>
          <w:p w14:paraId="25E12649">
            <w:pPr>
              <w:spacing w:after="0" w:line="240" w:lineRule="auto"/>
              <w:jc w:val="center"/>
            </w:pPr>
            <w:r>
              <w:rPr>
                <w:rFonts w:ascii="宋体" w:hAnsi="宋体" w:eastAsia="宋体"/>
                <w:b w:val="0"/>
                <w:sz w:val="21"/>
              </w:rPr>
              <w:t>20 / 9</w:t>
            </w:r>
          </w:p>
        </w:tc>
        <w:tc>
          <w:tcPr>
            <w:tcW w:w="1729" w:type="dxa"/>
          </w:tcPr>
          <w:p w14:paraId="09D6D997">
            <w:pPr>
              <w:spacing w:after="0" w:line="240" w:lineRule="auto"/>
              <w:jc w:val="center"/>
            </w:pPr>
            <w:r>
              <w:rPr>
                <w:rFonts w:ascii="宋体" w:hAnsi="宋体" w:eastAsia="宋体"/>
                <w:b w:val="0"/>
                <w:sz w:val="21"/>
              </w:rPr>
              <w:t>2.16</w:t>
            </w:r>
          </w:p>
        </w:tc>
        <w:tc>
          <w:tcPr>
            <w:tcW w:w="1729" w:type="dxa"/>
          </w:tcPr>
          <w:p w14:paraId="353EFA0D">
            <w:pPr>
              <w:spacing w:after="0" w:line="240" w:lineRule="auto"/>
              <w:jc w:val="center"/>
            </w:pPr>
            <w:r>
              <w:rPr>
                <w:rFonts w:ascii="宋体" w:hAnsi="宋体" w:eastAsia="宋体"/>
                <w:b w:val="0"/>
                <w:sz w:val="21"/>
              </w:rPr>
              <w:t>(0.58, 8.04)</w:t>
            </w:r>
          </w:p>
        </w:tc>
      </w:tr>
      <w:tr w14:paraId="132B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A44F0C6">
            <w:pPr>
              <w:spacing w:after="0" w:line="240" w:lineRule="auto"/>
              <w:jc w:val="center"/>
            </w:pPr>
            <w:r>
              <w:rPr>
                <w:rFonts w:ascii="宋体" w:hAnsi="宋体" w:eastAsia="宋体"/>
                <w:b w:val="0"/>
                <w:sz w:val="21"/>
              </w:rPr>
              <w:t>芝士伊面焗波龙</w:t>
            </w:r>
          </w:p>
        </w:tc>
        <w:tc>
          <w:tcPr>
            <w:tcW w:w="1729" w:type="dxa"/>
          </w:tcPr>
          <w:p w14:paraId="07990F1A">
            <w:pPr>
              <w:spacing w:after="0" w:line="240" w:lineRule="auto"/>
              <w:jc w:val="center"/>
            </w:pPr>
            <w:r>
              <w:rPr>
                <w:rFonts w:ascii="宋体" w:hAnsi="宋体" w:eastAsia="宋体"/>
                <w:b w:val="0"/>
                <w:sz w:val="21"/>
              </w:rPr>
              <w:t>25 / 4</w:t>
            </w:r>
          </w:p>
        </w:tc>
        <w:tc>
          <w:tcPr>
            <w:tcW w:w="1729" w:type="dxa"/>
          </w:tcPr>
          <w:p w14:paraId="2F6984C2">
            <w:pPr>
              <w:spacing w:after="0" w:line="240" w:lineRule="auto"/>
              <w:jc w:val="center"/>
            </w:pPr>
            <w:r>
              <w:rPr>
                <w:rFonts w:ascii="宋体" w:hAnsi="宋体" w:eastAsia="宋体"/>
                <w:b w:val="0"/>
                <w:sz w:val="21"/>
              </w:rPr>
              <w:t>27 / 2</w:t>
            </w:r>
          </w:p>
        </w:tc>
        <w:tc>
          <w:tcPr>
            <w:tcW w:w="1729" w:type="dxa"/>
          </w:tcPr>
          <w:p w14:paraId="26B3ECA7">
            <w:pPr>
              <w:spacing w:after="0" w:line="240" w:lineRule="auto"/>
              <w:jc w:val="center"/>
            </w:pPr>
            <w:r>
              <w:rPr>
                <w:rFonts w:ascii="宋体" w:hAnsi="宋体" w:eastAsia="宋体"/>
                <w:b w:val="0"/>
                <w:sz w:val="21"/>
              </w:rPr>
              <w:t>0.46</w:t>
            </w:r>
          </w:p>
        </w:tc>
        <w:tc>
          <w:tcPr>
            <w:tcW w:w="1729" w:type="dxa"/>
          </w:tcPr>
          <w:p w14:paraId="49133723">
            <w:pPr>
              <w:spacing w:after="0" w:line="240" w:lineRule="auto"/>
              <w:jc w:val="center"/>
            </w:pPr>
            <w:r>
              <w:rPr>
                <w:rFonts w:ascii="宋体" w:hAnsi="宋体" w:eastAsia="宋体"/>
                <w:b w:val="0"/>
                <w:sz w:val="21"/>
              </w:rPr>
              <w:t>(0.08, 2.71)</w:t>
            </w:r>
          </w:p>
        </w:tc>
      </w:tr>
      <w:tr w14:paraId="70ECE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08A84915">
            <w:pPr>
              <w:spacing w:after="0" w:line="240" w:lineRule="auto"/>
              <w:jc w:val="center"/>
            </w:pPr>
            <w:r>
              <w:rPr>
                <w:rFonts w:ascii="宋体" w:hAnsi="宋体" w:eastAsia="宋体"/>
                <w:b w:val="0"/>
                <w:sz w:val="21"/>
              </w:rPr>
              <w:t>人参花胶炖土鸡</w:t>
            </w:r>
          </w:p>
        </w:tc>
        <w:tc>
          <w:tcPr>
            <w:tcW w:w="1729" w:type="dxa"/>
          </w:tcPr>
          <w:p w14:paraId="744A79D8">
            <w:pPr>
              <w:spacing w:after="0" w:line="240" w:lineRule="auto"/>
              <w:jc w:val="center"/>
            </w:pPr>
            <w:r>
              <w:rPr>
                <w:rFonts w:ascii="宋体" w:hAnsi="宋体" w:eastAsia="宋体"/>
                <w:b w:val="0"/>
                <w:sz w:val="21"/>
              </w:rPr>
              <w:t>27 / 2</w:t>
            </w:r>
          </w:p>
        </w:tc>
        <w:tc>
          <w:tcPr>
            <w:tcW w:w="1729" w:type="dxa"/>
          </w:tcPr>
          <w:p w14:paraId="4D8EE51D">
            <w:pPr>
              <w:spacing w:after="0" w:line="240" w:lineRule="auto"/>
              <w:jc w:val="center"/>
            </w:pPr>
            <w:r>
              <w:rPr>
                <w:rFonts w:ascii="宋体" w:hAnsi="宋体" w:eastAsia="宋体"/>
                <w:b w:val="0"/>
                <w:sz w:val="21"/>
              </w:rPr>
              <w:t>27 / 2</w:t>
            </w:r>
          </w:p>
        </w:tc>
        <w:tc>
          <w:tcPr>
            <w:tcW w:w="1729" w:type="dxa"/>
          </w:tcPr>
          <w:p w14:paraId="0D2B4916">
            <w:pPr>
              <w:spacing w:after="0" w:line="240" w:lineRule="auto"/>
              <w:jc w:val="center"/>
            </w:pPr>
            <w:r>
              <w:rPr>
                <w:rFonts w:ascii="宋体" w:hAnsi="宋体" w:eastAsia="宋体"/>
                <w:b w:val="0"/>
                <w:sz w:val="21"/>
              </w:rPr>
              <w:t>1.00</w:t>
            </w:r>
          </w:p>
        </w:tc>
        <w:tc>
          <w:tcPr>
            <w:tcW w:w="1729" w:type="dxa"/>
          </w:tcPr>
          <w:p w14:paraId="68A0348C">
            <w:pPr>
              <w:spacing w:after="0" w:line="240" w:lineRule="auto"/>
              <w:jc w:val="center"/>
            </w:pPr>
            <w:r>
              <w:rPr>
                <w:rFonts w:ascii="宋体" w:hAnsi="宋体" w:eastAsia="宋体"/>
                <w:b w:val="0"/>
                <w:sz w:val="21"/>
              </w:rPr>
              <w:t>(0.13, 7.55)</w:t>
            </w:r>
          </w:p>
        </w:tc>
      </w:tr>
      <w:tr w14:paraId="5CDF7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C896A1B">
            <w:pPr>
              <w:spacing w:after="0" w:line="240" w:lineRule="auto"/>
              <w:jc w:val="center"/>
            </w:pPr>
            <w:r>
              <w:rPr>
                <w:rFonts w:ascii="宋体" w:hAnsi="宋体" w:eastAsia="宋体"/>
                <w:b w:val="0"/>
                <w:sz w:val="21"/>
              </w:rPr>
              <w:t>鸿运金猪拼盘</w:t>
            </w:r>
          </w:p>
        </w:tc>
        <w:tc>
          <w:tcPr>
            <w:tcW w:w="1729" w:type="dxa"/>
          </w:tcPr>
          <w:p w14:paraId="33824170">
            <w:pPr>
              <w:spacing w:after="0" w:line="240" w:lineRule="auto"/>
              <w:jc w:val="center"/>
            </w:pPr>
            <w:r>
              <w:rPr>
                <w:rFonts w:ascii="宋体" w:hAnsi="宋体" w:eastAsia="宋体"/>
                <w:b w:val="0"/>
                <w:sz w:val="21"/>
              </w:rPr>
              <w:t>22 / 7</w:t>
            </w:r>
          </w:p>
        </w:tc>
        <w:tc>
          <w:tcPr>
            <w:tcW w:w="1729" w:type="dxa"/>
          </w:tcPr>
          <w:p w14:paraId="48BDF473">
            <w:pPr>
              <w:spacing w:after="0" w:line="240" w:lineRule="auto"/>
              <w:jc w:val="center"/>
            </w:pPr>
            <w:r>
              <w:rPr>
                <w:rFonts w:ascii="宋体" w:hAnsi="宋体" w:eastAsia="宋体"/>
                <w:b w:val="0"/>
                <w:sz w:val="21"/>
              </w:rPr>
              <w:t>24 / 5</w:t>
            </w:r>
          </w:p>
        </w:tc>
        <w:tc>
          <w:tcPr>
            <w:tcW w:w="1729" w:type="dxa"/>
          </w:tcPr>
          <w:p w14:paraId="38F38588">
            <w:pPr>
              <w:spacing w:after="0" w:line="240" w:lineRule="auto"/>
              <w:jc w:val="center"/>
            </w:pPr>
            <w:r>
              <w:rPr>
                <w:rFonts w:ascii="宋体" w:hAnsi="宋体" w:eastAsia="宋体"/>
                <w:b w:val="0"/>
                <w:sz w:val="21"/>
              </w:rPr>
              <w:t>0.66</w:t>
            </w:r>
          </w:p>
        </w:tc>
        <w:tc>
          <w:tcPr>
            <w:tcW w:w="1729" w:type="dxa"/>
          </w:tcPr>
          <w:p w14:paraId="67B629EE">
            <w:pPr>
              <w:spacing w:after="0" w:line="240" w:lineRule="auto"/>
              <w:jc w:val="center"/>
            </w:pPr>
            <w:r>
              <w:rPr>
                <w:rFonts w:ascii="宋体" w:hAnsi="宋体" w:eastAsia="宋体"/>
                <w:b w:val="0"/>
                <w:sz w:val="21"/>
              </w:rPr>
              <w:t>(0.18, 2.35)</w:t>
            </w:r>
          </w:p>
        </w:tc>
      </w:tr>
    </w:tbl>
    <w:p w14:paraId="11FD1935">
      <w:pPr>
        <w:spacing w:after="120" w:line="360" w:lineRule="auto"/>
      </w:pPr>
      <w:r>
        <w:rPr>
          <w:rFonts w:ascii="宋体" w:hAnsi="宋体" w:eastAsia="宋体"/>
          <w:b w:val="0"/>
          <w:sz w:val="24"/>
        </w:rPr>
        <w:t>注：素炒粉干的OR值最大，且95%CI不包含1，提示为高度可疑致病食品。</w:t>
      </w:r>
    </w:p>
    <w:p w14:paraId="789CA1F8">
      <w:pPr>
        <w:spacing w:before="200" w:after="120"/>
      </w:pPr>
      <w:r>
        <w:rPr>
          <w:rFonts w:ascii="黑体" w:hAnsi="黑体" w:eastAsia="黑体"/>
          <w:b/>
          <w:color w:val="000000"/>
          <w:sz w:val="28"/>
        </w:rPr>
        <w:t>（二）食品卫生学调查</w:t>
      </w:r>
    </w:p>
    <w:p w14:paraId="640D3833">
      <w:pPr>
        <w:spacing w:before="160" w:after="80"/>
      </w:pPr>
      <w:r>
        <w:rPr>
          <w:rFonts w:ascii="黑体" w:hAnsi="黑体" w:eastAsia="黑体"/>
          <w:b/>
          <w:color w:val="000000"/>
          <w:sz w:val="24"/>
        </w:rPr>
        <w:t>1. 访谈与记录查阅</w:t>
      </w:r>
    </w:p>
    <w:p w14:paraId="003B6572">
      <w:pPr>
        <w:pStyle w:val="16"/>
        <w:spacing w:after="80" w:line="360" w:lineRule="auto"/>
        <w:ind w:left="850"/>
      </w:pPr>
      <w:r>
        <w:rPr>
          <w:rFonts w:ascii="宋体" w:hAnsi="宋体" w:eastAsia="宋体"/>
          <w:b w:val="0"/>
          <w:sz w:val="24"/>
        </w:rPr>
        <w:t>酒店大堂主管钱强确认6月4日寿宴有剩菜留存；</w:t>
      </w:r>
    </w:p>
    <w:p w14:paraId="6E9F467F">
      <w:pPr>
        <w:pStyle w:val="16"/>
        <w:spacing w:after="80" w:line="360" w:lineRule="auto"/>
        <w:ind w:left="850"/>
      </w:pPr>
      <w:r>
        <w:rPr>
          <w:rFonts w:ascii="宋体" w:hAnsi="宋体" w:eastAsia="宋体"/>
          <w:b w:val="0"/>
          <w:sz w:val="24"/>
        </w:rPr>
        <w:t>查阅了进货记录、食谱配方、生产加工流程、关键环节时间温度记录、设备清洁消毒记录、从业人员出勤记录等；</w:t>
      </w:r>
    </w:p>
    <w:p w14:paraId="52A1F8C5">
      <w:pPr>
        <w:pStyle w:val="16"/>
        <w:spacing w:after="80" w:line="360" w:lineRule="auto"/>
        <w:ind w:left="850"/>
      </w:pPr>
      <w:r>
        <w:rPr>
          <w:rFonts w:ascii="宋体" w:hAnsi="宋体" w:eastAsia="宋体"/>
          <w:b w:val="0"/>
          <w:sz w:val="24"/>
        </w:rPr>
        <w:t>从业人员健康证查验情况：后厨有一名工作人员当日请假（身体不适），其余从业人员健康证均在有效期内。</w:t>
      </w:r>
    </w:p>
    <w:p w14:paraId="62DD5889">
      <w:pPr>
        <w:spacing w:before="160" w:after="80"/>
      </w:pPr>
      <w:r>
        <w:rPr>
          <w:rFonts w:ascii="黑体" w:hAnsi="黑体" w:eastAsia="黑体"/>
          <w:b/>
          <w:color w:val="000000"/>
          <w:sz w:val="24"/>
        </w:rPr>
        <w:t>2. 现场勘查重点</w:t>
      </w:r>
    </w:p>
    <w:p w14:paraId="509E6FB7">
      <w:pPr>
        <w:pStyle w:val="16"/>
        <w:spacing w:after="80" w:line="360" w:lineRule="auto"/>
        <w:ind w:left="850"/>
      </w:pPr>
      <w:r>
        <w:rPr>
          <w:rFonts w:ascii="宋体" w:hAnsi="宋体" w:eastAsia="宋体"/>
          <w:b w:val="0"/>
          <w:sz w:val="24"/>
        </w:rPr>
        <w:t>原料储存环节：未发现明显变质原料；</w:t>
      </w:r>
    </w:p>
    <w:p w14:paraId="11F36BC0">
      <w:pPr>
        <w:pStyle w:val="16"/>
        <w:spacing w:after="80" w:line="360" w:lineRule="auto"/>
        <w:ind w:left="850"/>
      </w:pPr>
      <w:r>
        <w:rPr>
          <w:rFonts w:ascii="宋体" w:hAnsi="宋体" w:eastAsia="宋体"/>
          <w:b w:val="0"/>
          <w:sz w:val="24"/>
        </w:rPr>
        <w:t>加工制作过程：存在生熟交叉污染隐患；</w:t>
      </w:r>
    </w:p>
    <w:p w14:paraId="57CBFDBB">
      <w:pPr>
        <w:pStyle w:val="16"/>
        <w:spacing w:after="80" w:line="360" w:lineRule="auto"/>
        <w:ind w:left="850"/>
      </w:pPr>
      <w:r>
        <w:rPr>
          <w:rFonts w:ascii="宋体" w:hAnsi="宋体" w:eastAsia="宋体"/>
          <w:b w:val="0"/>
          <w:sz w:val="24"/>
        </w:rPr>
        <w:t>成品保存条件：剩余食品冷藏保存，但存放时间较长；</w:t>
      </w:r>
    </w:p>
    <w:p w14:paraId="3C7ABF6F">
      <w:pPr>
        <w:pStyle w:val="16"/>
        <w:spacing w:after="80" w:line="360" w:lineRule="auto"/>
        <w:ind w:left="850"/>
      </w:pPr>
      <w:r>
        <w:rPr>
          <w:rFonts w:ascii="宋体" w:hAnsi="宋体" w:eastAsia="宋体"/>
          <w:b w:val="0"/>
          <w:sz w:val="24"/>
        </w:rPr>
        <w:t>可疑环节：素炒粉干加工过程中可能存在加热不充分或熟制后存放不当的情况。</w:t>
      </w:r>
    </w:p>
    <w:p w14:paraId="57B5E10C">
      <w:pPr>
        <w:spacing w:before="160" w:after="80"/>
      </w:pPr>
      <w:r>
        <w:rPr>
          <w:rFonts w:ascii="黑体" w:hAnsi="黑体" w:eastAsia="黑体"/>
          <w:b/>
          <w:color w:val="000000"/>
          <w:sz w:val="24"/>
        </w:rPr>
        <w:t>3. 样本采集</w:t>
      </w:r>
    </w:p>
    <w:p w14:paraId="315209C5">
      <w:pPr>
        <w:pStyle w:val="16"/>
        <w:spacing w:after="80" w:line="360" w:lineRule="auto"/>
        <w:ind w:left="850"/>
      </w:pPr>
      <w:r>
        <w:rPr>
          <w:rFonts w:ascii="宋体" w:hAnsi="宋体" w:eastAsia="宋体"/>
          <w:b w:val="0"/>
          <w:sz w:val="24"/>
        </w:rPr>
        <w:t>采样原则遵循及时性、针对性、适量性、不污染原则；</w:t>
      </w:r>
    </w:p>
    <w:p w14:paraId="628447B4">
      <w:pPr>
        <w:pStyle w:val="16"/>
        <w:spacing w:after="80" w:line="360" w:lineRule="auto"/>
        <w:ind w:left="850"/>
      </w:pPr>
      <w:r>
        <w:rPr>
          <w:rFonts w:ascii="宋体" w:hAnsi="宋体" w:eastAsia="宋体"/>
          <w:b w:val="0"/>
          <w:sz w:val="24"/>
        </w:rPr>
        <w:t>食品样品采集量均在200g以上；</w:t>
      </w:r>
    </w:p>
    <w:p w14:paraId="1657361E">
      <w:pPr>
        <w:pStyle w:val="16"/>
        <w:spacing w:after="80" w:line="360" w:lineRule="auto"/>
        <w:ind w:left="850"/>
      </w:pPr>
      <w:r>
        <w:rPr>
          <w:rFonts w:ascii="宋体" w:hAnsi="宋体" w:eastAsia="宋体"/>
          <w:b w:val="0"/>
          <w:sz w:val="24"/>
        </w:rPr>
        <w:t>采集剩余饭菜（素炒粉干、白灼菜心、水果罐头拼盘等）、原材料（粉干）、食品工用具涂抹样、环境样品及从业人员生物标本；</w:t>
      </w:r>
    </w:p>
    <w:p w14:paraId="1C272870">
      <w:pPr>
        <w:pStyle w:val="16"/>
        <w:spacing w:after="80" w:line="360" w:lineRule="auto"/>
        <w:ind w:left="850"/>
      </w:pPr>
      <w:r>
        <w:rPr>
          <w:rFonts w:ascii="宋体" w:hAnsi="宋体" w:eastAsia="宋体"/>
          <w:b w:val="0"/>
          <w:sz w:val="24"/>
        </w:rPr>
        <w:t>采样记录完整，包括采样时间、地点、数量、采样人及被采样单位签字。</w:t>
      </w:r>
    </w:p>
    <w:p w14:paraId="02F655F5">
      <w:pPr>
        <w:spacing w:before="200" w:after="120"/>
        <w:rPr>
          <w:highlight w:val="yellow"/>
        </w:rPr>
      </w:pPr>
      <w:r>
        <w:rPr>
          <w:rFonts w:ascii="黑体" w:hAnsi="黑体" w:eastAsia="黑体"/>
          <w:b/>
          <w:color w:val="000000"/>
          <w:sz w:val="28"/>
          <w:highlight w:val="yellow"/>
        </w:rPr>
        <w:t>（三）实验室检验结果</w:t>
      </w:r>
    </w:p>
    <w:p w14:paraId="32DDBAD1">
      <w:pPr>
        <w:spacing w:after="120" w:line="360" w:lineRule="auto"/>
        <w:ind w:firstLine="420"/>
      </w:pPr>
      <w:r>
        <w:rPr>
          <w:rFonts w:ascii="宋体" w:hAnsi="宋体" w:eastAsia="宋体"/>
          <w:b w:val="0"/>
          <w:sz w:val="24"/>
        </w:rPr>
        <w:t>调查组共采集66份相关标本进行可疑致病菌检验，主要结果如下：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7357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1F2"/>
          </w:tcPr>
          <w:p w14:paraId="70714AA7">
            <w:pPr>
              <w:spacing w:after="0" w:line="240" w:lineRule="auto"/>
              <w:jc w:val="center"/>
            </w:pPr>
            <w:r>
              <w:rPr>
                <w:rFonts w:ascii="黑体" w:hAnsi="黑体" w:eastAsia="黑体"/>
                <w:b/>
                <w:sz w:val="21"/>
              </w:rPr>
              <w:t>标本类型</w:t>
            </w:r>
          </w:p>
        </w:tc>
        <w:tc>
          <w:tcPr>
            <w:tcW w:w="1729" w:type="dxa"/>
            <w:shd w:val="clear" w:color="auto" w:fill="D9E1F2"/>
          </w:tcPr>
          <w:p w14:paraId="0DF99578">
            <w:pPr>
              <w:spacing w:after="0" w:line="240" w:lineRule="auto"/>
              <w:jc w:val="center"/>
            </w:pPr>
            <w:r>
              <w:rPr>
                <w:rFonts w:ascii="黑体" w:hAnsi="黑体" w:eastAsia="黑体"/>
                <w:b/>
                <w:sz w:val="21"/>
              </w:rPr>
              <w:t>采样日期</w:t>
            </w:r>
          </w:p>
        </w:tc>
        <w:tc>
          <w:tcPr>
            <w:tcW w:w="1729" w:type="dxa"/>
            <w:shd w:val="clear" w:color="auto" w:fill="D9E1F2"/>
          </w:tcPr>
          <w:p w14:paraId="7C0E2C09">
            <w:pPr>
              <w:spacing w:after="0" w:line="240" w:lineRule="auto"/>
              <w:jc w:val="center"/>
            </w:pPr>
            <w:r>
              <w:rPr>
                <w:rFonts w:ascii="黑体" w:hAnsi="黑体" w:eastAsia="黑体"/>
                <w:b/>
                <w:sz w:val="21"/>
              </w:rPr>
              <w:t>份数</w:t>
            </w:r>
          </w:p>
        </w:tc>
        <w:tc>
          <w:tcPr>
            <w:tcW w:w="1729" w:type="dxa"/>
            <w:shd w:val="clear" w:color="auto" w:fill="D9E1F2"/>
          </w:tcPr>
          <w:p w14:paraId="32B71238">
            <w:pPr>
              <w:spacing w:after="0" w:line="240" w:lineRule="auto"/>
              <w:jc w:val="center"/>
            </w:pPr>
            <w:r>
              <w:rPr>
                <w:rFonts w:ascii="黑体" w:hAnsi="黑体" w:eastAsia="黑体"/>
                <w:b/>
                <w:sz w:val="21"/>
              </w:rPr>
              <w:t>肠炎沙门氏菌</w:t>
            </w:r>
            <w:r>
              <w:rPr>
                <w:rFonts w:ascii="黑体" w:hAnsi="黑体" w:eastAsia="黑体"/>
                <w:b/>
                <w:sz w:val="21"/>
              </w:rPr>
              <w:br w:type="textWrapping"/>
            </w:r>
            <w:r>
              <w:rPr>
                <w:rFonts w:ascii="黑体" w:hAnsi="黑体" w:eastAsia="黑体"/>
                <w:b/>
                <w:sz w:val="21"/>
              </w:rPr>
              <w:t>阳性份数</w:t>
            </w:r>
          </w:p>
        </w:tc>
        <w:tc>
          <w:tcPr>
            <w:tcW w:w="1729" w:type="dxa"/>
            <w:shd w:val="clear" w:color="auto" w:fill="D9E1F2"/>
          </w:tcPr>
          <w:p w14:paraId="41477771">
            <w:pPr>
              <w:spacing w:after="0" w:line="240" w:lineRule="auto"/>
              <w:jc w:val="center"/>
            </w:pPr>
            <w:r>
              <w:rPr>
                <w:rFonts w:ascii="黑体" w:hAnsi="黑体" w:eastAsia="黑体"/>
                <w:b/>
                <w:sz w:val="21"/>
              </w:rPr>
              <w:t>金黄色葡萄球菌</w:t>
            </w:r>
            <w:r>
              <w:rPr>
                <w:rFonts w:ascii="黑体" w:hAnsi="黑体" w:eastAsia="黑体"/>
                <w:b/>
                <w:sz w:val="21"/>
              </w:rPr>
              <w:br w:type="textWrapping"/>
            </w:r>
            <w:r>
              <w:rPr>
                <w:rFonts w:ascii="黑体" w:hAnsi="黑体" w:eastAsia="黑体"/>
                <w:b/>
                <w:sz w:val="21"/>
              </w:rPr>
              <w:t>阳性份数</w:t>
            </w:r>
          </w:p>
        </w:tc>
      </w:tr>
      <w:tr w14:paraId="6BAD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EBD787F">
            <w:pPr>
              <w:spacing w:after="0" w:line="240" w:lineRule="auto"/>
              <w:jc w:val="center"/>
            </w:pPr>
            <w:r>
              <w:rPr>
                <w:rFonts w:ascii="宋体" w:hAnsi="宋体" w:eastAsia="宋体"/>
                <w:b w:val="0"/>
                <w:sz w:val="21"/>
              </w:rPr>
              <w:t>留样食品</w:t>
            </w:r>
          </w:p>
        </w:tc>
        <w:tc>
          <w:tcPr>
            <w:tcW w:w="1729" w:type="dxa"/>
          </w:tcPr>
          <w:p w14:paraId="48F2833B">
            <w:pPr>
              <w:spacing w:after="0" w:line="240" w:lineRule="auto"/>
              <w:jc w:val="center"/>
            </w:pPr>
            <w:r>
              <w:rPr>
                <w:rFonts w:ascii="宋体" w:hAnsi="宋体" w:eastAsia="宋体"/>
                <w:b w:val="0"/>
                <w:sz w:val="21"/>
              </w:rPr>
              <w:t>6月6日</w:t>
            </w:r>
          </w:p>
        </w:tc>
        <w:tc>
          <w:tcPr>
            <w:tcW w:w="1729" w:type="dxa"/>
          </w:tcPr>
          <w:p w14:paraId="39B3385B">
            <w:pPr>
              <w:spacing w:after="0" w:line="240" w:lineRule="auto"/>
              <w:jc w:val="center"/>
            </w:pPr>
            <w:r>
              <w:rPr>
                <w:rFonts w:ascii="宋体" w:hAnsi="宋体" w:eastAsia="宋体"/>
                <w:b w:val="0"/>
                <w:sz w:val="21"/>
              </w:rPr>
              <w:t>15</w:t>
            </w:r>
          </w:p>
        </w:tc>
        <w:tc>
          <w:tcPr>
            <w:tcW w:w="1729" w:type="dxa"/>
          </w:tcPr>
          <w:p w14:paraId="348BC50A">
            <w:pPr>
              <w:spacing w:after="0" w:line="240" w:lineRule="auto"/>
              <w:jc w:val="center"/>
            </w:pPr>
            <w:r>
              <w:rPr>
                <w:rFonts w:ascii="宋体" w:hAnsi="宋体" w:eastAsia="宋体"/>
                <w:b w:val="0"/>
                <w:sz w:val="21"/>
              </w:rPr>
              <w:t>7</w:t>
            </w:r>
          </w:p>
        </w:tc>
        <w:tc>
          <w:tcPr>
            <w:tcW w:w="1729" w:type="dxa"/>
          </w:tcPr>
          <w:p w14:paraId="655EED10">
            <w:pPr>
              <w:spacing w:after="0" w:line="240" w:lineRule="auto"/>
              <w:jc w:val="center"/>
            </w:pPr>
            <w:r>
              <w:rPr>
                <w:rFonts w:ascii="宋体" w:hAnsi="宋体" w:eastAsia="宋体"/>
                <w:b w:val="0"/>
                <w:sz w:val="21"/>
              </w:rPr>
              <w:t>3</w:t>
            </w:r>
          </w:p>
        </w:tc>
      </w:tr>
      <w:tr w14:paraId="46A2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200EB97">
            <w:pPr>
              <w:spacing w:after="0" w:line="240" w:lineRule="auto"/>
              <w:jc w:val="center"/>
            </w:pPr>
            <w:r>
              <w:rPr>
                <w:rFonts w:ascii="宋体" w:hAnsi="宋体" w:eastAsia="宋体"/>
                <w:b w:val="0"/>
                <w:sz w:val="21"/>
              </w:rPr>
              <w:t>患者大便或肛拭子</w:t>
            </w:r>
          </w:p>
        </w:tc>
        <w:tc>
          <w:tcPr>
            <w:tcW w:w="1729" w:type="dxa"/>
          </w:tcPr>
          <w:p w14:paraId="6DFF1397">
            <w:pPr>
              <w:spacing w:after="0" w:line="240" w:lineRule="auto"/>
              <w:jc w:val="center"/>
            </w:pPr>
            <w:r>
              <w:rPr>
                <w:rFonts w:ascii="宋体" w:hAnsi="宋体" w:eastAsia="宋体"/>
                <w:b w:val="0"/>
                <w:sz w:val="21"/>
              </w:rPr>
              <w:t>6月6日</w:t>
            </w:r>
          </w:p>
        </w:tc>
        <w:tc>
          <w:tcPr>
            <w:tcW w:w="1729" w:type="dxa"/>
          </w:tcPr>
          <w:p w14:paraId="27B479C9">
            <w:pPr>
              <w:spacing w:after="0" w:line="240" w:lineRule="auto"/>
              <w:jc w:val="center"/>
            </w:pPr>
            <w:r>
              <w:rPr>
                <w:rFonts w:ascii="宋体" w:hAnsi="宋体" w:eastAsia="宋体"/>
                <w:b w:val="0"/>
                <w:sz w:val="21"/>
              </w:rPr>
              <w:t>20</w:t>
            </w:r>
          </w:p>
        </w:tc>
        <w:tc>
          <w:tcPr>
            <w:tcW w:w="1729" w:type="dxa"/>
          </w:tcPr>
          <w:p w14:paraId="0B7C8733">
            <w:pPr>
              <w:spacing w:after="0" w:line="240" w:lineRule="auto"/>
              <w:jc w:val="center"/>
            </w:pPr>
            <w:r>
              <w:rPr>
                <w:rFonts w:ascii="宋体" w:hAnsi="宋体" w:eastAsia="宋体"/>
                <w:b w:val="0"/>
                <w:sz w:val="21"/>
              </w:rPr>
              <w:t>16</w:t>
            </w:r>
          </w:p>
        </w:tc>
        <w:tc>
          <w:tcPr>
            <w:tcW w:w="1729" w:type="dxa"/>
          </w:tcPr>
          <w:p w14:paraId="39D16054">
            <w:pPr>
              <w:spacing w:after="0" w:line="240" w:lineRule="auto"/>
              <w:jc w:val="center"/>
            </w:pPr>
            <w:r>
              <w:rPr>
                <w:rFonts w:ascii="宋体" w:hAnsi="宋体" w:eastAsia="宋体"/>
                <w:b w:val="0"/>
                <w:sz w:val="21"/>
              </w:rPr>
              <w:t>0</w:t>
            </w:r>
          </w:p>
        </w:tc>
      </w:tr>
      <w:tr w14:paraId="39ECA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B3D273D">
            <w:pPr>
              <w:spacing w:after="0" w:line="240" w:lineRule="auto"/>
              <w:jc w:val="center"/>
            </w:pPr>
            <w:r>
              <w:rPr>
                <w:rFonts w:ascii="宋体" w:hAnsi="宋体" w:eastAsia="宋体"/>
                <w:b w:val="0"/>
                <w:sz w:val="21"/>
              </w:rPr>
              <w:t>厨师肛拭子</w:t>
            </w:r>
          </w:p>
        </w:tc>
        <w:tc>
          <w:tcPr>
            <w:tcW w:w="1729" w:type="dxa"/>
          </w:tcPr>
          <w:p w14:paraId="689741CE">
            <w:pPr>
              <w:spacing w:after="0" w:line="240" w:lineRule="auto"/>
              <w:jc w:val="center"/>
            </w:pPr>
            <w:r>
              <w:rPr>
                <w:rFonts w:ascii="宋体" w:hAnsi="宋体" w:eastAsia="宋体"/>
                <w:b w:val="0"/>
                <w:sz w:val="21"/>
              </w:rPr>
              <w:t>6月6日</w:t>
            </w:r>
          </w:p>
        </w:tc>
        <w:tc>
          <w:tcPr>
            <w:tcW w:w="1729" w:type="dxa"/>
          </w:tcPr>
          <w:p w14:paraId="695CCF54">
            <w:pPr>
              <w:spacing w:after="0" w:line="240" w:lineRule="auto"/>
              <w:jc w:val="center"/>
            </w:pPr>
            <w:r>
              <w:rPr>
                <w:rFonts w:ascii="宋体" w:hAnsi="宋体" w:eastAsia="宋体"/>
                <w:b w:val="0"/>
                <w:sz w:val="21"/>
              </w:rPr>
              <w:t>6</w:t>
            </w:r>
          </w:p>
        </w:tc>
        <w:tc>
          <w:tcPr>
            <w:tcW w:w="1729" w:type="dxa"/>
          </w:tcPr>
          <w:p w14:paraId="4A2D439B">
            <w:pPr>
              <w:spacing w:after="0" w:line="240" w:lineRule="auto"/>
              <w:jc w:val="center"/>
            </w:pPr>
            <w:r>
              <w:rPr>
                <w:rFonts w:ascii="宋体" w:hAnsi="宋体" w:eastAsia="宋体"/>
                <w:b w:val="0"/>
                <w:sz w:val="21"/>
              </w:rPr>
              <w:t>0</w:t>
            </w:r>
          </w:p>
        </w:tc>
        <w:tc>
          <w:tcPr>
            <w:tcW w:w="1729" w:type="dxa"/>
          </w:tcPr>
          <w:p w14:paraId="7523CB47">
            <w:pPr>
              <w:spacing w:after="0" w:line="240" w:lineRule="auto"/>
              <w:jc w:val="center"/>
            </w:pPr>
            <w:r>
              <w:rPr>
                <w:rFonts w:ascii="宋体" w:hAnsi="宋体" w:eastAsia="宋体"/>
                <w:b w:val="0"/>
                <w:sz w:val="21"/>
              </w:rPr>
              <w:t>2</w:t>
            </w:r>
          </w:p>
        </w:tc>
      </w:tr>
      <w:tr w14:paraId="4246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19DDBEB8">
            <w:pPr>
              <w:spacing w:after="0" w:line="240" w:lineRule="auto"/>
              <w:jc w:val="center"/>
            </w:pPr>
            <w:r>
              <w:rPr>
                <w:rFonts w:ascii="宋体" w:hAnsi="宋体" w:eastAsia="宋体"/>
                <w:b w:val="0"/>
                <w:sz w:val="21"/>
              </w:rPr>
              <w:t>厨房助手肛拭子</w:t>
            </w:r>
          </w:p>
        </w:tc>
        <w:tc>
          <w:tcPr>
            <w:tcW w:w="1729" w:type="dxa"/>
          </w:tcPr>
          <w:p w14:paraId="4A1D26D9">
            <w:pPr>
              <w:spacing w:after="0" w:line="240" w:lineRule="auto"/>
              <w:jc w:val="center"/>
            </w:pPr>
            <w:r>
              <w:rPr>
                <w:rFonts w:ascii="宋体" w:hAnsi="宋体" w:eastAsia="宋体"/>
                <w:b w:val="0"/>
                <w:sz w:val="21"/>
              </w:rPr>
              <w:t>6月7日</w:t>
            </w:r>
          </w:p>
        </w:tc>
        <w:tc>
          <w:tcPr>
            <w:tcW w:w="1729" w:type="dxa"/>
          </w:tcPr>
          <w:p w14:paraId="7D8AD3CA">
            <w:pPr>
              <w:spacing w:after="0" w:line="240" w:lineRule="auto"/>
              <w:jc w:val="center"/>
            </w:pPr>
            <w:r>
              <w:rPr>
                <w:rFonts w:ascii="宋体" w:hAnsi="宋体" w:eastAsia="宋体"/>
                <w:b w:val="0"/>
                <w:sz w:val="21"/>
              </w:rPr>
              <w:t>6</w:t>
            </w:r>
          </w:p>
        </w:tc>
        <w:tc>
          <w:tcPr>
            <w:tcW w:w="1729" w:type="dxa"/>
          </w:tcPr>
          <w:p w14:paraId="7A409E3E">
            <w:pPr>
              <w:spacing w:after="0" w:line="240" w:lineRule="auto"/>
              <w:jc w:val="center"/>
            </w:pPr>
            <w:r>
              <w:rPr>
                <w:rFonts w:ascii="宋体" w:hAnsi="宋体" w:eastAsia="宋体"/>
                <w:b w:val="0"/>
                <w:sz w:val="21"/>
              </w:rPr>
              <w:t>2</w:t>
            </w:r>
          </w:p>
        </w:tc>
        <w:tc>
          <w:tcPr>
            <w:tcW w:w="1729" w:type="dxa"/>
          </w:tcPr>
          <w:p w14:paraId="4A2279E2">
            <w:pPr>
              <w:spacing w:after="0" w:line="240" w:lineRule="auto"/>
              <w:jc w:val="center"/>
            </w:pPr>
            <w:r>
              <w:rPr>
                <w:rFonts w:ascii="宋体" w:hAnsi="宋体" w:eastAsia="宋体"/>
                <w:b w:val="0"/>
                <w:sz w:val="21"/>
              </w:rPr>
              <w:t>0</w:t>
            </w:r>
          </w:p>
        </w:tc>
      </w:tr>
      <w:tr w14:paraId="07E3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45559E3">
            <w:pPr>
              <w:spacing w:after="0" w:line="240" w:lineRule="auto"/>
              <w:jc w:val="center"/>
            </w:pPr>
            <w:r>
              <w:rPr>
                <w:rFonts w:ascii="宋体" w:hAnsi="宋体" w:eastAsia="宋体"/>
                <w:b w:val="0"/>
                <w:sz w:val="21"/>
              </w:rPr>
              <w:t>厨房环境样品</w:t>
            </w:r>
          </w:p>
        </w:tc>
        <w:tc>
          <w:tcPr>
            <w:tcW w:w="1729" w:type="dxa"/>
          </w:tcPr>
          <w:p w14:paraId="7F7851FF">
            <w:pPr>
              <w:spacing w:after="0" w:line="240" w:lineRule="auto"/>
              <w:jc w:val="center"/>
            </w:pPr>
            <w:r>
              <w:rPr>
                <w:rFonts w:ascii="宋体" w:hAnsi="宋体" w:eastAsia="宋体"/>
                <w:b w:val="0"/>
                <w:sz w:val="21"/>
              </w:rPr>
              <w:t>6月6日</w:t>
            </w:r>
          </w:p>
        </w:tc>
        <w:tc>
          <w:tcPr>
            <w:tcW w:w="1729" w:type="dxa"/>
          </w:tcPr>
          <w:p w14:paraId="2455E915">
            <w:pPr>
              <w:spacing w:after="0" w:line="240" w:lineRule="auto"/>
              <w:jc w:val="center"/>
            </w:pPr>
            <w:r>
              <w:rPr>
                <w:rFonts w:ascii="宋体" w:hAnsi="宋体" w:eastAsia="宋体"/>
                <w:b w:val="0"/>
                <w:sz w:val="21"/>
              </w:rPr>
              <w:t>10</w:t>
            </w:r>
          </w:p>
        </w:tc>
        <w:tc>
          <w:tcPr>
            <w:tcW w:w="1729" w:type="dxa"/>
          </w:tcPr>
          <w:p w14:paraId="1D8589A3">
            <w:pPr>
              <w:spacing w:after="0" w:line="240" w:lineRule="auto"/>
              <w:jc w:val="center"/>
            </w:pPr>
            <w:r>
              <w:rPr>
                <w:rFonts w:ascii="宋体" w:hAnsi="宋体" w:eastAsia="宋体"/>
                <w:b w:val="0"/>
                <w:sz w:val="21"/>
              </w:rPr>
              <w:t>0</w:t>
            </w:r>
          </w:p>
        </w:tc>
        <w:tc>
          <w:tcPr>
            <w:tcW w:w="1729" w:type="dxa"/>
          </w:tcPr>
          <w:p w14:paraId="578C8992">
            <w:pPr>
              <w:spacing w:after="0" w:line="240" w:lineRule="auto"/>
              <w:jc w:val="center"/>
            </w:pPr>
            <w:r>
              <w:rPr>
                <w:rFonts w:ascii="宋体" w:hAnsi="宋体" w:eastAsia="宋体"/>
                <w:b w:val="0"/>
                <w:sz w:val="21"/>
              </w:rPr>
              <w:t>0</w:t>
            </w:r>
          </w:p>
        </w:tc>
      </w:tr>
      <w:tr w14:paraId="5FA1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A6C14F2">
            <w:pPr>
              <w:spacing w:after="0" w:line="240" w:lineRule="auto"/>
              <w:jc w:val="center"/>
            </w:pPr>
            <w:r>
              <w:rPr>
                <w:rFonts w:ascii="宋体" w:hAnsi="宋体" w:eastAsia="宋体"/>
                <w:b w:val="0"/>
                <w:sz w:val="21"/>
              </w:rPr>
              <w:t>合计</w:t>
            </w:r>
          </w:p>
        </w:tc>
        <w:tc>
          <w:tcPr>
            <w:tcW w:w="1729" w:type="dxa"/>
          </w:tcPr>
          <w:p w14:paraId="046AA1B2">
            <w:pPr>
              <w:spacing w:after="0" w:line="240" w:lineRule="auto"/>
              <w:jc w:val="center"/>
            </w:pPr>
            <w:r>
              <w:rPr>
                <w:rFonts w:ascii="宋体" w:hAnsi="宋体" w:eastAsia="宋体"/>
                <w:b w:val="0"/>
                <w:sz w:val="21"/>
              </w:rPr>
              <w:t>—</w:t>
            </w:r>
          </w:p>
        </w:tc>
        <w:tc>
          <w:tcPr>
            <w:tcW w:w="1729" w:type="dxa"/>
          </w:tcPr>
          <w:p w14:paraId="12088ED0">
            <w:pPr>
              <w:spacing w:after="0" w:line="240" w:lineRule="auto"/>
              <w:jc w:val="center"/>
            </w:pPr>
            <w:r>
              <w:rPr>
                <w:rFonts w:ascii="宋体" w:hAnsi="宋体" w:eastAsia="宋体"/>
                <w:b w:val="0"/>
                <w:sz w:val="21"/>
              </w:rPr>
              <w:t>57</w:t>
            </w:r>
          </w:p>
        </w:tc>
        <w:tc>
          <w:tcPr>
            <w:tcW w:w="1729" w:type="dxa"/>
          </w:tcPr>
          <w:p w14:paraId="30E823B9">
            <w:pPr>
              <w:spacing w:after="0" w:line="240" w:lineRule="auto"/>
              <w:jc w:val="center"/>
            </w:pPr>
            <w:r>
              <w:rPr>
                <w:rFonts w:ascii="宋体" w:hAnsi="宋体" w:eastAsia="宋体"/>
                <w:b w:val="0"/>
                <w:sz w:val="21"/>
              </w:rPr>
              <w:t>25</w:t>
            </w:r>
          </w:p>
        </w:tc>
        <w:tc>
          <w:tcPr>
            <w:tcW w:w="1729" w:type="dxa"/>
          </w:tcPr>
          <w:p w14:paraId="063BF56A">
            <w:pPr>
              <w:spacing w:after="0" w:line="240" w:lineRule="auto"/>
              <w:jc w:val="center"/>
            </w:pPr>
            <w:r>
              <w:rPr>
                <w:rFonts w:ascii="宋体" w:hAnsi="宋体" w:eastAsia="宋体"/>
                <w:b w:val="0"/>
                <w:sz w:val="21"/>
              </w:rPr>
              <w:t>5</w:t>
            </w:r>
          </w:p>
        </w:tc>
      </w:tr>
    </w:tbl>
    <w:p w14:paraId="4E687D3F">
      <w:pPr>
        <w:spacing w:before="160" w:after="80"/>
      </w:pPr>
      <w:r>
        <w:rPr>
          <w:rFonts w:ascii="黑体" w:hAnsi="黑体" w:eastAsia="黑体"/>
          <w:b/>
          <w:color w:val="000000"/>
          <w:sz w:val="24"/>
        </w:rPr>
        <w:t>关键发现：</w:t>
      </w:r>
    </w:p>
    <w:p w14:paraId="04BC38FD">
      <w:pPr>
        <w:pStyle w:val="16"/>
        <w:spacing w:after="80" w:line="360" w:lineRule="auto"/>
        <w:ind w:left="850"/>
      </w:pPr>
      <w:r>
        <w:rPr>
          <w:rFonts w:ascii="宋体" w:hAnsi="宋体" w:eastAsia="宋体"/>
          <w:b w:val="0"/>
          <w:sz w:val="24"/>
        </w:rPr>
        <w:t>患者生物标本中沙门氏菌阳性率极高（16/20，80%），且未检出金黄色葡萄球菌；</w:t>
      </w:r>
    </w:p>
    <w:p w14:paraId="17A81DFB">
      <w:pPr>
        <w:pStyle w:val="16"/>
        <w:spacing w:after="80" w:line="360" w:lineRule="auto"/>
        <w:ind w:left="850"/>
      </w:pPr>
      <w:r>
        <w:rPr>
          <w:rFonts w:ascii="宋体" w:hAnsi="宋体" w:eastAsia="宋体"/>
          <w:b w:val="0"/>
          <w:sz w:val="24"/>
        </w:rPr>
        <w:t>留样食品中沙门氏菌阳性份数最多（7份）；</w:t>
      </w:r>
    </w:p>
    <w:p w14:paraId="0EABE11A">
      <w:pPr>
        <w:pStyle w:val="16"/>
        <w:spacing w:after="80" w:line="360" w:lineRule="auto"/>
        <w:ind w:left="850"/>
      </w:pPr>
      <w:r>
        <w:rPr>
          <w:rFonts w:ascii="宋体" w:hAnsi="宋体" w:eastAsia="宋体"/>
          <w:b w:val="0"/>
          <w:sz w:val="24"/>
        </w:rPr>
        <w:t>厨房助手肛拭子中检出沙门氏菌，提示从业人员可能为污染来源之一；</w:t>
      </w:r>
    </w:p>
    <w:p w14:paraId="675692CB">
      <w:pPr>
        <w:pStyle w:val="16"/>
        <w:spacing w:after="80" w:line="360" w:lineRule="auto"/>
        <w:ind w:left="850"/>
      </w:pPr>
      <w:r>
        <w:rPr>
          <w:rFonts w:ascii="宋体" w:hAnsi="宋体" w:eastAsia="宋体"/>
          <w:b w:val="0"/>
          <w:sz w:val="24"/>
        </w:rPr>
        <w:t>厨师肛拭子中检出金黄色葡萄球菌，但患者标本中未检出，关联性较弱；</w:t>
      </w:r>
    </w:p>
    <w:p w14:paraId="4A0AA00E">
      <w:pPr>
        <w:pStyle w:val="16"/>
        <w:spacing w:after="80" w:line="360" w:lineRule="auto"/>
        <w:ind w:left="850"/>
      </w:pPr>
      <w:r>
        <w:rPr>
          <w:rFonts w:ascii="宋体" w:hAnsi="宋体" w:eastAsia="宋体"/>
          <w:b w:val="0"/>
          <w:sz w:val="24"/>
        </w:rPr>
        <w:t>脉冲场凝胶电泳（PFGE）分子分型结果显示，患者标本、留样食品及厨房助手标本中分离的沙门氏菌株具有同源性。</w:t>
      </w:r>
    </w:p>
    <w:p w14:paraId="6353ED82">
      <w:pPr>
        <w:spacing w:after="120" w:line="360" w:lineRule="auto"/>
        <w:ind w:firstLine="420"/>
      </w:pPr>
      <w:r>
        <w:rPr>
          <w:rFonts w:ascii="宋体" w:hAnsi="宋体" w:eastAsia="宋体"/>
          <w:b/>
          <w:sz w:val="24"/>
        </w:rPr>
        <w:t>致病因子判定：综合以上结果，本次暴发的致病因子为沙门氏菌。虽然检出金黄色葡萄球菌，但患者标本中未检出，且与病例关联性不足，故排除其为主要致病因子。</w:t>
      </w:r>
    </w:p>
    <w:p w14:paraId="18024408">
      <w:pPr>
        <w:spacing w:before="240" w:after="160"/>
      </w:pPr>
      <w:r>
        <w:rPr>
          <w:rFonts w:ascii="黑体" w:hAnsi="黑体" w:eastAsia="黑体"/>
          <w:b/>
          <w:color w:val="000000"/>
          <w:sz w:val="32"/>
        </w:rPr>
        <w:t>五、</w:t>
      </w:r>
      <w:r>
        <w:rPr>
          <w:rFonts w:ascii="黑体" w:hAnsi="黑体" w:eastAsia="黑体"/>
          <w:b/>
          <w:color w:val="000000"/>
          <w:sz w:val="32"/>
          <w:highlight w:val="yellow"/>
        </w:rPr>
        <w:t>调查结论</w:t>
      </w:r>
    </w:p>
    <w:p w14:paraId="1A8922B6">
      <w:pPr>
        <w:spacing w:before="200" w:after="120"/>
      </w:pPr>
      <w:r>
        <w:rPr>
          <w:rFonts w:ascii="黑体" w:hAnsi="黑体" w:eastAsia="黑体"/>
          <w:b/>
          <w:color w:val="000000"/>
          <w:sz w:val="28"/>
        </w:rPr>
        <w:t>（一）事故定性</w:t>
      </w:r>
    </w:p>
    <w:p w14:paraId="4588F1B4">
      <w:pPr>
        <w:spacing w:after="120" w:line="360" w:lineRule="auto"/>
        <w:ind w:firstLine="420"/>
      </w:pPr>
      <w:r>
        <w:rPr>
          <w:rFonts w:ascii="宋体" w:hAnsi="宋体" w:eastAsia="宋体"/>
          <w:b w:val="0"/>
          <w:sz w:val="24"/>
        </w:rPr>
        <w:t>根据《食品安全事故流行病学调查工作规范》，结合现场流行病学调查、食品卫生学调查和实验室检验结果，本次事件定性为一起由沙门氏菌引起的食品安全事故（食物中毒）。</w:t>
      </w:r>
    </w:p>
    <w:p w14:paraId="60E0D954">
      <w:pPr>
        <w:spacing w:before="200" w:after="120"/>
      </w:pPr>
      <w:r>
        <w:rPr>
          <w:rFonts w:ascii="黑体" w:hAnsi="黑体" w:eastAsia="黑体"/>
          <w:b/>
          <w:color w:val="000000"/>
          <w:sz w:val="28"/>
        </w:rPr>
        <w:t>（二）调查结论内容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669"/>
      </w:tblGrid>
      <w:tr w14:paraId="4B11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9E1F2"/>
          </w:tcPr>
          <w:p w14:paraId="0ED78A88">
            <w:pPr>
              <w:spacing w:after="0" w:line="240" w:lineRule="auto"/>
              <w:jc w:val="center"/>
            </w:pPr>
            <w:r>
              <w:rPr>
                <w:rFonts w:ascii="黑体" w:hAnsi="黑体" w:eastAsia="黑体"/>
                <w:b/>
                <w:sz w:val="22"/>
              </w:rPr>
              <w:t>项目</w:t>
            </w:r>
          </w:p>
        </w:tc>
        <w:tc>
          <w:tcPr>
            <w:tcW w:w="5669" w:type="dxa"/>
            <w:shd w:val="clear" w:color="auto" w:fill="D9E1F2"/>
          </w:tcPr>
          <w:p w14:paraId="3ABEE916">
            <w:pPr>
              <w:spacing w:after="0" w:line="240" w:lineRule="auto"/>
              <w:jc w:val="center"/>
            </w:pPr>
            <w:r>
              <w:rPr>
                <w:rFonts w:ascii="黑体" w:hAnsi="黑体" w:eastAsia="黑体"/>
                <w:b/>
                <w:sz w:val="22"/>
              </w:rPr>
              <w:t>结论</w:t>
            </w:r>
          </w:p>
        </w:tc>
      </w:tr>
      <w:tr w14:paraId="0FDF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D985BEC">
            <w:pPr>
              <w:spacing w:after="0" w:line="240" w:lineRule="auto"/>
              <w:jc w:val="center"/>
            </w:pPr>
            <w:r>
              <w:rPr>
                <w:rFonts w:ascii="宋体" w:hAnsi="宋体" w:eastAsia="宋体"/>
                <w:b/>
                <w:sz w:val="22"/>
              </w:rPr>
              <w:t>是否定性为食品安全事故</w:t>
            </w:r>
          </w:p>
        </w:tc>
        <w:tc>
          <w:tcPr>
            <w:tcW w:w="5669" w:type="dxa"/>
          </w:tcPr>
          <w:p w14:paraId="3FB9B834">
            <w:pPr>
              <w:spacing w:after="0" w:line="240" w:lineRule="auto"/>
            </w:pPr>
            <w:r>
              <w:rPr>
                <w:rFonts w:ascii="宋体" w:hAnsi="宋体" w:eastAsia="宋体"/>
                <w:b w:val="0"/>
                <w:sz w:val="22"/>
              </w:rPr>
              <w:t>是，属于细菌性食物中毒</w:t>
            </w:r>
          </w:p>
        </w:tc>
      </w:tr>
      <w:tr w14:paraId="09EB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E674FF9">
            <w:pPr>
              <w:spacing w:after="0" w:line="240" w:lineRule="auto"/>
              <w:jc w:val="center"/>
            </w:pPr>
            <w:r>
              <w:rPr>
                <w:rFonts w:ascii="宋体" w:hAnsi="宋体" w:eastAsia="宋体"/>
                <w:b/>
                <w:sz w:val="22"/>
              </w:rPr>
              <w:t>事故范围</w:t>
            </w:r>
          </w:p>
        </w:tc>
        <w:tc>
          <w:tcPr>
            <w:tcW w:w="5669" w:type="dxa"/>
          </w:tcPr>
          <w:p w14:paraId="510D6F86">
            <w:pPr>
              <w:spacing w:after="0" w:line="240" w:lineRule="auto"/>
            </w:pPr>
            <w:r>
              <w:rPr>
                <w:rFonts w:ascii="宋体" w:hAnsi="宋体" w:eastAsia="宋体"/>
                <w:b w:val="0"/>
                <w:sz w:val="22"/>
              </w:rPr>
              <w:t>H酒店6月4日晚寿宴就餐人员</w:t>
            </w:r>
          </w:p>
        </w:tc>
      </w:tr>
      <w:tr w14:paraId="0B7E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19CDF53">
            <w:pPr>
              <w:spacing w:after="0" w:line="240" w:lineRule="auto"/>
              <w:jc w:val="center"/>
            </w:pPr>
            <w:r>
              <w:rPr>
                <w:rFonts w:ascii="宋体" w:hAnsi="宋体" w:eastAsia="宋体"/>
                <w:b/>
                <w:sz w:val="22"/>
              </w:rPr>
              <w:t>发病人数</w:t>
            </w:r>
          </w:p>
        </w:tc>
        <w:tc>
          <w:tcPr>
            <w:tcW w:w="5669" w:type="dxa"/>
          </w:tcPr>
          <w:p w14:paraId="0E795339">
            <w:pPr>
              <w:spacing w:after="0" w:line="240" w:lineRule="auto"/>
            </w:pPr>
            <w:r>
              <w:rPr>
                <w:rFonts w:ascii="宋体" w:hAnsi="宋体" w:eastAsia="宋体"/>
                <w:b w:val="0"/>
                <w:sz w:val="22"/>
              </w:rPr>
              <w:t>29例（无死亡、无危重病例）</w:t>
            </w:r>
          </w:p>
        </w:tc>
      </w:tr>
      <w:tr w14:paraId="3237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DBA0661">
            <w:pPr>
              <w:spacing w:after="0" w:line="240" w:lineRule="auto"/>
              <w:jc w:val="center"/>
            </w:pPr>
            <w:r>
              <w:rPr>
                <w:rFonts w:ascii="宋体" w:hAnsi="宋体" w:eastAsia="宋体"/>
                <w:b/>
                <w:sz w:val="22"/>
              </w:rPr>
              <w:t>致病因子</w:t>
            </w:r>
          </w:p>
        </w:tc>
        <w:tc>
          <w:tcPr>
            <w:tcW w:w="5669" w:type="dxa"/>
          </w:tcPr>
          <w:p w14:paraId="74978E05">
            <w:pPr>
              <w:spacing w:after="0" w:line="240" w:lineRule="auto"/>
            </w:pPr>
            <w:r>
              <w:rPr>
                <w:rFonts w:ascii="宋体" w:hAnsi="宋体" w:eastAsia="宋体"/>
                <w:b w:val="0"/>
                <w:sz w:val="22"/>
              </w:rPr>
              <w:t>肠炎沙门氏菌（Salmonella enteritidis）</w:t>
            </w:r>
          </w:p>
        </w:tc>
      </w:tr>
      <w:tr w14:paraId="0253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0CDC30F">
            <w:pPr>
              <w:spacing w:after="0" w:line="240" w:lineRule="auto"/>
              <w:jc w:val="center"/>
            </w:pPr>
            <w:r>
              <w:rPr>
                <w:rFonts w:ascii="宋体" w:hAnsi="宋体" w:eastAsia="宋体"/>
                <w:b/>
                <w:sz w:val="22"/>
              </w:rPr>
              <w:t>污染食品</w:t>
            </w:r>
          </w:p>
        </w:tc>
        <w:tc>
          <w:tcPr>
            <w:tcW w:w="5669" w:type="dxa"/>
          </w:tcPr>
          <w:p w14:paraId="653840D5">
            <w:pPr>
              <w:spacing w:after="0" w:line="240" w:lineRule="auto"/>
            </w:pPr>
            <w:r>
              <w:rPr>
                <w:rFonts w:ascii="宋体" w:hAnsi="宋体" w:eastAsia="宋体"/>
                <w:b w:val="0"/>
                <w:sz w:val="22"/>
              </w:rPr>
              <w:t>素炒粉干</w:t>
            </w:r>
          </w:p>
        </w:tc>
      </w:tr>
      <w:tr w14:paraId="25A3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4277010">
            <w:pPr>
              <w:spacing w:after="0" w:line="240" w:lineRule="auto"/>
              <w:jc w:val="center"/>
            </w:pPr>
            <w:r>
              <w:rPr>
                <w:rFonts w:ascii="宋体" w:hAnsi="宋体" w:eastAsia="宋体"/>
                <w:b/>
                <w:sz w:val="22"/>
              </w:rPr>
              <w:t>污染原因</w:t>
            </w:r>
          </w:p>
        </w:tc>
        <w:tc>
          <w:tcPr>
            <w:tcW w:w="5669" w:type="dxa"/>
          </w:tcPr>
          <w:p w14:paraId="2F821A81">
            <w:pPr>
              <w:spacing w:after="0" w:line="240" w:lineRule="auto"/>
            </w:pPr>
            <w:r>
              <w:rPr>
                <w:rFonts w:ascii="宋体" w:hAnsi="宋体" w:eastAsia="宋体"/>
                <w:b w:val="0"/>
                <w:sz w:val="22"/>
              </w:rPr>
              <w:t>加工过程污染（可能存在生熟交叉污染或熟制后存放不当，被带菌从业人员或受污染工用具污染）</w:t>
            </w:r>
          </w:p>
        </w:tc>
      </w:tr>
    </w:tbl>
    <w:p w14:paraId="3ECD78C1">
      <w:pPr>
        <w:spacing w:before="200" w:after="120"/>
      </w:pPr>
      <w:r>
        <w:rPr>
          <w:rFonts w:ascii="黑体" w:hAnsi="黑体" w:eastAsia="黑体"/>
          <w:b/>
          <w:color w:val="000000"/>
          <w:sz w:val="28"/>
        </w:rPr>
        <w:t>（三）因果推论依据</w:t>
      </w:r>
    </w:p>
    <w:p w14:paraId="7C61F2B6">
      <w:pPr>
        <w:spacing w:before="160" w:after="80"/>
      </w:pPr>
      <w:r>
        <w:rPr>
          <w:rFonts w:ascii="黑体" w:hAnsi="黑体" w:eastAsia="黑体"/>
          <w:b/>
          <w:color w:val="000000"/>
          <w:sz w:val="24"/>
        </w:rPr>
        <w:t>1. 关联的时间顺序</w:t>
      </w:r>
    </w:p>
    <w:p w14:paraId="32DFC57A">
      <w:pPr>
        <w:spacing w:after="120" w:line="360" w:lineRule="auto"/>
        <w:ind w:firstLine="420"/>
      </w:pPr>
      <w:r>
        <w:rPr>
          <w:rFonts w:ascii="宋体" w:hAnsi="宋体" w:eastAsia="宋体"/>
          <w:b w:val="0"/>
          <w:sz w:val="24"/>
        </w:rPr>
        <w:t>可疑食品（素炒粉干）进食在前（6月4日晚），发病在后（6月4日22时起），符合病因链时序。</w:t>
      </w:r>
    </w:p>
    <w:p w14:paraId="421452B4">
      <w:pPr>
        <w:spacing w:before="160" w:after="80"/>
      </w:pPr>
      <w:r>
        <w:rPr>
          <w:rFonts w:ascii="黑体" w:hAnsi="黑体" w:eastAsia="黑体"/>
          <w:b/>
          <w:color w:val="000000"/>
          <w:sz w:val="24"/>
        </w:rPr>
        <w:t>2. 关联的特异性</w:t>
      </w:r>
    </w:p>
    <w:p w14:paraId="0051A477">
      <w:pPr>
        <w:spacing w:after="120" w:line="360" w:lineRule="auto"/>
        <w:ind w:firstLine="420"/>
      </w:pPr>
      <w:r>
        <w:rPr>
          <w:rFonts w:ascii="宋体" w:hAnsi="宋体" w:eastAsia="宋体"/>
          <w:b w:val="0"/>
          <w:sz w:val="24"/>
        </w:rPr>
        <w:t>病例组中进食素炒粉干的比例（93.1%，27/29）显著高于对照组（27.6%，8/29），未进食素炒粉干者发病风险极低。</w:t>
      </w:r>
    </w:p>
    <w:p w14:paraId="7558D091">
      <w:pPr>
        <w:spacing w:before="160" w:after="80"/>
      </w:pPr>
      <w:r>
        <w:rPr>
          <w:rFonts w:ascii="黑体" w:hAnsi="黑体" w:eastAsia="黑体"/>
          <w:b/>
          <w:color w:val="000000"/>
          <w:sz w:val="24"/>
        </w:rPr>
        <w:t>3. 关联的强度</w:t>
      </w:r>
    </w:p>
    <w:p w14:paraId="7AB763B0">
      <w:pPr>
        <w:spacing w:after="120" w:line="360" w:lineRule="auto"/>
        <w:ind w:firstLine="420"/>
      </w:pPr>
      <w:r>
        <w:rPr>
          <w:rFonts w:ascii="宋体" w:hAnsi="宋体" w:eastAsia="宋体"/>
          <w:b w:val="0"/>
          <w:sz w:val="24"/>
        </w:rPr>
        <w:t>素炒粉干的OR=35.44，提示极强的关联强度。</w:t>
      </w:r>
    </w:p>
    <w:p w14:paraId="3F91380A">
      <w:pPr>
        <w:spacing w:before="160" w:after="80"/>
      </w:pPr>
      <w:r>
        <w:rPr>
          <w:rFonts w:ascii="黑体" w:hAnsi="黑体" w:eastAsia="黑体"/>
          <w:b/>
          <w:color w:val="000000"/>
          <w:sz w:val="24"/>
        </w:rPr>
        <w:t>4. 剂量反应关系</w:t>
      </w:r>
    </w:p>
    <w:p w14:paraId="1AA74F34">
      <w:pPr>
        <w:spacing w:after="120" w:line="360" w:lineRule="auto"/>
        <w:ind w:firstLine="420"/>
      </w:pPr>
      <w:r>
        <w:rPr>
          <w:rFonts w:ascii="宋体" w:hAnsi="宋体" w:eastAsia="宋体"/>
          <w:b w:val="0"/>
          <w:sz w:val="24"/>
        </w:rPr>
        <w:t>进食素炒粉干数量多者症状出现更早、腹泻次数更多。</w:t>
      </w:r>
    </w:p>
    <w:p w14:paraId="641057FB">
      <w:pPr>
        <w:spacing w:before="160" w:after="80"/>
      </w:pPr>
      <w:r>
        <w:rPr>
          <w:rFonts w:ascii="黑体" w:hAnsi="黑体" w:eastAsia="黑体"/>
          <w:b/>
          <w:color w:val="000000"/>
          <w:sz w:val="24"/>
        </w:rPr>
        <w:t>5. 关联的一致性</w:t>
      </w:r>
    </w:p>
    <w:p w14:paraId="780D7B37">
      <w:pPr>
        <w:spacing w:after="120" w:line="360" w:lineRule="auto"/>
        <w:ind w:firstLine="420"/>
      </w:pPr>
      <w:r>
        <w:rPr>
          <w:rFonts w:ascii="宋体" w:hAnsi="宋体" w:eastAsia="宋体"/>
          <w:b w:val="0"/>
          <w:sz w:val="24"/>
        </w:rPr>
        <w:t>病例临床表现（腹泻、呕吐、发热，潜伏期3-33小时，平均12小时）与沙门氏菌食物中毒的临床特征一致；病例生物标本、留样食品中均检出同源性沙门氏菌。</w:t>
      </w:r>
    </w:p>
    <w:p w14:paraId="6F82F050">
      <w:pPr>
        <w:spacing w:before="160" w:after="80"/>
      </w:pPr>
      <w:r>
        <w:rPr>
          <w:rFonts w:ascii="黑体" w:hAnsi="黑体" w:eastAsia="黑体"/>
          <w:b/>
          <w:color w:val="000000"/>
          <w:sz w:val="24"/>
        </w:rPr>
        <w:t>6. 终止效应</w:t>
      </w:r>
    </w:p>
    <w:p w14:paraId="7C9FC7E0">
      <w:pPr>
        <w:spacing w:after="120" w:line="360" w:lineRule="auto"/>
        <w:ind w:firstLine="420"/>
      </w:pPr>
      <w:r>
        <w:rPr>
          <w:rFonts w:ascii="宋体" w:hAnsi="宋体" w:eastAsia="宋体"/>
          <w:b w:val="0"/>
          <w:sz w:val="24"/>
        </w:rPr>
        <w:t>停止供应素炒粉干并对H酒店采取消毒、调离从业人员等控制措施后，经过一个最长潜伏期（33小时）未再出现新发病例。</w:t>
      </w:r>
    </w:p>
    <w:p w14:paraId="421A9FB5">
      <w:pPr>
        <w:spacing w:before="240" w:after="160"/>
      </w:pPr>
      <w:r>
        <w:rPr>
          <w:rFonts w:ascii="黑体" w:hAnsi="黑体" w:eastAsia="黑体"/>
          <w:b/>
          <w:color w:val="000000"/>
          <w:sz w:val="32"/>
        </w:rPr>
        <w:t>六、建议</w:t>
      </w:r>
    </w:p>
    <w:p w14:paraId="5FA476A2">
      <w:pPr>
        <w:spacing w:before="200" w:after="120"/>
      </w:pPr>
      <w:r>
        <w:rPr>
          <w:rFonts w:ascii="黑体" w:hAnsi="黑体" w:eastAsia="黑体"/>
          <w:b/>
          <w:color w:val="000000"/>
          <w:sz w:val="28"/>
        </w:rPr>
        <w:t>（一）立即控制措施</w:t>
      </w:r>
    </w:p>
    <w:p w14:paraId="639AC839">
      <w:pPr>
        <w:spacing w:after="120" w:line="360" w:lineRule="auto"/>
        <w:ind w:firstLine="420"/>
      </w:pPr>
      <w:r>
        <w:rPr>
          <w:rFonts w:ascii="宋体" w:hAnsi="宋体" w:eastAsia="宋体"/>
          <w:b w:val="0"/>
          <w:sz w:val="24"/>
        </w:rPr>
        <w:t>责令H酒店停止供应和加工素炒粉干，对剩余可疑食品及同批次原料进行封存、召回及无害化处理。</w:t>
      </w:r>
    </w:p>
    <w:p w14:paraId="61626D02">
      <w:pPr>
        <w:spacing w:before="200" w:after="120"/>
      </w:pPr>
      <w:r>
        <w:rPr>
          <w:rFonts w:ascii="黑体" w:hAnsi="黑体" w:eastAsia="黑体"/>
          <w:b/>
          <w:color w:val="000000"/>
          <w:sz w:val="28"/>
        </w:rPr>
        <w:t>（二）消毒与整改</w:t>
      </w:r>
    </w:p>
    <w:p w14:paraId="768694AF">
      <w:pPr>
        <w:spacing w:after="120" w:line="360" w:lineRule="auto"/>
        <w:ind w:firstLine="420"/>
      </w:pPr>
      <w:r>
        <w:rPr>
          <w:rFonts w:ascii="宋体" w:hAnsi="宋体" w:eastAsia="宋体"/>
          <w:b w:val="0"/>
          <w:sz w:val="24"/>
        </w:rPr>
        <w:t>对H酒店后厨、就餐区域、食品加工设备、工用具进行全面清洗消毒；排查并改进素炒粉干加工工艺，确保烧熟煮透。</w:t>
      </w:r>
    </w:p>
    <w:p w14:paraId="39BBCBF5">
      <w:pPr>
        <w:spacing w:before="200" w:after="120"/>
      </w:pPr>
      <w:r>
        <w:rPr>
          <w:rFonts w:ascii="黑体" w:hAnsi="黑体" w:eastAsia="黑体"/>
          <w:b/>
          <w:color w:val="000000"/>
          <w:sz w:val="28"/>
        </w:rPr>
        <w:t>（三）从业人员管理</w:t>
      </w:r>
    </w:p>
    <w:p w14:paraId="6B899DCC">
      <w:pPr>
        <w:spacing w:after="120" w:line="360" w:lineRule="auto"/>
        <w:ind w:firstLine="420"/>
      </w:pPr>
      <w:r>
        <w:rPr>
          <w:rFonts w:ascii="宋体" w:hAnsi="宋体" w:eastAsia="宋体"/>
          <w:b w:val="0"/>
          <w:sz w:val="24"/>
        </w:rPr>
        <w:t>调离受感染（沙门氏菌携带）的厨房助手，待彻底治愈并经体检合格后方可返岗；加强全体从业人员健康监测，出现腹泻、发热、皮肤化脓等症状立即调离岗位。</w:t>
      </w:r>
    </w:p>
    <w:p w14:paraId="602A2450">
      <w:pPr>
        <w:spacing w:before="200" w:after="120"/>
      </w:pPr>
      <w:r>
        <w:rPr>
          <w:rFonts w:ascii="黑体" w:hAnsi="黑体" w:eastAsia="黑体"/>
          <w:b/>
          <w:color w:val="000000"/>
          <w:sz w:val="28"/>
        </w:rPr>
        <w:t>（四）培训与宣教</w:t>
      </w:r>
    </w:p>
    <w:p w14:paraId="1556F771">
      <w:pPr>
        <w:spacing w:after="120" w:line="360" w:lineRule="auto"/>
        <w:ind w:firstLine="420"/>
      </w:pPr>
      <w:r>
        <w:rPr>
          <w:rFonts w:ascii="宋体" w:hAnsi="宋体" w:eastAsia="宋体"/>
          <w:b w:val="0"/>
          <w:sz w:val="24"/>
        </w:rPr>
        <w:t>对H酒店从业人员开展食品安全与卫生操作规范培训，强化生熟分开、烧熟煮透、个人卫生等关键控制点意识。</w:t>
      </w:r>
    </w:p>
    <w:p w14:paraId="5B5F2276">
      <w:pPr>
        <w:spacing w:before="200" w:after="120"/>
      </w:pPr>
      <w:r>
        <w:rPr>
          <w:rFonts w:ascii="黑体" w:hAnsi="黑体" w:eastAsia="黑体"/>
          <w:b/>
          <w:color w:val="000000"/>
          <w:sz w:val="28"/>
        </w:rPr>
        <w:t>（五）公众预警</w:t>
      </w:r>
      <w:bookmarkStart w:id="0" w:name="_GoBack"/>
      <w:bookmarkEnd w:id="0"/>
    </w:p>
    <w:p w14:paraId="0A2D6A48">
      <w:pPr>
        <w:spacing w:after="120" w:line="360" w:lineRule="auto"/>
        <w:ind w:firstLine="420"/>
      </w:pPr>
      <w:r>
        <w:rPr>
          <w:rFonts w:ascii="宋体" w:hAnsi="宋体" w:eastAsia="宋体"/>
          <w:b w:val="0"/>
          <w:sz w:val="24"/>
        </w:rPr>
        <w:t>通过疾控、市场监管部门官方渠道发布食品安全消费预警，提醒公众注意聚餐食品安全。</w:t>
      </w:r>
    </w:p>
    <w:p w14:paraId="150747D3">
      <w:pPr>
        <w:spacing w:before="200" w:after="120"/>
      </w:pPr>
      <w:r>
        <w:rPr>
          <w:rFonts w:ascii="黑体" w:hAnsi="黑体" w:eastAsia="黑体"/>
          <w:b/>
          <w:color w:val="000000"/>
          <w:sz w:val="28"/>
        </w:rPr>
        <w:t>（六）后续监测</w:t>
      </w:r>
    </w:p>
    <w:p w14:paraId="5567A035">
      <w:pPr>
        <w:spacing w:after="120" w:line="360" w:lineRule="auto"/>
        <w:ind w:firstLine="420"/>
      </w:pPr>
      <w:r>
        <w:rPr>
          <w:rFonts w:ascii="宋体" w:hAnsi="宋体" w:eastAsia="宋体"/>
          <w:b w:val="0"/>
          <w:sz w:val="24"/>
        </w:rPr>
        <w:t>对病例进行随访，监测是否有续发或后遗症；对H酒店开展持续卫生监督抽检。</w:t>
      </w:r>
    </w:p>
    <w:p w14:paraId="3EBD5868">
      <w:pPr>
        <w:spacing w:before="240" w:after="160"/>
      </w:pPr>
      <w:r>
        <w:rPr>
          <w:rFonts w:ascii="黑体" w:hAnsi="黑体" w:eastAsia="黑体"/>
          <w:b/>
          <w:color w:val="000000"/>
          <w:sz w:val="32"/>
        </w:rPr>
        <w:t>附表</w:t>
      </w:r>
    </w:p>
    <w:p w14:paraId="419902F4">
      <w:pPr>
        <w:spacing w:before="200" w:after="120"/>
      </w:pPr>
      <w:r>
        <w:rPr>
          <w:rFonts w:ascii="黑体" w:hAnsi="黑体" w:eastAsia="黑体"/>
          <w:b/>
          <w:color w:val="000000"/>
          <w:sz w:val="28"/>
        </w:rPr>
        <w:t>附表1：食品安全事故流行病学调查信息整理表（摘要）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669"/>
      </w:tblGrid>
      <w:tr w14:paraId="7B6A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9E1F2"/>
          </w:tcPr>
          <w:p w14:paraId="324D99F8">
            <w:pPr>
              <w:spacing w:after="0" w:line="240" w:lineRule="auto"/>
              <w:jc w:val="center"/>
            </w:pPr>
            <w:r>
              <w:rPr>
                <w:rFonts w:ascii="黑体" w:hAnsi="黑体" w:eastAsia="黑体"/>
                <w:b/>
                <w:sz w:val="22"/>
              </w:rPr>
              <w:t>项目</w:t>
            </w:r>
          </w:p>
        </w:tc>
        <w:tc>
          <w:tcPr>
            <w:tcW w:w="5669" w:type="dxa"/>
            <w:shd w:val="clear" w:color="auto" w:fill="D9E1F2"/>
          </w:tcPr>
          <w:p w14:paraId="1B038EBF">
            <w:pPr>
              <w:spacing w:after="0" w:line="240" w:lineRule="auto"/>
              <w:jc w:val="center"/>
            </w:pPr>
            <w:r>
              <w:rPr>
                <w:rFonts w:ascii="黑体" w:hAnsi="黑体" w:eastAsia="黑体"/>
                <w:b/>
                <w:sz w:val="22"/>
              </w:rPr>
              <w:t>内容</w:t>
            </w:r>
          </w:p>
        </w:tc>
      </w:tr>
      <w:tr w14:paraId="1849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7537DB5">
            <w:pPr>
              <w:spacing w:after="0" w:line="240" w:lineRule="auto"/>
              <w:jc w:val="center"/>
            </w:pPr>
            <w:r>
              <w:rPr>
                <w:rFonts w:ascii="宋体" w:hAnsi="宋体" w:eastAsia="宋体"/>
                <w:b/>
                <w:sz w:val="22"/>
              </w:rPr>
              <w:t>事件性质</w:t>
            </w:r>
          </w:p>
        </w:tc>
        <w:tc>
          <w:tcPr>
            <w:tcW w:w="5669" w:type="dxa"/>
          </w:tcPr>
          <w:p w14:paraId="0B72CBFC">
            <w:pPr>
              <w:spacing w:after="0" w:line="240" w:lineRule="auto"/>
            </w:pPr>
            <w:r>
              <w:rPr>
                <w:rFonts w:ascii="宋体" w:hAnsi="宋体" w:eastAsia="宋体"/>
                <w:b w:val="0"/>
                <w:sz w:val="22"/>
              </w:rPr>
              <w:t>食物中毒</w:t>
            </w:r>
          </w:p>
        </w:tc>
      </w:tr>
      <w:tr w14:paraId="3A7B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7153501">
            <w:pPr>
              <w:spacing w:after="0" w:line="240" w:lineRule="auto"/>
              <w:jc w:val="center"/>
            </w:pPr>
            <w:r>
              <w:rPr>
                <w:rFonts w:ascii="宋体" w:hAnsi="宋体" w:eastAsia="宋体"/>
                <w:b/>
                <w:sz w:val="22"/>
              </w:rPr>
              <w:t>发生地区</w:t>
            </w:r>
          </w:p>
        </w:tc>
        <w:tc>
          <w:tcPr>
            <w:tcW w:w="5669" w:type="dxa"/>
          </w:tcPr>
          <w:p w14:paraId="6F8649FB">
            <w:pPr>
              <w:spacing w:after="0" w:line="240" w:lineRule="auto"/>
            </w:pPr>
            <w:r>
              <w:rPr>
                <w:rFonts w:ascii="宋体" w:hAnsi="宋体" w:eastAsia="宋体"/>
                <w:b w:val="0"/>
                <w:sz w:val="22"/>
              </w:rPr>
              <w:t>海河市红林区H酒店</w:t>
            </w:r>
          </w:p>
        </w:tc>
      </w:tr>
      <w:tr w14:paraId="5FAB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CC8CF0B">
            <w:pPr>
              <w:spacing w:after="0" w:line="240" w:lineRule="auto"/>
              <w:jc w:val="center"/>
            </w:pPr>
            <w:r>
              <w:rPr>
                <w:rFonts w:ascii="宋体" w:hAnsi="宋体" w:eastAsia="宋体"/>
                <w:b/>
                <w:sz w:val="22"/>
              </w:rPr>
              <w:t>信息来源</w:t>
            </w:r>
          </w:p>
        </w:tc>
        <w:tc>
          <w:tcPr>
            <w:tcW w:w="5669" w:type="dxa"/>
          </w:tcPr>
          <w:p w14:paraId="1F75782F">
            <w:pPr>
              <w:spacing w:after="0" w:line="240" w:lineRule="auto"/>
            </w:pPr>
            <w:r>
              <w:rPr>
                <w:rFonts w:ascii="宋体" w:hAnsi="宋体" w:eastAsia="宋体"/>
                <w:b w:val="0"/>
                <w:sz w:val="22"/>
              </w:rPr>
              <w:t>海河市中心医院、区疾控中心应急办</w:t>
            </w:r>
          </w:p>
        </w:tc>
      </w:tr>
      <w:tr w14:paraId="0343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536F8FF">
            <w:pPr>
              <w:spacing w:after="0" w:line="240" w:lineRule="auto"/>
              <w:jc w:val="center"/>
            </w:pPr>
            <w:r>
              <w:rPr>
                <w:rFonts w:ascii="宋体" w:hAnsi="宋体" w:eastAsia="宋体"/>
                <w:b/>
                <w:sz w:val="22"/>
              </w:rPr>
              <w:t>接收信息时间</w:t>
            </w:r>
          </w:p>
        </w:tc>
        <w:tc>
          <w:tcPr>
            <w:tcW w:w="5669" w:type="dxa"/>
          </w:tcPr>
          <w:p w14:paraId="5B3769BB">
            <w:pPr>
              <w:spacing w:after="0" w:line="240" w:lineRule="auto"/>
            </w:pPr>
            <w:r>
              <w:rPr>
                <w:rFonts w:ascii="宋体" w:hAnsi="宋体" w:eastAsia="宋体"/>
                <w:b w:val="0"/>
                <w:sz w:val="22"/>
              </w:rPr>
              <w:t>2019年6月5日</w:t>
            </w:r>
          </w:p>
        </w:tc>
      </w:tr>
      <w:tr w14:paraId="2C55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6719BCA">
            <w:pPr>
              <w:spacing w:after="0" w:line="240" w:lineRule="auto"/>
              <w:jc w:val="center"/>
            </w:pPr>
            <w:r>
              <w:rPr>
                <w:rFonts w:ascii="宋体" w:hAnsi="宋体" w:eastAsia="宋体"/>
                <w:b/>
                <w:sz w:val="22"/>
              </w:rPr>
              <w:t>启动调查时间</w:t>
            </w:r>
          </w:p>
        </w:tc>
        <w:tc>
          <w:tcPr>
            <w:tcW w:w="5669" w:type="dxa"/>
          </w:tcPr>
          <w:p w14:paraId="18A27965">
            <w:pPr>
              <w:spacing w:after="0" w:line="240" w:lineRule="auto"/>
            </w:pPr>
            <w:r>
              <w:rPr>
                <w:rFonts w:ascii="宋体" w:hAnsi="宋体" w:eastAsia="宋体"/>
                <w:b w:val="0"/>
                <w:sz w:val="22"/>
              </w:rPr>
              <w:t>2019年6月5日</w:t>
            </w:r>
          </w:p>
        </w:tc>
      </w:tr>
      <w:tr w14:paraId="1275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D5A024C">
            <w:pPr>
              <w:spacing w:after="0" w:line="240" w:lineRule="auto"/>
              <w:jc w:val="center"/>
            </w:pPr>
            <w:r>
              <w:rPr>
                <w:rFonts w:ascii="宋体" w:hAnsi="宋体" w:eastAsia="宋体"/>
                <w:b/>
                <w:sz w:val="22"/>
              </w:rPr>
              <w:t>实验室确诊病例</w:t>
            </w:r>
          </w:p>
        </w:tc>
        <w:tc>
          <w:tcPr>
            <w:tcW w:w="5669" w:type="dxa"/>
          </w:tcPr>
          <w:p w14:paraId="3BF8D1C6">
            <w:pPr>
              <w:spacing w:after="0" w:line="240" w:lineRule="auto"/>
            </w:pPr>
            <w:r>
              <w:rPr>
                <w:rFonts w:ascii="宋体" w:hAnsi="宋体" w:eastAsia="宋体"/>
                <w:b w:val="0"/>
                <w:sz w:val="22"/>
              </w:rPr>
              <w:t>16例</w:t>
            </w:r>
          </w:p>
        </w:tc>
      </w:tr>
      <w:tr w14:paraId="1DF7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5F75965">
            <w:pPr>
              <w:spacing w:after="0" w:line="240" w:lineRule="auto"/>
              <w:jc w:val="center"/>
            </w:pPr>
            <w:r>
              <w:rPr>
                <w:rFonts w:ascii="宋体" w:hAnsi="宋体" w:eastAsia="宋体"/>
                <w:b/>
                <w:sz w:val="22"/>
              </w:rPr>
              <w:t>临床诊断病例</w:t>
            </w:r>
          </w:p>
        </w:tc>
        <w:tc>
          <w:tcPr>
            <w:tcW w:w="5669" w:type="dxa"/>
          </w:tcPr>
          <w:p w14:paraId="1A32A543">
            <w:pPr>
              <w:spacing w:after="0" w:line="240" w:lineRule="auto"/>
            </w:pPr>
            <w:r>
              <w:rPr>
                <w:rFonts w:ascii="宋体" w:hAnsi="宋体" w:eastAsia="宋体"/>
                <w:b w:val="0"/>
                <w:sz w:val="22"/>
              </w:rPr>
              <w:t>13例</w:t>
            </w:r>
          </w:p>
        </w:tc>
      </w:tr>
      <w:tr w14:paraId="6543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B492220">
            <w:pPr>
              <w:spacing w:after="0" w:line="240" w:lineRule="auto"/>
              <w:jc w:val="center"/>
            </w:pPr>
            <w:r>
              <w:rPr>
                <w:rFonts w:ascii="宋体" w:hAnsi="宋体" w:eastAsia="宋体"/>
                <w:b/>
                <w:sz w:val="22"/>
              </w:rPr>
              <w:t>疑似病例</w:t>
            </w:r>
          </w:p>
        </w:tc>
        <w:tc>
          <w:tcPr>
            <w:tcW w:w="5669" w:type="dxa"/>
          </w:tcPr>
          <w:p w14:paraId="3FF827D3">
            <w:pPr>
              <w:spacing w:after="0" w:line="240" w:lineRule="auto"/>
            </w:pPr>
            <w:r>
              <w:rPr>
                <w:rFonts w:ascii="宋体" w:hAnsi="宋体" w:eastAsia="宋体"/>
                <w:b w:val="0"/>
                <w:sz w:val="22"/>
              </w:rPr>
              <w:t>0例</w:t>
            </w:r>
          </w:p>
        </w:tc>
      </w:tr>
      <w:tr w14:paraId="126A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ED1CDD8">
            <w:pPr>
              <w:spacing w:after="0" w:line="240" w:lineRule="auto"/>
              <w:jc w:val="center"/>
            </w:pPr>
            <w:r>
              <w:rPr>
                <w:rFonts w:ascii="宋体" w:hAnsi="宋体" w:eastAsia="宋体"/>
                <w:b/>
                <w:sz w:val="22"/>
              </w:rPr>
              <w:t>住院人数</w:t>
            </w:r>
          </w:p>
        </w:tc>
        <w:tc>
          <w:tcPr>
            <w:tcW w:w="5669" w:type="dxa"/>
          </w:tcPr>
          <w:p w14:paraId="3F402048">
            <w:pPr>
              <w:spacing w:after="0" w:line="240" w:lineRule="auto"/>
            </w:pPr>
            <w:r>
              <w:rPr>
                <w:rFonts w:ascii="宋体" w:hAnsi="宋体" w:eastAsia="宋体"/>
                <w:b w:val="0"/>
                <w:sz w:val="22"/>
              </w:rPr>
              <w:t>—</w:t>
            </w:r>
          </w:p>
        </w:tc>
      </w:tr>
      <w:tr w14:paraId="7476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9068C9A">
            <w:pPr>
              <w:spacing w:after="0" w:line="240" w:lineRule="auto"/>
              <w:jc w:val="center"/>
            </w:pPr>
            <w:r>
              <w:rPr>
                <w:rFonts w:ascii="宋体" w:hAnsi="宋体" w:eastAsia="宋体"/>
                <w:b/>
                <w:sz w:val="22"/>
              </w:rPr>
              <w:t>重症人数</w:t>
            </w:r>
          </w:p>
        </w:tc>
        <w:tc>
          <w:tcPr>
            <w:tcW w:w="5669" w:type="dxa"/>
          </w:tcPr>
          <w:p w14:paraId="68DB002A">
            <w:pPr>
              <w:spacing w:after="0" w:line="240" w:lineRule="auto"/>
            </w:pPr>
            <w:r>
              <w:rPr>
                <w:rFonts w:ascii="宋体" w:hAnsi="宋体" w:eastAsia="宋体"/>
                <w:b w:val="0"/>
                <w:sz w:val="22"/>
              </w:rPr>
              <w:t>0</w:t>
            </w:r>
          </w:p>
        </w:tc>
      </w:tr>
      <w:tr w14:paraId="6C58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5AC61A7">
            <w:pPr>
              <w:spacing w:after="0" w:line="240" w:lineRule="auto"/>
              <w:jc w:val="center"/>
            </w:pPr>
            <w:r>
              <w:rPr>
                <w:rFonts w:ascii="宋体" w:hAnsi="宋体" w:eastAsia="宋体"/>
                <w:b/>
                <w:sz w:val="22"/>
              </w:rPr>
              <w:t>死亡人数</w:t>
            </w:r>
          </w:p>
        </w:tc>
        <w:tc>
          <w:tcPr>
            <w:tcW w:w="5669" w:type="dxa"/>
          </w:tcPr>
          <w:p w14:paraId="32683E1A">
            <w:pPr>
              <w:spacing w:after="0" w:line="240" w:lineRule="auto"/>
            </w:pPr>
            <w:r>
              <w:rPr>
                <w:rFonts w:ascii="宋体" w:hAnsi="宋体" w:eastAsia="宋体"/>
                <w:b w:val="0"/>
                <w:sz w:val="22"/>
              </w:rPr>
              <w:t>0</w:t>
            </w:r>
          </w:p>
        </w:tc>
      </w:tr>
      <w:tr w14:paraId="549F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16DDB5F">
            <w:pPr>
              <w:spacing w:after="0" w:line="240" w:lineRule="auto"/>
              <w:jc w:val="center"/>
            </w:pPr>
            <w:r>
              <w:rPr>
                <w:rFonts w:ascii="宋体" w:hAnsi="宋体" w:eastAsia="宋体"/>
                <w:b/>
                <w:sz w:val="22"/>
              </w:rPr>
              <w:t>最早发病时间</w:t>
            </w:r>
          </w:p>
        </w:tc>
        <w:tc>
          <w:tcPr>
            <w:tcW w:w="5669" w:type="dxa"/>
          </w:tcPr>
          <w:p w14:paraId="27CD1D0E">
            <w:pPr>
              <w:spacing w:after="0" w:line="240" w:lineRule="auto"/>
            </w:pPr>
            <w:r>
              <w:rPr>
                <w:rFonts w:ascii="宋体" w:hAnsi="宋体" w:eastAsia="宋体"/>
                <w:b w:val="0"/>
                <w:sz w:val="22"/>
              </w:rPr>
              <w:t>2019年6月4日22时</w:t>
            </w:r>
          </w:p>
        </w:tc>
      </w:tr>
      <w:tr w14:paraId="17CB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585EE23">
            <w:pPr>
              <w:spacing w:after="0" w:line="240" w:lineRule="auto"/>
              <w:jc w:val="center"/>
            </w:pPr>
            <w:r>
              <w:rPr>
                <w:rFonts w:ascii="宋体" w:hAnsi="宋体" w:eastAsia="宋体"/>
                <w:b/>
                <w:sz w:val="22"/>
              </w:rPr>
              <w:t>最晚发病时间</w:t>
            </w:r>
          </w:p>
        </w:tc>
        <w:tc>
          <w:tcPr>
            <w:tcW w:w="5669" w:type="dxa"/>
          </w:tcPr>
          <w:p w14:paraId="0ECBDF25">
            <w:pPr>
              <w:spacing w:after="0" w:line="240" w:lineRule="auto"/>
            </w:pPr>
            <w:r>
              <w:rPr>
                <w:rFonts w:ascii="宋体" w:hAnsi="宋体" w:eastAsia="宋体"/>
                <w:b w:val="0"/>
                <w:sz w:val="22"/>
              </w:rPr>
              <w:t>2019年6月5日8时</w:t>
            </w:r>
          </w:p>
        </w:tc>
      </w:tr>
      <w:tr w14:paraId="7575E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9672BFC">
            <w:pPr>
              <w:spacing w:after="0" w:line="240" w:lineRule="auto"/>
              <w:jc w:val="center"/>
            </w:pPr>
            <w:r>
              <w:rPr>
                <w:rFonts w:ascii="宋体" w:hAnsi="宋体" w:eastAsia="宋体"/>
                <w:b/>
                <w:sz w:val="22"/>
              </w:rPr>
              <w:t>最短潜伏期</w:t>
            </w:r>
          </w:p>
        </w:tc>
        <w:tc>
          <w:tcPr>
            <w:tcW w:w="5669" w:type="dxa"/>
          </w:tcPr>
          <w:p w14:paraId="135999A2">
            <w:pPr>
              <w:spacing w:after="0" w:line="240" w:lineRule="auto"/>
            </w:pPr>
            <w:r>
              <w:rPr>
                <w:rFonts w:ascii="宋体" w:hAnsi="宋体" w:eastAsia="宋体"/>
                <w:b w:val="0"/>
                <w:sz w:val="22"/>
              </w:rPr>
              <w:t>3小时</w:t>
            </w:r>
          </w:p>
        </w:tc>
      </w:tr>
      <w:tr w14:paraId="6380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5C2B7A8">
            <w:pPr>
              <w:spacing w:after="0" w:line="240" w:lineRule="auto"/>
              <w:jc w:val="center"/>
            </w:pPr>
            <w:r>
              <w:rPr>
                <w:rFonts w:ascii="宋体" w:hAnsi="宋体" w:eastAsia="宋体"/>
                <w:b/>
                <w:sz w:val="22"/>
              </w:rPr>
              <w:t>最长潜伏期</w:t>
            </w:r>
          </w:p>
        </w:tc>
        <w:tc>
          <w:tcPr>
            <w:tcW w:w="5669" w:type="dxa"/>
          </w:tcPr>
          <w:p w14:paraId="5496BF22">
            <w:pPr>
              <w:spacing w:after="0" w:line="240" w:lineRule="auto"/>
            </w:pPr>
            <w:r>
              <w:rPr>
                <w:rFonts w:ascii="宋体" w:hAnsi="宋体" w:eastAsia="宋体"/>
                <w:b w:val="0"/>
                <w:sz w:val="22"/>
              </w:rPr>
              <w:t>33小时</w:t>
            </w:r>
          </w:p>
        </w:tc>
      </w:tr>
      <w:tr w14:paraId="61037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41D6487">
            <w:pPr>
              <w:spacing w:after="0" w:line="240" w:lineRule="auto"/>
              <w:jc w:val="center"/>
            </w:pPr>
            <w:r>
              <w:rPr>
                <w:rFonts w:ascii="宋体" w:hAnsi="宋体" w:eastAsia="宋体"/>
                <w:b/>
                <w:sz w:val="22"/>
              </w:rPr>
              <w:t>平均潜伏期</w:t>
            </w:r>
          </w:p>
        </w:tc>
        <w:tc>
          <w:tcPr>
            <w:tcW w:w="5669" w:type="dxa"/>
          </w:tcPr>
          <w:p w14:paraId="15563E7D">
            <w:pPr>
              <w:spacing w:after="0" w:line="240" w:lineRule="auto"/>
            </w:pPr>
            <w:r>
              <w:rPr>
                <w:rFonts w:ascii="宋体" w:hAnsi="宋体" w:eastAsia="宋体"/>
                <w:b w:val="0"/>
                <w:sz w:val="22"/>
              </w:rPr>
              <w:t>12小时</w:t>
            </w:r>
          </w:p>
        </w:tc>
      </w:tr>
      <w:tr w14:paraId="13DD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C543844">
            <w:pPr>
              <w:spacing w:after="0" w:line="240" w:lineRule="auto"/>
              <w:jc w:val="center"/>
            </w:pPr>
            <w:r>
              <w:rPr>
                <w:rFonts w:ascii="宋体" w:hAnsi="宋体" w:eastAsia="宋体"/>
                <w:b/>
                <w:sz w:val="22"/>
              </w:rPr>
              <w:t>致病因子</w:t>
            </w:r>
          </w:p>
        </w:tc>
        <w:tc>
          <w:tcPr>
            <w:tcW w:w="5669" w:type="dxa"/>
          </w:tcPr>
          <w:p w14:paraId="1D042A18">
            <w:pPr>
              <w:spacing w:after="0" w:line="240" w:lineRule="auto"/>
            </w:pPr>
            <w:r>
              <w:rPr>
                <w:rFonts w:ascii="宋体" w:hAnsi="宋体" w:eastAsia="宋体"/>
                <w:b w:val="0"/>
                <w:sz w:val="22"/>
              </w:rPr>
              <w:t>细菌：肠炎沙门氏菌</w:t>
            </w:r>
          </w:p>
        </w:tc>
      </w:tr>
      <w:tr w14:paraId="5C34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AC8981D">
            <w:pPr>
              <w:spacing w:after="0" w:line="240" w:lineRule="auto"/>
              <w:jc w:val="center"/>
            </w:pPr>
            <w:r>
              <w:rPr>
                <w:rFonts w:ascii="宋体" w:hAnsi="宋体" w:eastAsia="宋体"/>
                <w:b/>
                <w:sz w:val="22"/>
              </w:rPr>
              <w:t>原因食品</w:t>
            </w:r>
          </w:p>
        </w:tc>
        <w:tc>
          <w:tcPr>
            <w:tcW w:w="5669" w:type="dxa"/>
          </w:tcPr>
          <w:p w14:paraId="382DDC45">
            <w:pPr>
              <w:spacing w:after="0" w:line="240" w:lineRule="auto"/>
            </w:pPr>
            <w:r>
              <w:rPr>
                <w:rFonts w:ascii="宋体" w:hAnsi="宋体" w:eastAsia="宋体"/>
                <w:b w:val="0"/>
                <w:sz w:val="22"/>
              </w:rPr>
              <w:t>植物性食品：素炒粉干</w:t>
            </w:r>
          </w:p>
        </w:tc>
      </w:tr>
      <w:tr w14:paraId="518B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5B9326D">
            <w:pPr>
              <w:spacing w:after="0" w:line="240" w:lineRule="auto"/>
              <w:jc w:val="center"/>
            </w:pPr>
            <w:r>
              <w:rPr>
                <w:rFonts w:ascii="宋体" w:hAnsi="宋体" w:eastAsia="宋体"/>
                <w:b/>
                <w:sz w:val="22"/>
              </w:rPr>
              <w:t>确认方式</w:t>
            </w:r>
          </w:p>
        </w:tc>
        <w:tc>
          <w:tcPr>
            <w:tcW w:w="5669" w:type="dxa"/>
          </w:tcPr>
          <w:p w14:paraId="272843B6">
            <w:pPr>
              <w:spacing w:after="0" w:line="240" w:lineRule="auto"/>
            </w:pPr>
            <w:r>
              <w:rPr>
                <w:rFonts w:ascii="宋体" w:hAnsi="宋体" w:eastAsia="宋体"/>
                <w:b w:val="0"/>
                <w:sz w:val="22"/>
              </w:rPr>
              <w:t>流行病学调查与实验室检验均支持</w:t>
            </w:r>
          </w:p>
        </w:tc>
      </w:tr>
      <w:tr w14:paraId="0298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ABCC1DE">
            <w:pPr>
              <w:spacing w:after="0" w:line="240" w:lineRule="auto"/>
              <w:jc w:val="center"/>
            </w:pPr>
            <w:r>
              <w:rPr>
                <w:rFonts w:ascii="宋体" w:hAnsi="宋体" w:eastAsia="宋体"/>
                <w:b/>
                <w:sz w:val="22"/>
              </w:rPr>
              <w:t>污染因素</w:t>
            </w:r>
          </w:p>
        </w:tc>
        <w:tc>
          <w:tcPr>
            <w:tcW w:w="5669" w:type="dxa"/>
          </w:tcPr>
          <w:p w14:paraId="0D6E1935">
            <w:pPr>
              <w:spacing w:after="0" w:line="240" w:lineRule="auto"/>
            </w:pPr>
            <w:r>
              <w:rPr>
                <w:rFonts w:ascii="宋体" w:hAnsi="宋体" w:eastAsia="宋体"/>
                <w:b w:val="0"/>
                <w:sz w:val="22"/>
              </w:rPr>
              <w:t>加工过程污染、工用具不洁污染、生熟交叉污染、熟食储存不当</w:t>
            </w:r>
          </w:p>
        </w:tc>
      </w:tr>
    </w:tbl>
    <w:p w14:paraId="03C20577"/>
    <w:p w14:paraId="53089EB4"/>
    <w:p w14:paraId="575E4702">
      <w:pPr>
        <w:jc w:val="left"/>
      </w:pPr>
      <w:r>
        <w:rPr>
          <w:rFonts w:ascii="宋体" w:hAnsi="宋体" w:eastAsia="宋体"/>
          <w:b w:val="0"/>
          <w:sz w:val="24"/>
        </w:rPr>
        <w:t>报告单位：（公章）海河市红林区疾病预防控制中心</w:t>
      </w:r>
    </w:p>
    <w:p w14:paraId="509AAD98">
      <w:pPr>
        <w:jc w:val="left"/>
      </w:pPr>
      <w:r>
        <w:rPr>
          <w:rFonts w:ascii="宋体" w:hAnsi="宋体" w:eastAsia="宋体"/>
          <w:b w:val="0"/>
          <w:sz w:val="24"/>
        </w:rPr>
        <w:t>报 告 人：____________________</w:t>
      </w:r>
    </w:p>
    <w:p w14:paraId="7846B7B6">
      <w:pPr>
        <w:jc w:val="left"/>
      </w:pPr>
      <w:r>
        <w:rPr>
          <w:rFonts w:ascii="宋体" w:hAnsi="宋体" w:eastAsia="宋体"/>
          <w:b w:val="0"/>
          <w:sz w:val="24"/>
        </w:rPr>
        <w:t>报告时间：2019年6月____日</w:t>
      </w:r>
    </w:p>
    <w:p w14:paraId="592A7D0C">
      <w:pPr>
        <w:jc w:val="left"/>
      </w:pPr>
      <w:r>
        <w:rPr>
          <w:rFonts w:ascii="宋体" w:hAnsi="宋体" w:eastAsia="宋体"/>
          <w:b w:val="0"/>
          <w:sz w:val="24"/>
        </w:rPr>
        <w:t>联系电话：____________________</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652869"/>
    <w:rsid w:val="4E831E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3598</Words>
  <Characters>3972</Characters>
  <Lines>0</Lines>
  <Paragraphs>0</Paragraphs>
  <TotalTime>8</TotalTime>
  <ScaleCrop>false</ScaleCrop>
  <LinksUpToDate>false</LinksUpToDate>
  <CharactersWithSpaces>4053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筠希</cp:lastModifiedBy>
  <dcterms:modified xsi:type="dcterms:W3CDTF">2026-09-18T07:36:00Z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eyJoZGlkIjoiNjRlY2QzZWM3N2IxNTQ5MDk1YmZjM2JkNmMxY2IwZjUiLCJ1c2VySWQiOiIxMTIxMzU2MDYyIn0=</vt:lpwstr>
  </property>
  <property fmtid="{D5CDD505-2E9C-101B-9397-08002B2CF9AE}" pid="3" name="KSOProductBuildVer">
    <vt:lpwstr>2052-12.1.0.28505</vt:lpwstr>
  </property>
  <property fmtid="{D5CDD505-2E9C-101B-9397-08002B2CF9AE}" pid="4" name="ICV">
    <vt:lpwstr>3E5F7F40C0E8486E99F07F53DD85332D_12</vt:lpwstr>
  </property>
</Properties>
</file>