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675" w:rsidRDefault="00E24C28">
      <w:pPr>
        <w:rPr>
          <w:noProof/>
        </w:rPr>
      </w:pPr>
      <w:r>
        <w:rPr>
          <w:rFonts w:hint="eastAsia"/>
          <w:noProof/>
        </w:rPr>
        <w:t>模板</w:t>
      </w:r>
      <w:r>
        <w:rPr>
          <w:rFonts w:hint="eastAsia"/>
          <w:noProof/>
        </w:rPr>
        <w:t>3-1</w:t>
      </w:r>
    </w:p>
    <w:p w:rsidR="00E24C28" w:rsidRDefault="00E24C28">
      <w:pPr>
        <w:rPr>
          <w:noProof/>
        </w:rPr>
      </w:pPr>
      <w:r>
        <w:rPr>
          <w:noProof/>
        </w:rPr>
        <w:drawing>
          <wp:inline distT="0" distB="0" distL="0" distR="0" wp14:anchorId="5BCFB054" wp14:editId="77777804">
            <wp:extent cx="5274310" cy="3516413"/>
            <wp:effectExtent l="0" t="0" r="21590" b="2730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76930" w:rsidRDefault="0050365A">
      <w:pPr>
        <w:rPr>
          <w:noProof/>
        </w:rPr>
      </w:pPr>
      <w:r>
        <w:rPr>
          <w:rFonts w:hint="eastAsia"/>
          <w:noProof/>
        </w:rPr>
        <w:t>模板</w:t>
      </w:r>
      <w:r>
        <w:rPr>
          <w:rFonts w:hint="eastAsia"/>
          <w:noProof/>
        </w:rPr>
        <w:t>3</w:t>
      </w:r>
      <w:r w:rsidR="00E24C28">
        <w:rPr>
          <w:rFonts w:hint="eastAsia"/>
          <w:noProof/>
        </w:rPr>
        <w:t>-2</w:t>
      </w:r>
    </w:p>
    <w:p w:rsidR="0050365A" w:rsidRDefault="0050365A">
      <w:r>
        <w:rPr>
          <w:noProof/>
        </w:rPr>
        <w:drawing>
          <wp:inline distT="0" distB="0" distL="0" distR="0" wp14:anchorId="1EEC3D16" wp14:editId="67F02492">
            <wp:extent cx="5274310" cy="3515995"/>
            <wp:effectExtent l="0" t="0" r="21590" b="2730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92675" w:rsidRDefault="00B92675"/>
    <w:p w:rsidR="00B92675" w:rsidRDefault="00B92675">
      <w:r>
        <w:rPr>
          <w:rFonts w:hint="eastAsia"/>
        </w:rPr>
        <w:t>模板</w:t>
      </w:r>
      <w:r>
        <w:rPr>
          <w:rFonts w:hint="eastAsia"/>
        </w:rPr>
        <w:t>4</w:t>
      </w:r>
    </w:p>
    <w:p w:rsidR="00B92675" w:rsidRDefault="00E24C28" w:rsidP="00E24C2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2E9152" wp14:editId="6E00E088">
            <wp:extent cx="5274310" cy="3516413"/>
            <wp:effectExtent l="0" t="0" r="21590" b="2730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70BAC" w:rsidRDefault="00B70BAC" w:rsidP="00B70BAC">
      <w:bookmarkStart w:id="0" w:name="_GoBack"/>
      <w:bookmarkEnd w:id="0"/>
    </w:p>
    <w:sectPr w:rsidR="00B70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65A"/>
    <w:rsid w:val="0050365A"/>
    <w:rsid w:val="00B70BAC"/>
    <w:rsid w:val="00B92675"/>
    <w:rsid w:val="00E24C28"/>
    <w:rsid w:val="00E7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36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36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36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36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___1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___2.xlsx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I:\TY&#25968;&#25454;&#22270;\&#27169;&#26495;4.xlsx" TargetMode="External"/><Relationship Id="rId1" Type="http://schemas.openxmlformats.org/officeDocument/2006/relationships/themeOverride" Target="../theme/themeOverrid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Sheet1!$A$1:$E$1</c:f>
              <c:strCache>
                <c:ptCount val="5"/>
                <c:pt idx="0">
                  <c:v>5年以下</c:v>
                </c:pt>
                <c:pt idx="1">
                  <c:v>5-10年</c:v>
                </c:pt>
                <c:pt idx="2">
                  <c:v>11-15年</c:v>
                </c:pt>
                <c:pt idx="3">
                  <c:v>16-20年</c:v>
                </c:pt>
                <c:pt idx="4">
                  <c:v>20年以上</c:v>
                </c:pt>
              </c:strCache>
            </c:strRef>
          </c:cat>
          <c:val>
            <c:numRef>
              <c:f>Sheet1!$A$2:$E$2</c:f>
              <c:numCache>
                <c:formatCode>0.0%</c:formatCode>
                <c:ptCount val="5"/>
                <c:pt idx="0">
                  <c:v>0.105</c:v>
                </c:pt>
                <c:pt idx="1">
                  <c:v>0.182</c:v>
                </c:pt>
                <c:pt idx="2">
                  <c:v>0.16300000000000001</c:v>
                </c:pt>
                <c:pt idx="3">
                  <c:v>0.23599999999999999</c:v>
                </c:pt>
                <c:pt idx="4">
                  <c:v>0.314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5551232"/>
        <c:axId val="161137792"/>
      </c:barChart>
      <c:catAx>
        <c:axId val="155551232"/>
        <c:scaling>
          <c:orientation val="minMax"/>
        </c:scaling>
        <c:delete val="0"/>
        <c:axPos val="b"/>
        <c:majorTickMark val="out"/>
        <c:minorTickMark val="none"/>
        <c:tickLblPos val="nextTo"/>
        <c:crossAx val="161137792"/>
        <c:crosses val="autoZero"/>
        <c:auto val="1"/>
        <c:lblAlgn val="ctr"/>
        <c:lblOffset val="100"/>
        <c:noMultiLvlLbl val="0"/>
      </c:catAx>
      <c:valAx>
        <c:axId val="161137792"/>
        <c:scaling>
          <c:orientation val="minMax"/>
        </c:scaling>
        <c:delete val="0"/>
        <c:axPos val="l"/>
        <c:majorGridlines/>
        <c:numFmt formatCode="0.0%" sourceLinked="1"/>
        <c:majorTickMark val="out"/>
        <c:minorTickMark val="none"/>
        <c:tickLblPos val="nextTo"/>
        <c:crossAx val="155551232"/>
        <c:crosses val="autoZero"/>
        <c:crossBetween val="between"/>
      </c:valAx>
    </c:plotArea>
    <c:plotVisOnly val="1"/>
    <c:dispBlanksAs val="gap"/>
    <c:showDLblsOverMax val="0"/>
  </c:chart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多媒体使用!$G$2</c:f>
              <c:strCache>
                <c:ptCount val="1"/>
                <c:pt idx="0">
                  <c:v>等级1</c:v>
                </c:pt>
              </c:strCache>
            </c:strRef>
          </c:tx>
          <c:invertIfNegative val="0"/>
          <c:cat>
            <c:strRef>
              <c:f>多媒体使用!$F$3:$F$13</c:f>
              <c:strCache>
                <c:ptCount val="11"/>
                <c:pt idx="0">
                  <c:v>校1</c:v>
                </c:pt>
                <c:pt idx="1">
                  <c:v>校2</c:v>
                </c:pt>
                <c:pt idx="2">
                  <c:v>校3</c:v>
                </c:pt>
                <c:pt idx="3">
                  <c:v>校4</c:v>
                </c:pt>
                <c:pt idx="4">
                  <c:v>校5</c:v>
                </c:pt>
                <c:pt idx="5">
                  <c:v>校6</c:v>
                </c:pt>
                <c:pt idx="6">
                  <c:v>校7</c:v>
                </c:pt>
                <c:pt idx="7">
                  <c:v>校8</c:v>
                </c:pt>
                <c:pt idx="8">
                  <c:v>校9</c:v>
                </c:pt>
                <c:pt idx="9">
                  <c:v>本县</c:v>
                </c:pt>
                <c:pt idx="10">
                  <c:v>全市</c:v>
                </c:pt>
              </c:strCache>
            </c:strRef>
          </c:cat>
          <c:val>
            <c:numRef>
              <c:f>多媒体使用!$G$3:$G$13</c:f>
              <c:numCache>
                <c:formatCode>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1.3157894736842105E-2</c:v>
                </c:pt>
                <c:pt idx="7">
                  <c:v>5.2631578947368418E-2</c:v>
                </c:pt>
                <c:pt idx="8">
                  <c:v>0</c:v>
                </c:pt>
                <c:pt idx="9">
                  <c:v>0</c:v>
                </c:pt>
                <c:pt idx="10">
                  <c:v>1.1461318051575931E-2</c:v>
                </c:pt>
              </c:numCache>
            </c:numRef>
          </c:val>
        </c:ser>
        <c:ser>
          <c:idx val="1"/>
          <c:order val="1"/>
          <c:tx>
            <c:strRef>
              <c:f>多媒体使用!$H$2</c:f>
              <c:strCache>
                <c:ptCount val="1"/>
                <c:pt idx="0">
                  <c:v>等级2</c:v>
                </c:pt>
              </c:strCache>
            </c:strRef>
          </c:tx>
          <c:invertIfNegative val="0"/>
          <c:cat>
            <c:strRef>
              <c:f>多媒体使用!$F$3:$F$13</c:f>
              <c:strCache>
                <c:ptCount val="11"/>
                <c:pt idx="0">
                  <c:v>校1</c:v>
                </c:pt>
                <c:pt idx="1">
                  <c:v>校2</c:v>
                </c:pt>
                <c:pt idx="2">
                  <c:v>校3</c:v>
                </c:pt>
                <c:pt idx="3">
                  <c:v>校4</c:v>
                </c:pt>
                <c:pt idx="4">
                  <c:v>校5</c:v>
                </c:pt>
                <c:pt idx="5">
                  <c:v>校6</c:v>
                </c:pt>
                <c:pt idx="6">
                  <c:v>校7</c:v>
                </c:pt>
                <c:pt idx="7">
                  <c:v>校8</c:v>
                </c:pt>
                <c:pt idx="8">
                  <c:v>校9</c:v>
                </c:pt>
                <c:pt idx="9">
                  <c:v>本县</c:v>
                </c:pt>
                <c:pt idx="10">
                  <c:v>全市</c:v>
                </c:pt>
              </c:strCache>
            </c:strRef>
          </c:cat>
          <c:val>
            <c:numRef>
              <c:f>多媒体使用!$H$3:$H$13</c:f>
              <c:numCache>
                <c:formatCode>0%</c:formatCode>
                <c:ptCount val="11"/>
                <c:pt idx="0">
                  <c:v>0.375</c:v>
                </c:pt>
                <c:pt idx="1">
                  <c:v>0.44827586206896552</c:v>
                </c:pt>
                <c:pt idx="2">
                  <c:v>0.35714285714285715</c:v>
                </c:pt>
                <c:pt idx="3">
                  <c:v>0.22222222222222221</c:v>
                </c:pt>
                <c:pt idx="4">
                  <c:v>0.40909090909090912</c:v>
                </c:pt>
                <c:pt idx="5">
                  <c:v>0.14583333333333334</c:v>
                </c:pt>
                <c:pt idx="6">
                  <c:v>0.22368421052631579</c:v>
                </c:pt>
                <c:pt idx="7">
                  <c:v>0.10526315789473684</c:v>
                </c:pt>
                <c:pt idx="8">
                  <c:v>6.6666666666666666E-2</c:v>
                </c:pt>
                <c:pt idx="9">
                  <c:v>6.0606060606060608E-2</c:v>
                </c:pt>
                <c:pt idx="10">
                  <c:v>0.22636103151862463</c:v>
                </c:pt>
              </c:numCache>
            </c:numRef>
          </c:val>
        </c:ser>
        <c:ser>
          <c:idx val="2"/>
          <c:order val="2"/>
          <c:tx>
            <c:strRef>
              <c:f>多媒体使用!$I$2</c:f>
              <c:strCache>
                <c:ptCount val="1"/>
                <c:pt idx="0">
                  <c:v>等级3</c:v>
                </c:pt>
              </c:strCache>
            </c:strRef>
          </c:tx>
          <c:invertIfNegative val="0"/>
          <c:cat>
            <c:strRef>
              <c:f>多媒体使用!$F$3:$F$13</c:f>
              <c:strCache>
                <c:ptCount val="11"/>
                <c:pt idx="0">
                  <c:v>校1</c:v>
                </c:pt>
                <c:pt idx="1">
                  <c:v>校2</c:v>
                </c:pt>
                <c:pt idx="2">
                  <c:v>校3</c:v>
                </c:pt>
                <c:pt idx="3">
                  <c:v>校4</c:v>
                </c:pt>
                <c:pt idx="4">
                  <c:v>校5</c:v>
                </c:pt>
                <c:pt idx="5">
                  <c:v>校6</c:v>
                </c:pt>
                <c:pt idx="6">
                  <c:v>校7</c:v>
                </c:pt>
                <c:pt idx="7">
                  <c:v>校8</c:v>
                </c:pt>
                <c:pt idx="8">
                  <c:v>校9</c:v>
                </c:pt>
                <c:pt idx="9">
                  <c:v>本县</c:v>
                </c:pt>
                <c:pt idx="10">
                  <c:v>全市</c:v>
                </c:pt>
              </c:strCache>
            </c:strRef>
          </c:cat>
          <c:val>
            <c:numRef>
              <c:f>多媒体使用!$I$3:$I$13</c:f>
              <c:numCache>
                <c:formatCode>0%</c:formatCode>
                <c:ptCount val="11"/>
                <c:pt idx="0">
                  <c:v>0.625</c:v>
                </c:pt>
                <c:pt idx="1">
                  <c:v>0.55172413793103448</c:v>
                </c:pt>
                <c:pt idx="2">
                  <c:v>0.6428571428571429</c:v>
                </c:pt>
                <c:pt idx="3">
                  <c:v>0.77777777777777779</c:v>
                </c:pt>
                <c:pt idx="4">
                  <c:v>0.59090909090909094</c:v>
                </c:pt>
                <c:pt idx="5">
                  <c:v>0.85416666666666663</c:v>
                </c:pt>
                <c:pt idx="6">
                  <c:v>0.76315789473684215</c:v>
                </c:pt>
                <c:pt idx="7">
                  <c:v>0.84210526315789469</c:v>
                </c:pt>
                <c:pt idx="8">
                  <c:v>0.93333333333333335</c:v>
                </c:pt>
                <c:pt idx="9">
                  <c:v>0.93939393939393945</c:v>
                </c:pt>
                <c:pt idx="10">
                  <c:v>0.76217765042979946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4956288"/>
        <c:axId val="221720576"/>
      </c:barChart>
      <c:catAx>
        <c:axId val="214956288"/>
        <c:scaling>
          <c:orientation val="minMax"/>
        </c:scaling>
        <c:delete val="0"/>
        <c:axPos val="b"/>
        <c:majorTickMark val="out"/>
        <c:minorTickMark val="none"/>
        <c:tickLblPos val="nextTo"/>
        <c:crossAx val="221720576"/>
        <c:crosses val="autoZero"/>
        <c:auto val="1"/>
        <c:lblAlgn val="ctr"/>
        <c:lblOffset val="100"/>
        <c:noMultiLvlLbl val="0"/>
      </c:catAx>
      <c:valAx>
        <c:axId val="221720576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214956288"/>
        <c:crosses val="autoZero"/>
        <c:crossBetween val="between"/>
      </c:valAx>
    </c:plotArea>
    <c:legend>
      <c:legendPos val="t"/>
      <c:layout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noFill/>
          </c:spPr>
          <c:invertIfNegative val="0"/>
          <c:cat>
            <c:strRef>
              <c:f>[模板4.xlsx]Sheet1!$B$2:$B$12</c:f>
              <c:strCache>
                <c:ptCount val="11"/>
                <c:pt idx="0">
                  <c:v>县9</c:v>
                </c:pt>
                <c:pt idx="1">
                  <c:v>县3</c:v>
                </c:pt>
                <c:pt idx="2">
                  <c:v>县10</c:v>
                </c:pt>
                <c:pt idx="3">
                  <c:v>县4</c:v>
                </c:pt>
                <c:pt idx="4">
                  <c:v>县8</c:v>
                </c:pt>
                <c:pt idx="5">
                  <c:v>县7</c:v>
                </c:pt>
                <c:pt idx="6">
                  <c:v>全市</c:v>
                </c:pt>
                <c:pt idx="7">
                  <c:v>县6</c:v>
                </c:pt>
                <c:pt idx="8">
                  <c:v>县2</c:v>
                </c:pt>
                <c:pt idx="9">
                  <c:v>县1</c:v>
                </c:pt>
                <c:pt idx="10">
                  <c:v>县5</c:v>
                </c:pt>
              </c:strCache>
            </c:strRef>
          </c:cat>
          <c:val>
            <c:numRef>
              <c:f>[模板4.xlsx]Sheet1!$C$2:$C$12</c:f>
              <c:numCache>
                <c:formatCode>General</c:formatCode>
                <c:ptCount val="11"/>
                <c:pt idx="0">
                  <c:v>181.4</c:v>
                </c:pt>
                <c:pt idx="1">
                  <c:v>179.2</c:v>
                </c:pt>
                <c:pt idx="2">
                  <c:v>243.6</c:v>
                </c:pt>
                <c:pt idx="3">
                  <c:v>190</c:v>
                </c:pt>
                <c:pt idx="4">
                  <c:v>187.6</c:v>
                </c:pt>
                <c:pt idx="5">
                  <c:v>184</c:v>
                </c:pt>
                <c:pt idx="6">
                  <c:v>179.2</c:v>
                </c:pt>
                <c:pt idx="7">
                  <c:v>221.8</c:v>
                </c:pt>
                <c:pt idx="8">
                  <c:v>210</c:v>
                </c:pt>
                <c:pt idx="9">
                  <c:v>284.39999999999998</c:v>
                </c:pt>
                <c:pt idx="10">
                  <c:v>207.8</c:v>
                </c:pt>
              </c:numCache>
            </c:numRef>
          </c:val>
        </c:ser>
        <c:ser>
          <c:idx val="1"/>
          <c:order val="1"/>
          <c:spPr>
            <a:solidFill>
              <a:srgbClr val="B9CDE5"/>
            </a:solidFill>
            <a:ln>
              <a:solidFill>
                <a:schemeClr val="tx1"/>
              </a:solidFill>
            </a:ln>
          </c:spPr>
          <c:invertIfNegative val="0"/>
          <c:cat>
            <c:strRef>
              <c:f>[模板4.xlsx]Sheet1!$B$2:$B$12</c:f>
              <c:strCache>
                <c:ptCount val="11"/>
                <c:pt idx="0">
                  <c:v>县9</c:v>
                </c:pt>
                <c:pt idx="1">
                  <c:v>县3</c:v>
                </c:pt>
                <c:pt idx="2">
                  <c:v>县10</c:v>
                </c:pt>
                <c:pt idx="3">
                  <c:v>县4</c:v>
                </c:pt>
                <c:pt idx="4">
                  <c:v>县8</c:v>
                </c:pt>
                <c:pt idx="5">
                  <c:v>县7</c:v>
                </c:pt>
                <c:pt idx="6">
                  <c:v>全市</c:v>
                </c:pt>
                <c:pt idx="7">
                  <c:v>县6</c:v>
                </c:pt>
                <c:pt idx="8">
                  <c:v>县2</c:v>
                </c:pt>
                <c:pt idx="9">
                  <c:v>县1</c:v>
                </c:pt>
                <c:pt idx="10">
                  <c:v>县5</c:v>
                </c:pt>
              </c:strCache>
            </c:strRef>
          </c:cat>
          <c:val>
            <c:numRef>
              <c:f>[模板4.xlsx]Sheet1!$D$2:$D$12</c:f>
              <c:numCache>
                <c:formatCode>General</c:formatCode>
                <c:ptCount val="11"/>
                <c:pt idx="0">
                  <c:v>193.99999999999997</c:v>
                </c:pt>
                <c:pt idx="1">
                  <c:v>226.40000000000003</c:v>
                </c:pt>
                <c:pt idx="2">
                  <c:v>168.4</c:v>
                </c:pt>
                <c:pt idx="3">
                  <c:v>230.10000000000002</c:v>
                </c:pt>
                <c:pt idx="4">
                  <c:v>234.6</c:v>
                </c:pt>
                <c:pt idx="5">
                  <c:v>243</c:v>
                </c:pt>
                <c:pt idx="6">
                  <c:v>254.2</c:v>
                </c:pt>
                <c:pt idx="7">
                  <c:v>217.2</c:v>
                </c:pt>
                <c:pt idx="8">
                  <c:v>247.10000000000002</c:v>
                </c:pt>
                <c:pt idx="9">
                  <c:v>185.20000000000005</c:v>
                </c:pt>
                <c:pt idx="10">
                  <c:v>287.3</c:v>
                </c:pt>
              </c:numCache>
            </c:numRef>
          </c:val>
        </c:ser>
        <c:ser>
          <c:idx val="2"/>
          <c:order val="2"/>
          <c:spPr>
            <a:solidFill>
              <a:srgbClr val="8EB4E3"/>
            </a:solidFill>
            <a:ln>
              <a:solidFill>
                <a:schemeClr val="tx1"/>
              </a:solidFill>
            </a:ln>
          </c:spPr>
          <c:invertIfNegative val="0"/>
          <c:cat>
            <c:strRef>
              <c:f>[模板4.xlsx]Sheet1!$B$2:$B$12</c:f>
              <c:strCache>
                <c:ptCount val="11"/>
                <c:pt idx="0">
                  <c:v>县9</c:v>
                </c:pt>
                <c:pt idx="1">
                  <c:v>县3</c:v>
                </c:pt>
                <c:pt idx="2">
                  <c:v>县10</c:v>
                </c:pt>
                <c:pt idx="3">
                  <c:v>县4</c:v>
                </c:pt>
                <c:pt idx="4">
                  <c:v>县8</c:v>
                </c:pt>
                <c:pt idx="5">
                  <c:v>县7</c:v>
                </c:pt>
                <c:pt idx="6">
                  <c:v>全市</c:v>
                </c:pt>
                <c:pt idx="7">
                  <c:v>县6</c:v>
                </c:pt>
                <c:pt idx="8">
                  <c:v>县2</c:v>
                </c:pt>
                <c:pt idx="9">
                  <c:v>县1</c:v>
                </c:pt>
                <c:pt idx="10">
                  <c:v>县5</c:v>
                </c:pt>
              </c:strCache>
            </c:strRef>
          </c:cat>
          <c:val>
            <c:numRef>
              <c:f>[模板4.xlsx]Sheet1!$E$2:$E$12</c:f>
              <c:numCache>
                <c:formatCode>General</c:formatCode>
                <c:ptCount val="11"/>
                <c:pt idx="0">
                  <c:v>86</c:v>
                </c:pt>
                <c:pt idx="1">
                  <c:v>74.199999999999989</c:v>
                </c:pt>
                <c:pt idx="2">
                  <c:v>70.600000000000023</c:v>
                </c:pt>
                <c:pt idx="3">
                  <c:v>64.099999999999966</c:v>
                </c:pt>
                <c:pt idx="4">
                  <c:v>69.800000000000011</c:v>
                </c:pt>
                <c:pt idx="5">
                  <c:v>75.399999999999977</c:v>
                </c:pt>
                <c:pt idx="6">
                  <c:v>72.200000000000045</c:v>
                </c:pt>
                <c:pt idx="7">
                  <c:v>76.600000000000023</c:v>
                </c:pt>
                <c:pt idx="8">
                  <c:v>65.899999999999977</c:v>
                </c:pt>
                <c:pt idx="9">
                  <c:v>78.5</c:v>
                </c:pt>
                <c:pt idx="10">
                  <c:v>71.199999999999932</c:v>
                </c:pt>
              </c:numCache>
            </c:numRef>
          </c:val>
        </c:ser>
        <c:ser>
          <c:idx val="3"/>
          <c:order val="3"/>
          <c:spPr>
            <a:solidFill>
              <a:srgbClr val="8EB4E3"/>
            </a:solidFill>
            <a:ln>
              <a:solidFill>
                <a:schemeClr val="tx1"/>
              </a:solidFill>
            </a:ln>
          </c:spPr>
          <c:invertIfNegative val="0"/>
          <c:cat>
            <c:strRef>
              <c:f>[模板4.xlsx]Sheet1!$B$2:$B$12</c:f>
              <c:strCache>
                <c:ptCount val="11"/>
                <c:pt idx="0">
                  <c:v>县9</c:v>
                </c:pt>
                <c:pt idx="1">
                  <c:v>县3</c:v>
                </c:pt>
                <c:pt idx="2">
                  <c:v>县10</c:v>
                </c:pt>
                <c:pt idx="3">
                  <c:v>县4</c:v>
                </c:pt>
                <c:pt idx="4">
                  <c:v>县8</c:v>
                </c:pt>
                <c:pt idx="5">
                  <c:v>县7</c:v>
                </c:pt>
                <c:pt idx="6">
                  <c:v>全市</c:v>
                </c:pt>
                <c:pt idx="7">
                  <c:v>县6</c:v>
                </c:pt>
                <c:pt idx="8">
                  <c:v>县2</c:v>
                </c:pt>
                <c:pt idx="9">
                  <c:v>县1</c:v>
                </c:pt>
                <c:pt idx="10">
                  <c:v>县5</c:v>
                </c:pt>
              </c:strCache>
            </c:strRef>
          </c:cat>
          <c:val>
            <c:numRef>
              <c:f>[模板4.xlsx]Sheet1!$F$2:$F$12</c:f>
              <c:numCache>
                <c:formatCode>General</c:formatCode>
                <c:ptCount val="11"/>
                <c:pt idx="0">
                  <c:v>50.300000000000011</c:v>
                </c:pt>
                <c:pt idx="1">
                  <c:v>66.599999999999966</c:v>
                </c:pt>
                <c:pt idx="2">
                  <c:v>56.399999999999977</c:v>
                </c:pt>
                <c:pt idx="3">
                  <c:v>68.500000000000057</c:v>
                </c:pt>
                <c:pt idx="4">
                  <c:v>57</c:v>
                </c:pt>
                <c:pt idx="5">
                  <c:v>63</c:v>
                </c:pt>
                <c:pt idx="6">
                  <c:v>68.199999999999932</c:v>
                </c:pt>
                <c:pt idx="7">
                  <c:v>70.199999999999932</c:v>
                </c:pt>
                <c:pt idx="8">
                  <c:v>56.5</c:v>
                </c:pt>
                <c:pt idx="9">
                  <c:v>62.799999999999955</c:v>
                </c:pt>
                <c:pt idx="10">
                  <c:v>56.5</c:v>
                </c:pt>
              </c:numCache>
            </c:numRef>
          </c:val>
        </c:ser>
        <c:ser>
          <c:idx val="4"/>
          <c:order val="4"/>
          <c:spPr>
            <a:solidFill>
              <a:srgbClr val="B9CDE5"/>
            </a:solidFill>
            <a:ln>
              <a:solidFill>
                <a:schemeClr val="tx1"/>
              </a:solidFill>
            </a:ln>
          </c:spPr>
          <c:invertIfNegative val="0"/>
          <c:cat>
            <c:strRef>
              <c:f>[模板4.xlsx]Sheet1!$B$2:$B$12</c:f>
              <c:strCache>
                <c:ptCount val="11"/>
                <c:pt idx="0">
                  <c:v>县9</c:v>
                </c:pt>
                <c:pt idx="1">
                  <c:v>县3</c:v>
                </c:pt>
                <c:pt idx="2">
                  <c:v>县10</c:v>
                </c:pt>
                <c:pt idx="3">
                  <c:v>县4</c:v>
                </c:pt>
                <c:pt idx="4">
                  <c:v>县8</c:v>
                </c:pt>
                <c:pt idx="5">
                  <c:v>县7</c:v>
                </c:pt>
                <c:pt idx="6">
                  <c:v>全市</c:v>
                </c:pt>
                <c:pt idx="7">
                  <c:v>县6</c:v>
                </c:pt>
                <c:pt idx="8">
                  <c:v>县2</c:v>
                </c:pt>
                <c:pt idx="9">
                  <c:v>县1</c:v>
                </c:pt>
                <c:pt idx="10">
                  <c:v>县5</c:v>
                </c:pt>
              </c:strCache>
            </c:strRef>
          </c:cat>
          <c:val>
            <c:numRef>
              <c:f>[模板4.xlsx]Sheet1!$G$2:$G$12</c:f>
              <c:numCache>
                <c:formatCode>General</c:formatCode>
                <c:ptCount val="11"/>
                <c:pt idx="0">
                  <c:v>185.50000000000006</c:v>
                </c:pt>
                <c:pt idx="1">
                  <c:v>189.80000000000007</c:v>
                </c:pt>
                <c:pt idx="2">
                  <c:v>196.20000000000005</c:v>
                </c:pt>
                <c:pt idx="3">
                  <c:v>188.29999999999995</c:v>
                </c:pt>
                <c:pt idx="4">
                  <c:v>218.79999999999995</c:v>
                </c:pt>
                <c:pt idx="5">
                  <c:v>163.60000000000002</c:v>
                </c:pt>
                <c:pt idx="6">
                  <c:v>224.60000000000002</c:v>
                </c:pt>
                <c:pt idx="7">
                  <c:v>176</c:v>
                </c:pt>
                <c:pt idx="8">
                  <c:v>174.29999999999995</c:v>
                </c:pt>
                <c:pt idx="9">
                  <c:v>147.10000000000002</c:v>
                </c:pt>
                <c:pt idx="10">
                  <c:v>175.60000000000002</c:v>
                </c:pt>
              </c:numCache>
            </c:numRef>
          </c:val>
        </c:ser>
        <c:ser>
          <c:idx val="5"/>
          <c:order val="5"/>
          <c:spPr>
            <a:noFill/>
          </c:spPr>
          <c:invertIfNegative val="0"/>
          <c:cat>
            <c:strRef>
              <c:f>[模板4.xlsx]Sheet1!$B$2:$B$12</c:f>
              <c:strCache>
                <c:ptCount val="11"/>
                <c:pt idx="0">
                  <c:v>县9</c:v>
                </c:pt>
                <c:pt idx="1">
                  <c:v>县3</c:v>
                </c:pt>
                <c:pt idx="2">
                  <c:v>县10</c:v>
                </c:pt>
                <c:pt idx="3">
                  <c:v>县4</c:v>
                </c:pt>
                <c:pt idx="4">
                  <c:v>县8</c:v>
                </c:pt>
                <c:pt idx="5">
                  <c:v>县7</c:v>
                </c:pt>
                <c:pt idx="6">
                  <c:v>全市</c:v>
                </c:pt>
                <c:pt idx="7">
                  <c:v>县6</c:v>
                </c:pt>
                <c:pt idx="8">
                  <c:v>县2</c:v>
                </c:pt>
                <c:pt idx="9">
                  <c:v>县1</c:v>
                </c:pt>
                <c:pt idx="10">
                  <c:v>县5</c:v>
                </c:pt>
              </c:strCache>
            </c:strRef>
          </c:cat>
          <c:val>
            <c:numRef>
              <c:f>[模板4.xlsx]Sheet1!$H$2:$H$12</c:f>
              <c:numCache>
                <c:formatCode>General</c:formatCode>
                <c:ptCount val="11"/>
                <c:pt idx="0">
                  <c:v>202.79999999999995</c:v>
                </c:pt>
                <c:pt idx="1">
                  <c:v>163.79999999999995</c:v>
                </c:pt>
                <c:pt idx="2">
                  <c:v>164.79999999999995</c:v>
                </c:pt>
                <c:pt idx="3">
                  <c:v>159</c:v>
                </c:pt>
                <c:pt idx="4">
                  <c:v>132.20000000000005</c:v>
                </c:pt>
                <c:pt idx="5">
                  <c:v>171</c:v>
                </c:pt>
                <c:pt idx="6">
                  <c:v>101.60000000000002</c:v>
                </c:pt>
                <c:pt idx="7">
                  <c:v>138.20000000000005</c:v>
                </c:pt>
                <c:pt idx="8">
                  <c:v>146.20000000000005</c:v>
                </c:pt>
                <c:pt idx="9">
                  <c:v>142</c:v>
                </c:pt>
                <c:pt idx="10">
                  <c:v>101.60000000000002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22281088"/>
        <c:axId val="222291072"/>
      </c:barChart>
      <c:catAx>
        <c:axId val="222281088"/>
        <c:scaling>
          <c:orientation val="minMax"/>
        </c:scaling>
        <c:delete val="0"/>
        <c:axPos val="l"/>
        <c:majorTickMark val="out"/>
        <c:minorTickMark val="none"/>
        <c:tickLblPos val="nextTo"/>
        <c:crossAx val="222291072"/>
        <c:crosses val="autoZero"/>
        <c:auto val="1"/>
        <c:lblAlgn val="ctr"/>
        <c:lblOffset val="100"/>
        <c:noMultiLvlLbl val="0"/>
      </c:catAx>
      <c:valAx>
        <c:axId val="222291072"/>
        <c:scaling>
          <c:orientation val="minMax"/>
          <c:max val="900"/>
          <c:min val="100"/>
        </c:scaling>
        <c:delete val="0"/>
        <c:axPos val="b"/>
        <c:numFmt formatCode="General" sourceLinked="1"/>
        <c:majorTickMark val="out"/>
        <c:minorTickMark val="none"/>
        <c:tickLblPos val="nextTo"/>
        <c:crossAx val="222281088"/>
        <c:crosses val="autoZero"/>
        <c:crossBetween val="between"/>
      </c:valAx>
    </c:plotArea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基本">
    <a:dk1>
      <a:srgbClr val="000000"/>
    </a:dk1>
    <a:lt1>
      <a:srgbClr val="FFFFFF"/>
    </a:lt1>
    <a:dk2>
      <a:srgbClr val="D1282E"/>
    </a:dk2>
    <a:lt2>
      <a:srgbClr val="C8C8B1"/>
    </a:lt2>
    <a:accent1>
      <a:srgbClr val="7A7A7A"/>
    </a:accent1>
    <a:accent2>
      <a:srgbClr val="F5C201"/>
    </a:accent2>
    <a:accent3>
      <a:srgbClr val="526DB0"/>
    </a:accent3>
    <a:accent4>
      <a:srgbClr val="989AAC"/>
    </a:accent4>
    <a:accent5>
      <a:srgbClr val="DC5924"/>
    </a:accent5>
    <a:accent6>
      <a:srgbClr val="B4B392"/>
    </a:accent6>
    <a:hlink>
      <a:srgbClr val="CC9900"/>
    </a:hlink>
    <a:folHlink>
      <a:srgbClr val="969696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基本">
    <a:dk1>
      <a:srgbClr val="000000"/>
    </a:dk1>
    <a:lt1>
      <a:srgbClr val="FFFFFF"/>
    </a:lt1>
    <a:dk2>
      <a:srgbClr val="D1282E"/>
    </a:dk2>
    <a:lt2>
      <a:srgbClr val="C8C8B1"/>
    </a:lt2>
    <a:accent1>
      <a:srgbClr val="7A7A7A"/>
    </a:accent1>
    <a:accent2>
      <a:srgbClr val="F5C201"/>
    </a:accent2>
    <a:accent3>
      <a:srgbClr val="526DB0"/>
    </a:accent3>
    <a:accent4>
      <a:srgbClr val="989AAC"/>
    </a:accent4>
    <a:accent5>
      <a:srgbClr val="DC5924"/>
    </a:accent5>
    <a:accent6>
      <a:srgbClr val="B4B392"/>
    </a:accent6>
    <a:hlink>
      <a:srgbClr val="CC9900"/>
    </a:hlink>
    <a:folHlink>
      <a:srgbClr val="969696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主管人员">
    <a:dk1>
      <a:sysClr val="windowText" lastClr="000000"/>
    </a:dk1>
    <a:lt1>
      <a:sysClr val="window" lastClr="FFFFFF"/>
    </a:lt1>
    <a:dk2>
      <a:srgbClr val="2F5897"/>
    </a:dk2>
    <a:lt2>
      <a:srgbClr val="E4E9EF"/>
    </a:lt2>
    <a:accent1>
      <a:srgbClr val="6076B4"/>
    </a:accent1>
    <a:accent2>
      <a:srgbClr val="9C5252"/>
    </a:accent2>
    <a:accent3>
      <a:srgbClr val="E68422"/>
    </a:accent3>
    <a:accent4>
      <a:srgbClr val="846648"/>
    </a:accent4>
    <a:accent5>
      <a:srgbClr val="63891F"/>
    </a:accent5>
    <a:accent6>
      <a:srgbClr val="758085"/>
    </a:accent6>
    <a:hlink>
      <a:srgbClr val="3399FF"/>
    </a:hlink>
    <a:folHlink>
      <a:srgbClr val="B2B2B2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YangYakun</dc:creator>
  <cp:lastModifiedBy>YangYakun</cp:lastModifiedBy>
  <cp:revision>2</cp:revision>
  <dcterms:created xsi:type="dcterms:W3CDTF">2018-03-17T10:15:00Z</dcterms:created>
  <dcterms:modified xsi:type="dcterms:W3CDTF">2018-03-17T10:53:00Z</dcterms:modified>
</cp:coreProperties>
</file>