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Personal Info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Full Name: user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Last Name: 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First Name: 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Date of Birth: 26/01/1982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Birth Place: United State of America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Nationality: Canadian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Sex: Male</w:t>
      </w:r>
    </w:p>
    <w:p>
      <w:pPr>
        <w:ind w:left="200" w:right="100"/>
        <w:spacing w:after="200"/>
      </w:pPr>
      <w:r>
        <w:rPr>
          <w:rFonts w:ascii="Varela Round" w:hAnsi="Varela Round" w:eastAsia="Varela Round" w:cs="Varela Round"/>
          <w:sz w:val="22"/>
          <w:szCs w:val="22"/>
        </w:rPr>
        <w:t xml:space="preserve">Address: Phnom Penh Cambodia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About Me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/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1985 - 2010: Quaerat expedita fac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Experience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1994 - 2000: Palmer and Vaughn Associates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training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1985 - 1993: Doctoral degree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skill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language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Reference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2020-02-06T14:42:16+00:00</dcterms:created>
  <dcterms:modified xsi:type="dcterms:W3CDTF">2020-02-06T14:42:16+00:00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