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D7C35" w:rsidP="00FD7C35" w:rsidRDefault="00FD7C35" w14:paraId="4FED1A39" wp14:textId="77777777"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b/>
          <w:bCs/>
          <w:sz w:val="27"/>
          <w:szCs w:val="27"/>
          <w:lang w:eastAsia="pt-BR"/>
        </w:rPr>
      </w:pPr>
      <w:proofErr w:type="spellStart"/>
      <w:r w:rsidRPr="00FD7C35">
        <w:rPr>
          <w:rFonts w:ascii="Arial" w:hAnsi="Arial" w:eastAsia="Times New Roman" w:cs="Arial"/>
          <w:b/>
          <w:bCs/>
          <w:sz w:val="27"/>
          <w:szCs w:val="27"/>
          <w:lang w:eastAsia="pt-BR"/>
        </w:rPr>
        <w:t>Pivotagem</w:t>
      </w:r>
      <w:proofErr w:type="spellEnd"/>
      <w:r w:rsidRPr="00FD7C35">
        <w:rPr>
          <w:rFonts w:ascii="Arial" w:hAnsi="Arial" w:eastAsia="Times New Roman" w:cs="Arial"/>
          <w:b/>
          <w:bCs/>
          <w:sz w:val="27"/>
          <w:szCs w:val="27"/>
          <w:lang w:eastAsia="pt-BR"/>
        </w:rPr>
        <w:t xml:space="preserve"> Estratégica: Valorização do Comércio Local</w:t>
      </w:r>
    </w:p>
    <w:p xmlns:wp14="http://schemas.microsoft.com/office/word/2010/wordml" w:rsidRPr="0094781E" w:rsidR="0094781E" w:rsidP="00FD7C35" w:rsidRDefault="0094781E" w14:paraId="30241F60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94781E">
        <w:rPr>
          <w:rFonts w:ascii="Arial" w:hAnsi="Arial" w:eastAsia="Times New Roman" w:cs="Arial"/>
          <w:sz w:val="24"/>
          <w:szCs w:val="24"/>
          <w:lang w:eastAsia="pt-BR"/>
        </w:rPr>
        <w:t xml:space="preserve">Durante o processo de desenvolvimento e testes da plataforma, identificou-se a necessidade de </w:t>
      </w:r>
      <w:r w:rsidRPr="00E46448">
        <w:rPr>
          <w:rFonts w:ascii="Arial" w:hAnsi="Arial" w:eastAsia="Times New Roman" w:cs="Arial"/>
          <w:bCs/>
          <w:sz w:val="24"/>
          <w:szCs w:val="24"/>
          <w:lang w:eastAsia="pt-BR"/>
        </w:rPr>
        <w:t>refinar a proposta inicial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 xml:space="preserve">, integrando novas funcionalidades que fossem mais alinhadas às demandas dos usuários e ao contexto urbano contemporâneo. A partir dessa reflexão, surgiu a </w:t>
      </w:r>
      <w:proofErr w:type="spellStart"/>
      <w:r w:rsidRPr="00E46448">
        <w:rPr>
          <w:rFonts w:ascii="Arial" w:hAnsi="Arial" w:eastAsia="Times New Roman" w:cs="Arial"/>
          <w:bCs/>
          <w:sz w:val="24"/>
          <w:szCs w:val="24"/>
          <w:lang w:eastAsia="pt-BR"/>
        </w:rPr>
        <w:t>pivotagem</w:t>
      </w:r>
      <w:proofErr w:type="spellEnd"/>
      <w:r w:rsidRPr="00E46448">
        <w:rPr>
          <w:rFonts w:ascii="Arial" w:hAnsi="Arial" w:eastAsia="Times New Roman" w:cs="Arial"/>
          <w:bCs/>
          <w:sz w:val="24"/>
          <w:szCs w:val="24"/>
          <w:lang w:eastAsia="pt-BR"/>
        </w:rPr>
        <w:t xml:space="preserve"> estratégica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 xml:space="preserve">: a inclusão de uma área dedicada exclusivamente à </w:t>
      </w:r>
      <w:r w:rsidRPr="00E46448">
        <w:rPr>
          <w:rFonts w:ascii="Arial" w:hAnsi="Arial" w:eastAsia="Times New Roman" w:cs="Arial"/>
          <w:bCs/>
          <w:sz w:val="24"/>
          <w:szCs w:val="24"/>
          <w:lang w:eastAsia="pt-BR"/>
        </w:rPr>
        <w:t>valorização e visibilidade do comércio local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.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 xml:space="preserve">Essa funcionalidade foi concebida como uma forma de </w:t>
      </w:r>
      <w:r w:rsidRPr="00E46448">
        <w:rPr>
          <w:rFonts w:ascii="Arial" w:hAnsi="Arial" w:eastAsia="Times New Roman" w:cs="Arial"/>
          <w:bCs/>
          <w:sz w:val="24"/>
          <w:szCs w:val="24"/>
          <w:lang w:eastAsia="pt-BR"/>
        </w:rPr>
        <w:t>facilitar a adaptação dos usuários a novos bairros, cidades ou regiões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, promovendo a conexão direta com os serviços essenciais do cotidiano. Por meio dessa funcionalidade, o sistema mapeia e recomenda estabelecimentos próximos, como:</w:t>
      </w:r>
    </w:p>
    <w:p xmlns:wp14="http://schemas.microsoft.com/office/word/2010/wordml" w:rsidRPr="0094781E" w:rsidR="0094781E" w:rsidP="0094781E" w:rsidRDefault="0094781E" w14:paraId="52F1DB57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 xml:space="preserve">Padarias, supermercados e </w:t>
      </w:r>
      <w:proofErr w:type="spellStart"/>
      <w:r w:rsidRPr="0094781E">
        <w:rPr>
          <w:rFonts w:ascii="Arial" w:hAnsi="Arial" w:eastAsia="Times New Roman" w:cs="Arial"/>
          <w:sz w:val="24"/>
          <w:szCs w:val="24"/>
          <w:lang w:eastAsia="pt-BR"/>
        </w:rPr>
        <w:t>hortifrutis</w:t>
      </w:r>
      <w:proofErr w:type="spellEnd"/>
      <w:r w:rsidRPr="0094781E">
        <w:rPr>
          <w:rFonts w:ascii="Arial" w:hAnsi="Arial" w:eastAsia="Times New Roman" w:cs="Arial"/>
          <w:sz w:val="24"/>
          <w:szCs w:val="24"/>
          <w:lang w:eastAsia="pt-BR"/>
        </w:rPr>
        <w:t>;</w:t>
      </w:r>
    </w:p>
    <w:p xmlns:wp14="http://schemas.microsoft.com/office/word/2010/wordml" w:rsidRPr="0094781E" w:rsidR="0094781E" w:rsidP="00525B8D" w:rsidRDefault="0094781E" w14:paraId="6DBCF332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Farmácias e clínicas de saúde;</w:t>
      </w:r>
    </w:p>
    <w:p xmlns:wp14="http://schemas.microsoft.com/office/word/2010/wordml" w:rsidRPr="0094781E" w:rsidR="0094781E" w:rsidP="0094781E" w:rsidRDefault="0094781E" w14:paraId="63A8FB8C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Cafeterias, restaurantes e lanchonetes;</w:t>
      </w:r>
    </w:p>
    <w:p xmlns:wp14="http://schemas.microsoft.com/office/word/2010/wordml" w:rsidRPr="0094781E" w:rsidR="0094781E" w:rsidP="0094781E" w:rsidRDefault="0094781E" w14:paraId="0502D166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Salões de beleza, barbearias, pet shops, entre outros.</w:t>
      </w:r>
    </w:p>
    <w:p xmlns:wp14="http://schemas.microsoft.com/office/word/2010/wordml" w:rsidRPr="00E46448" w:rsidR="00513A46" w:rsidP="00513A46" w:rsidRDefault="0094781E" w14:paraId="7AB8AE7E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94781E">
        <w:rPr>
          <w:rFonts w:ascii="Arial" w:hAnsi="Arial" w:eastAsia="Times New Roman" w:cs="Arial"/>
          <w:sz w:val="24"/>
          <w:szCs w:val="24"/>
          <w:lang w:eastAsia="pt-BR"/>
        </w:rPr>
        <w:t xml:space="preserve">O objetivo é proporcionar ao usuário uma experiência mais rica, conectada à vida local e ao entorno imediato de sua moradia ou empreendimento. Essa abordagem também responde à tendência crescente de fortalecimento da </w:t>
      </w:r>
      <w:r w:rsidRPr="00E46448">
        <w:rPr>
          <w:rFonts w:ascii="Arial" w:hAnsi="Arial" w:eastAsia="Times New Roman" w:cs="Arial"/>
          <w:bCs/>
          <w:sz w:val="24"/>
          <w:szCs w:val="24"/>
          <w:lang w:eastAsia="pt-BR"/>
        </w:rPr>
        <w:t>economia de proximidade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, que ganhou destaque nos últimos anos, especialmente após a pandemia de COVID-19, quando muitos consumidores passaram a valorizar comércios mais acessíveis e sustentáveis</w:t>
      </w:r>
      <w:r w:rsidRPr="00E46448" w:rsidR="00513A46">
        <w:rPr>
          <w:rFonts w:ascii="Arial" w:hAnsi="Arial" w:eastAsia="Times New Roman" w:cs="Arial"/>
          <w:sz w:val="24"/>
          <w:szCs w:val="24"/>
          <w:lang w:eastAsia="pt-BR"/>
        </w:rPr>
        <w:t>, por conta da facilidade e conhecimento da procedência</w:t>
      </w:r>
      <w:r w:rsidRPr="0094781E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E46448" w:rsidR="00513A46" w:rsidP="00513A46" w:rsidRDefault="00513A46" w14:paraId="070FAC33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O comércio local exerce um papel fundamental no desenvolvimento urbano e na qualidade de vida das populações. No contexto do município de Sorocaba (SP), esse setor tem demonstrado crescimento significativo, refletindo uma economia dinâmica, empreendedora e com forte vocação para a diversificação de serviços e produtos. Essa realidade se mostra altamente relevante para o projeto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VisionLar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, especialmente após a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pivotagem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 estratégica que incorporou a valorização do comércio de proximidade como uma de suas funcionalidades centrais.</w:t>
      </w:r>
    </w:p>
    <w:p xmlns:wp14="http://schemas.microsoft.com/office/word/2010/wordml" w:rsidRPr="00E46448" w:rsidR="00513A46" w:rsidP="00513A46" w:rsidRDefault="00513A46" w14:paraId="389D3F77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>Segundo dados divulgados pelo jornal Cruzeiro do Sul, Sorocaba registrou, até o início de 2023, um total de 26.179 pequenos negócios comerciais ativos, representando um crescimento de 18,53% em relação a 2021, quando havia cerca de 21.500 estabelecimentos registrados. Esses números evidenciam não apenas a resiliência do setor diante de adversidades econômicas recentes, como também o crescente interesse da população local pelo empreendedorismo de base.</w:t>
      </w:r>
    </w:p>
    <w:p xmlns:wp14="http://schemas.microsoft.com/office/word/2010/wordml" w:rsidRPr="00E46448" w:rsidR="00525B8D" w:rsidP="00513A46" w:rsidRDefault="00525B8D" w14:paraId="672A6659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E46448" w:rsidR="00525B8D" w:rsidP="00513A46" w:rsidRDefault="00525B8D" w14:paraId="0A37501D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E46448" w:rsidR="00513A46" w:rsidP="00525B8D" w:rsidRDefault="00513A46" w14:paraId="7ECD48CC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>Dentre os principais segmentos que compõem o comércio sorocabano, destacam-se:</w:t>
      </w:r>
    </w:p>
    <w:p xmlns:wp14="http://schemas.microsoft.com/office/word/2010/wordml" w:rsidRPr="00E46448" w:rsidR="00513A46" w:rsidP="00513A46" w:rsidRDefault="00513A46" w14:paraId="4406F804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>Comércio varejista de vestuário e acessórios: 4.362 estabelecimentos;</w:t>
      </w:r>
    </w:p>
    <w:p xmlns:wp14="http://schemas.microsoft.com/office/word/2010/wordml" w:rsidRPr="00E46448" w:rsidR="00513A46" w:rsidP="00513A46" w:rsidRDefault="00513A46" w14:paraId="26A532FA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>Serviços de manutenção e reparação mecânica de veículos: 1.920;</w:t>
      </w:r>
    </w:p>
    <w:p xmlns:wp14="http://schemas.microsoft.com/office/word/2010/wordml" w:rsidRPr="00E46448" w:rsidR="00513A46" w:rsidP="00513A46" w:rsidRDefault="00513A46" w14:paraId="06CEE360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>Comércio varejista de bebidas: 1.076;</w:t>
      </w:r>
    </w:p>
    <w:p xmlns:wp14="http://schemas.microsoft.com/office/word/2010/wordml" w:rsidRPr="00E46448" w:rsidR="00513A46" w:rsidP="00513A46" w:rsidRDefault="00513A46" w14:paraId="0B03152E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>Minimercados, mercearias e armazéns: 960;</w:t>
      </w:r>
    </w:p>
    <w:p xmlns:wp14="http://schemas.microsoft.com/office/word/2010/wordml" w:rsidRPr="00E46448" w:rsidR="00513A46" w:rsidP="00513A46" w:rsidRDefault="00513A46" w14:paraId="2A18891B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- 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>Comércio de produtos diversos: 939.</w:t>
      </w:r>
    </w:p>
    <w:p xmlns:wp14="http://schemas.microsoft.com/office/word/2010/wordml" w:rsidRPr="00E46448" w:rsidR="00513A46" w:rsidP="00513A46" w:rsidRDefault="00513A46" w14:paraId="79C05723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Esses dados revelam uma ampla oferta de serviços essenciais, os quais podem ser mapeados e apresentados na plataforma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VisionLar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>, facilitando a adaptação dos usuários a novos bairros e fortalecendo a conexão com a comunidade local.</w:t>
      </w:r>
    </w:p>
    <w:p xmlns:wp14="http://schemas.microsoft.com/office/word/2010/wordml" w:rsidRPr="00E46448" w:rsidR="00513A46" w:rsidP="00513A46" w:rsidRDefault="00513A46" w14:paraId="549F99C8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No que diz respeito à distribuição geográfica, os estabelecimentos comerciais concentram-se majoritariamente nas zonas Norte e Leste da cidade, que juntas abrigam cerca de 42% do total de comércios locais. A zona Norte, por si só, representa 24% dessa atividade, enquanto a Leste responde por 18%, sendo regiões densamente povoadas e com infraestrutura urbana consolidada. Essa concentração territorial oferece um indicativo valioso para a implementação inicial de funcionalidades georreferenciadas no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VisionLar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>, que podem priorizar a exibição de comércios próximos em áreas com maior densidade empresarial.</w:t>
      </w:r>
    </w:p>
    <w:p xmlns:wp14="http://schemas.microsoft.com/office/word/2010/wordml" w:rsidRPr="00E46448" w:rsidR="00513A46" w:rsidP="00513A46" w:rsidRDefault="00513A46" w14:paraId="5E3AD9ED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Outro destaque relevante é o crescimento do setor pet, que entre 2018 e 2024 apresentou um aumento de 125% no número de estabelecimentos, saltando de 1.617 para 3.669 negócios. Este dado revela uma mudança de comportamento no consumo urbano e abre oportunidades para que a plataforma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VisionLar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 também identifique e promova estabelecimentos pet-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friendly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, atendendo a uma demanda cada vez mais presente, sobretudo entre jovens adultos e famílias com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animai</w:t>
      </w:r>
      <w:r w:rsidRPr="00E46448">
        <w:rPr>
          <w:rFonts w:ascii="Arial" w:hAnsi="Arial" w:eastAsia="Times New Roman" w:cs="Arial"/>
          <w:sz w:val="24"/>
          <w:szCs w:val="24"/>
          <w:lang w:eastAsia="pt-BR"/>
        </w:rPr>
        <w:t>l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 de estimação.</w:t>
      </w:r>
    </w:p>
    <w:p xmlns:wp14="http://schemas.microsoft.com/office/word/2010/wordml" w:rsidRPr="00E46448" w:rsidR="00513A46" w:rsidP="00513A46" w:rsidRDefault="00513A46" w14:paraId="30E8757B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Ao integrar essas informações ao sistema, o </w:t>
      </w:r>
      <w:proofErr w:type="spellStart"/>
      <w:r w:rsidRPr="00E46448">
        <w:rPr>
          <w:rFonts w:ascii="Arial" w:hAnsi="Arial" w:eastAsia="Times New Roman" w:cs="Arial"/>
          <w:sz w:val="24"/>
          <w:szCs w:val="24"/>
          <w:lang w:eastAsia="pt-BR"/>
        </w:rPr>
        <w:t>VisionLar</w:t>
      </w:r>
      <w:proofErr w:type="spellEnd"/>
      <w:r w:rsidRPr="00E46448">
        <w:rPr>
          <w:rFonts w:ascii="Arial" w:hAnsi="Arial" w:eastAsia="Times New Roman" w:cs="Arial"/>
          <w:sz w:val="24"/>
          <w:szCs w:val="24"/>
          <w:lang w:eastAsia="pt-BR"/>
        </w:rPr>
        <w:t xml:space="preserve"> se posiciona como uma solução inovadora não apenas para a escolha de moradias e empreendimentos, mas também como um agente de fortalecimento do comércio local e de estímulo à economia urbana sustentável. Essa abordagem permite que a tecnologia atue como catalisadora de conexões humanas, facilitando o acesso a serviços e contribuindo para a criação de bairros mais integrados, autossuficientes e acolhedores.</w:t>
      </w:r>
    </w:p>
    <w:p xmlns:wp14="http://schemas.microsoft.com/office/word/2010/wordml" w:rsidRPr="00E46448" w:rsidR="0094781E" w:rsidP="006A5C23" w:rsidRDefault="0094781E" w14:paraId="45298B6D" wp14:textId="77777777">
      <w:pPr>
        <w:spacing w:before="100" w:beforeAutospacing="1" w:after="100" w:afterAutospacing="1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E46448">
        <w:rPr>
          <w:rFonts w:ascii="Arial" w:hAnsi="Arial" w:cs="Arial"/>
          <w:sz w:val="24"/>
          <w:szCs w:val="24"/>
        </w:rPr>
        <w:t xml:space="preserve">Com essa atualização, o </w:t>
      </w:r>
      <w:proofErr w:type="spellStart"/>
      <w:r w:rsidRPr="00E46448">
        <w:rPr>
          <w:rFonts w:ascii="Arial" w:hAnsi="Arial" w:cs="Arial"/>
          <w:sz w:val="24"/>
          <w:szCs w:val="24"/>
        </w:rPr>
        <w:t>VisionLar</w:t>
      </w:r>
      <w:proofErr w:type="spellEnd"/>
      <w:r w:rsidRPr="00E46448">
        <w:rPr>
          <w:rFonts w:ascii="Arial" w:hAnsi="Arial" w:cs="Arial"/>
          <w:sz w:val="24"/>
          <w:szCs w:val="24"/>
        </w:rPr>
        <w:t xml:space="preserve"> deixa de ser apenas uma ferramenta de </w:t>
      </w:r>
      <w:r w:rsidRPr="00E46448">
        <w:rPr>
          <w:rStyle w:val="Forte"/>
          <w:rFonts w:ascii="Arial" w:hAnsi="Arial" w:cs="Arial"/>
          <w:b w:val="0"/>
          <w:sz w:val="24"/>
          <w:szCs w:val="24"/>
        </w:rPr>
        <w:t>geolocalização ou análise urbana</w:t>
      </w:r>
      <w:r w:rsidRPr="00E46448">
        <w:rPr>
          <w:rFonts w:ascii="Arial" w:hAnsi="Arial" w:cs="Arial"/>
          <w:sz w:val="24"/>
          <w:szCs w:val="24"/>
        </w:rPr>
        <w:t xml:space="preserve">, tornando-se uma </w:t>
      </w:r>
      <w:r w:rsidRPr="00E46448">
        <w:rPr>
          <w:rStyle w:val="Forte"/>
          <w:rFonts w:ascii="Arial" w:hAnsi="Arial" w:cs="Arial"/>
          <w:b w:val="0"/>
          <w:sz w:val="24"/>
          <w:szCs w:val="24"/>
        </w:rPr>
        <w:t>plataforma de convivência inteligente</w:t>
      </w:r>
      <w:r w:rsidRPr="00E46448">
        <w:rPr>
          <w:rFonts w:ascii="Arial" w:hAnsi="Arial" w:cs="Arial"/>
          <w:sz w:val="24"/>
          <w:szCs w:val="24"/>
        </w:rPr>
        <w:t>, que promove:</w:t>
      </w:r>
    </w:p>
    <w:p xmlns:wp14="http://schemas.microsoft.com/office/word/2010/wordml" w:rsidRPr="00E46448" w:rsidR="0094781E" w:rsidP="0094781E" w:rsidRDefault="0094781E" w14:paraId="103EB0CE" wp14:textId="77777777">
      <w:pPr>
        <w:pStyle w:val="NormalWeb"/>
        <w:ind w:firstLine="360"/>
        <w:jc w:val="both"/>
        <w:rPr>
          <w:rFonts w:ascii="Arial" w:hAnsi="Arial" w:cs="Arial"/>
        </w:rPr>
      </w:pPr>
      <w:r w:rsidRPr="00E46448">
        <w:rPr>
          <w:rStyle w:val="Forte"/>
          <w:rFonts w:ascii="Arial" w:hAnsi="Arial" w:cs="Arial"/>
          <w:b w:val="0"/>
        </w:rPr>
        <w:t xml:space="preserve">- </w:t>
      </w:r>
      <w:r w:rsidRPr="00E46448">
        <w:rPr>
          <w:rStyle w:val="Forte"/>
          <w:rFonts w:ascii="Arial" w:hAnsi="Arial" w:cs="Arial"/>
          <w:b w:val="0"/>
        </w:rPr>
        <w:t>Integração social e comunitária</w:t>
      </w:r>
      <w:r w:rsidRPr="00E46448">
        <w:rPr>
          <w:rFonts w:ascii="Arial" w:hAnsi="Arial" w:cs="Arial"/>
        </w:rPr>
        <w:t>, ao estimular a relação entre moradores e comerciantes locais;</w:t>
      </w:r>
    </w:p>
    <w:p xmlns:wp14="http://schemas.microsoft.com/office/word/2010/wordml" w:rsidRPr="00E46448" w:rsidR="0094781E" w:rsidP="0094781E" w:rsidRDefault="0094781E" w14:paraId="45F20E03" wp14:textId="77777777">
      <w:pPr>
        <w:pStyle w:val="NormalWeb"/>
        <w:ind w:firstLine="360"/>
        <w:jc w:val="both"/>
        <w:rPr>
          <w:rFonts w:ascii="Arial" w:hAnsi="Arial" w:cs="Arial"/>
        </w:rPr>
      </w:pPr>
      <w:r w:rsidRPr="00E46448">
        <w:rPr>
          <w:rStyle w:val="Forte"/>
          <w:rFonts w:ascii="Arial" w:hAnsi="Arial" w:cs="Arial"/>
          <w:b w:val="0"/>
        </w:rPr>
        <w:t xml:space="preserve">- </w:t>
      </w:r>
      <w:r w:rsidRPr="00E46448">
        <w:rPr>
          <w:rStyle w:val="Forte"/>
          <w:rFonts w:ascii="Arial" w:hAnsi="Arial" w:cs="Arial"/>
          <w:b w:val="0"/>
        </w:rPr>
        <w:t>Desenvolvimento econômico sustentável</w:t>
      </w:r>
      <w:r w:rsidRPr="00E46448">
        <w:rPr>
          <w:rFonts w:ascii="Arial" w:hAnsi="Arial" w:cs="Arial"/>
        </w:rPr>
        <w:t>, ao favorecer pequenos negócios e fomentar a economia circular;</w:t>
      </w:r>
    </w:p>
    <w:p xmlns:wp14="http://schemas.microsoft.com/office/word/2010/wordml" w:rsidRPr="00E46448" w:rsidR="0094781E" w:rsidP="0094781E" w:rsidRDefault="0094781E" w14:paraId="7BE6FBA9" wp14:textId="77777777">
      <w:pPr>
        <w:pStyle w:val="NormalWeb"/>
        <w:ind w:firstLine="360"/>
        <w:jc w:val="both"/>
        <w:rPr>
          <w:rFonts w:ascii="Arial" w:hAnsi="Arial" w:cs="Arial"/>
        </w:rPr>
      </w:pPr>
      <w:r w:rsidRPr="00E46448">
        <w:rPr>
          <w:rStyle w:val="Forte"/>
          <w:rFonts w:ascii="Arial" w:hAnsi="Arial" w:cs="Arial"/>
          <w:b w:val="0"/>
        </w:rPr>
        <w:t xml:space="preserve">- </w:t>
      </w:r>
      <w:r w:rsidRPr="00E46448">
        <w:rPr>
          <w:rStyle w:val="Forte"/>
          <w:rFonts w:ascii="Arial" w:hAnsi="Arial" w:cs="Arial"/>
          <w:b w:val="0"/>
        </w:rPr>
        <w:t>Qualidade de vida e pertencimento urbano</w:t>
      </w:r>
      <w:r w:rsidRPr="00E46448">
        <w:rPr>
          <w:rFonts w:ascii="Arial" w:hAnsi="Arial" w:cs="Arial"/>
        </w:rPr>
        <w:t>, ao facilitar a adaptação a novas realidades e fortalecer vínculos com o território.</w:t>
      </w:r>
    </w:p>
    <w:p xmlns:wp14="http://schemas.microsoft.com/office/word/2010/wordml" w:rsidRPr="00E46448" w:rsidR="004D461D" w:rsidP="004D461D" w:rsidRDefault="0094781E" w14:paraId="37BE0957" wp14:textId="77777777">
      <w:pPr>
        <w:pStyle w:val="NormalWeb"/>
        <w:ind w:firstLine="360"/>
        <w:jc w:val="both"/>
        <w:rPr>
          <w:rStyle w:val="Forte"/>
          <w:rFonts w:ascii="Arial" w:hAnsi="Arial" w:cs="Arial"/>
          <w:b w:val="0"/>
        </w:rPr>
      </w:pPr>
      <w:r w:rsidRPr="00E46448">
        <w:rPr>
          <w:rFonts w:ascii="Arial" w:hAnsi="Arial" w:cs="Arial"/>
        </w:rPr>
        <w:t xml:space="preserve">A iniciativa, portanto, representa uma convergência entre tecnologia, urbanismo e cidadania. O </w:t>
      </w:r>
      <w:proofErr w:type="spellStart"/>
      <w:r w:rsidRPr="00E46448">
        <w:rPr>
          <w:rFonts w:ascii="Arial" w:hAnsi="Arial" w:cs="Arial"/>
        </w:rPr>
        <w:t>VisionLar</w:t>
      </w:r>
      <w:proofErr w:type="spellEnd"/>
      <w:r w:rsidRPr="00E46448">
        <w:rPr>
          <w:rFonts w:ascii="Arial" w:hAnsi="Arial" w:cs="Arial"/>
        </w:rPr>
        <w:t xml:space="preserve"> propõe um novo olhar sobre o planejamento de vida em cidades, no qual a </w:t>
      </w:r>
      <w:r w:rsidRPr="00E46448">
        <w:rPr>
          <w:rStyle w:val="Forte"/>
          <w:rFonts w:ascii="Arial" w:hAnsi="Arial" w:cs="Arial"/>
          <w:b w:val="0"/>
        </w:rPr>
        <w:t>inteligência artificial atua como agente de apoio à tomada de decisões mais humanas, sustentáveis e socialmente conectadas.</w:t>
      </w:r>
    </w:p>
    <w:p xmlns:wp14="http://schemas.microsoft.com/office/word/2010/wordml" w:rsidRPr="00E46448" w:rsidR="004D461D" w:rsidP="004D461D" w:rsidRDefault="004D461D" w14:paraId="542CF9F6" wp14:textId="77777777">
      <w:pPr>
        <w:pStyle w:val="NormalWeb"/>
        <w:jc w:val="center"/>
        <w:rPr>
          <w:rStyle w:val="Forte"/>
          <w:rFonts w:ascii="Arial" w:hAnsi="Arial" w:cs="Arial"/>
        </w:rPr>
      </w:pPr>
      <w:r w:rsidRPr="00E46448">
        <w:rPr>
          <w:rStyle w:val="Forte"/>
          <w:rFonts w:ascii="Arial" w:hAnsi="Arial" w:cs="Arial"/>
        </w:rPr>
        <w:t>Crescimento Urbano e Novos Empreendimentos em Sorocaba: Oportunidades e Desafios para a Integração Tecnológica</w:t>
      </w:r>
    </w:p>
    <w:p xmlns:wp14="http://schemas.microsoft.com/office/word/2010/wordml" w:rsidRPr="00E46448" w:rsidR="004D461D" w:rsidP="004D461D" w:rsidRDefault="004D461D" w14:paraId="75914E66" wp14:textId="77777777">
      <w:pPr>
        <w:pStyle w:val="NormalWeb"/>
        <w:jc w:val="both"/>
        <w:rPr>
          <w:rStyle w:val="Forte"/>
          <w:rFonts w:ascii="Arial" w:hAnsi="Arial" w:cs="Arial"/>
          <w:b w:val="0"/>
        </w:rPr>
      </w:pPr>
      <w:r w:rsidRPr="00E46448">
        <w:rPr>
          <w:rStyle w:val="Forte"/>
          <w:rFonts w:ascii="Arial" w:hAnsi="Arial" w:cs="Arial"/>
          <w:b w:val="0"/>
        </w:rPr>
        <w:t>O município de Sorocaba, localizado no interior do estado de São Paulo, tem se destacado nos últimos anos como um dos principais polos de desenvolvimento urbano e imobiliário do estado. Em 2025, esse cenário se consolida com a expansão da infraestrutura habitacional e a intensificação do crescimento populacional, fatores que impactam diretamente a dinâmica econômica e social da cidade. Segundo estimativas da Fundação Seade, entre 2023 e 2024, Sorocaba registrou um aumento de aproximadamente 10.900 habitantes, totalizando uma população de cerca de 733.600 moradores. Esse crescimento demográfico é reflexo da atratividade da cidade, sustentada por uma combinação de qualidade de vida, acesso a serviços, segurança relativa e proximidade com a capital paulista. As projeções indicam que, até 2030, a cidade poderá atingir a marca de 701.571 habitantes oficialmente recenseados, representando um aumento de 18,3% em relação aos dados de 2011. Vale destacar que esse crescimento é puxado especialmente pelo aumento da população adulta e idosa, o que exige um olhar atento para as novas demandas urbanas em termos de moradia, mobilidade, saúde e lazer. Paralelamente ao crescimento populacional, o mercado imobiliário de Sorocaba experimenta um momento de forte expansão. Em 2023, apenas no primeiro semestre, foram lançadas 2.492 novas unidades residenciais, um crescimento de 14% em comparação com o mesmo período do ano anterior. A tendência se mantém em 2025, com anúncios de investimentos que ultrapassam os R$ 500 milhões destinados à construção de 3 mil novas moradias. Esses empreendimentos estão concentrados, majoritariamente, nas zonas Norte, Leste e Oeste da cidade, áreas que também concentram grande parte da população e da atividade comercial.</w:t>
      </w:r>
    </w:p>
    <w:p xmlns:wp14="http://schemas.microsoft.com/office/word/2010/wordml" w:rsidRPr="00E46448" w:rsidR="004D461D" w:rsidP="004D461D" w:rsidRDefault="004D461D" w14:paraId="6513FDB9" wp14:textId="77777777">
      <w:pPr>
        <w:pStyle w:val="NormalWeb"/>
        <w:ind w:firstLine="708"/>
        <w:jc w:val="both"/>
        <w:rPr>
          <w:rStyle w:val="Forte"/>
          <w:rFonts w:ascii="Arial" w:hAnsi="Arial" w:cs="Arial"/>
          <w:b w:val="0"/>
        </w:rPr>
      </w:pPr>
      <w:r w:rsidRPr="00E46448">
        <w:rPr>
          <w:rStyle w:val="Forte"/>
          <w:rFonts w:ascii="Arial" w:hAnsi="Arial" w:cs="Arial"/>
          <w:b w:val="0"/>
        </w:rPr>
        <w:t>Esses novos projetos atendem prioritariamente famílias com renda entre R$ 2.600 e R$ 4.000 mensais, inseridas na faixa 2 do programa “Minha Casa, Minha Vida”, e indicam uma clara estratégia de adensamento urbano nas regiões periféricas e emergentes de Sorocaba. Tais mudanças impactam significativamente a estrutura urbana e o modo como os novos moradores se relacionam com o espaço em que vivem.</w:t>
      </w:r>
    </w:p>
    <w:p xmlns:wp14="http://schemas.microsoft.com/office/word/2010/wordml" w:rsidR="0012484A" w:rsidP="00E46448" w:rsidRDefault="0012484A" w14:paraId="5DAB6C7B" wp14:textId="77777777">
      <w:pPr>
        <w:pStyle w:val="NormalWeb"/>
        <w:ind w:firstLine="708"/>
        <w:jc w:val="both"/>
        <w:rPr>
          <w:rStyle w:val="Forte"/>
          <w:rFonts w:ascii="Arial" w:hAnsi="Arial" w:cs="Arial"/>
          <w:b w:val="0"/>
        </w:rPr>
      </w:pPr>
    </w:p>
    <w:p xmlns:wp14="http://schemas.microsoft.com/office/word/2010/wordml" w:rsidRPr="00E46448" w:rsidR="0094781E" w:rsidP="299ACBAB" w:rsidRDefault="004D461D" w14:paraId="2FDDCF48" wp14:textId="77777777">
      <w:pPr>
        <w:pStyle w:val="NormalWeb"/>
        <w:ind w:firstLine="708"/>
        <w:jc w:val="both"/>
        <w:rPr>
          <w:rFonts w:ascii="Arial" w:hAnsi="Arial" w:cs="Arial"/>
        </w:rPr>
      </w:pPr>
      <w:bookmarkStart w:name="_GoBack" w:id="0"/>
      <w:bookmarkEnd w:id="0"/>
      <w:r w:rsidRPr="299ACBAB" w:rsidR="004D461D">
        <w:rPr>
          <w:rStyle w:val="Forte"/>
          <w:rFonts w:ascii="Arial" w:hAnsi="Arial" w:cs="Arial"/>
          <w:b w:val="0"/>
          <w:bCs w:val="0"/>
        </w:rPr>
        <w:t xml:space="preserve">Outro vetor importante de transformação urbana em Sorocaba é o fortalecimento do setor tecnológico, representado pela expansão do Parque Tecnológico de Sorocaba (PTS). Com uma área de quase 1 milhão de metros quadrados e previsão de investimentos públicos e privados na ordem de R$ 70 milhões, o parque vem atraindo empresas voltadas à inovação e centros de pesquisa, reposicionando Sorocaba como um polo estratégico para o desenvolvimento de soluções tecnológicas no estado. Nesse contexto, iniciativas como a plataforma </w:t>
      </w:r>
      <w:r w:rsidRPr="299ACBAB" w:rsidR="004D461D">
        <w:rPr>
          <w:rStyle w:val="Forte"/>
          <w:rFonts w:ascii="Arial" w:hAnsi="Arial" w:cs="Arial"/>
          <w:b w:val="0"/>
          <w:bCs w:val="0"/>
        </w:rPr>
        <w:t>VisionLar</w:t>
      </w:r>
      <w:r w:rsidRPr="299ACBAB" w:rsidR="004D461D">
        <w:rPr>
          <w:rStyle w:val="Forte"/>
          <w:rFonts w:ascii="Arial" w:hAnsi="Arial" w:cs="Arial"/>
          <w:b w:val="0"/>
          <w:bCs w:val="0"/>
        </w:rPr>
        <w:t xml:space="preserve"> ganham relevância ao se proporem como instrumentos digitais capazes de apoiar a população na escolha consciente e informada de locais para residir ou empreender. Com funcionalidades baseadas em inteligência artificial e aprendizado de máquina, o sistema pode ser ajustado para integrar dados sobre os novos empreendimentos, identificar oportunidades de moradia de acordo com o perfil do usuário, e oferecer informações atualizadas sobre infraestrutura, comércio local e acesso a serviços. A capacidade de adaptar-se às mudanças do território, acompanhar o ritmo da urbanização e conectar pessoas a comunidades em formação coloca o </w:t>
      </w:r>
      <w:r w:rsidRPr="299ACBAB" w:rsidR="004D461D">
        <w:rPr>
          <w:rStyle w:val="Forte"/>
          <w:rFonts w:ascii="Arial" w:hAnsi="Arial" w:cs="Arial"/>
          <w:b w:val="0"/>
          <w:bCs w:val="0"/>
        </w:rPr>
        <w:t>VisionLar</w:t>
      </w:r>
      <w:r w:rsidRPr="299ACBAB" w:rsidR="004D461D">
        <w:rPr>
          <w:rStyle w:val="Forte"/>
          <w:rFonts w:ascii="Arial" w:hAnsi="Arial" w:cs="Arial"/>
          <w:b w:val="0"/>
          <w:bCs w:val="0"/>
        </w:rPr>
        <w:t xml:space="preserve"> como um exemplo de como a tecnologia pode ser uma aliada da inclusão social, do planejamento urbano inteligente e da valorização da vida em cidades em constante transformação.</w:t>
      </w:r>
    </w:p>
    <w:p w:rsidR="299ACBAB" w:rsidP="299ACBAB" w:rsidRDefault="299ACBAB" w14:paraId="6CB71E9B" w14:textId="63AA9C0B">
      <w:pPr>
        <w:pStyle w:val="NormalWeb"/>
        <w:ind w:firstLine="708"/>
        <w:jc w:val="both"/>
        <w:rPr>
          <w:rStyle w:val="Forte"/>
          <w:rFonts w:ascii="Arial" w:hAnsi="Arial" w:cs="Arial"/>
          <w:b w:val="0"/>
          <w:bCs w:val="0"/>
        </w:rPr>
      </w:pPr>
    </w:p>
    <w:p w:rsidR="299ACBAB" w:rsidP="299ACBAB" w:rsidRDefault="299ACBAB" w14:paraId="1A828FF5" w14:textId="32B37D18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0E092D42" w14:textId="0E526B79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1E17B865" w14:textId="6D327DED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1CE3E122" w14:textId="073669D6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5F2C03BE" w14:textId="266355D3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24963452" w14:textId="62CDB804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6C1DFFA2" w14:textId="6E4D8080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12768457" w14:textId="2F100EB7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15137CA9" w14:textId="245FD3A2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35CCC8A7" w14:textId="41B6D779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36A4D7D0" w14:textId="7903DB8C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727D0C8B" w14:textId="1E6C61A0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7AE7A58D" w14:textId="445DC0BB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603A1C06" w14:textId="10BB3B43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24BE50AA" w14:textId="37ED9406">
      <w:pPr>
        <w:pStyle w:val="NormalWeb"/>
        <w:jc w:val="center"/>
        <w:rPr>
          <w:rStyle w:val="Forte"/>
          <w:rFonts w:ascii="Arial" w:hAnsi="Arial" w:cs="Arial"/>
        </w:rPr>
      </w:pPr>
    </w:p>
    <w:p w:rsidR="45C8EC78" w:rsidP="299ACBAB" w:rsidRDefault="45C8EC78" w14:paraId="3964CDCE" w14:textId="4FA954FA">
      <w:pPr>
        <w:pStyle w:val="NormalWeb"/>
        <w:jc w:val="center"/>
        <w:rPr>
          <w:rStyle w:val="Forte"/>
          <w:rFonts w:ascii="Arial" w:hAnsi="Arial" w:cs="Arial"/>
        </w:rPr>
      </w:pPr>
      <w:r w:rsidRPr="299ACBAB" w:rsidR="45C8EC78">
        <w:rPr>
          <w:rStyle w:val="Forte"/>
          <w:rFonts w:ascii="Arial" w:hAnsi="Arial" w:cs="Arial"/>
        </w:rPr>
        <w:t xml:space="preserve">Oque </w:t>
      </w:r>
      <w:r w:rsidRPr="299ACBAB" w:rsidR="47005AB6">
        <w:rPr>
          <w:rStyle w:val="Forte"/>
          <w:rFonts w:ascii="Arial" w:hAnsi="Arial" w:cs="Arial"/>
        </w:rPr>
        <w:t>ofereceríamos</w:t>
      </w:r>
      <w:r w:rsidRPr="299ACBAB" w:rsidR="45C8EC78">
        <w:rPr>
          <w:rStyle w:val="Forte"/>
          <w:rFonts w:ascii="Arial" w:hAnsi="Arial" w:cs="Arial"/>
        </w:rPr>
        <w:t xml:space="preserve"> nos planos de assinatura oferecidos para as Construtoras e </w:t>
      </w:r>
      <w:r w:rsidRPr="299ACBAB" w:rsidR="23B44E9F">
        <w:rPr>
          <w:rStyle w:val="Forte"/>
          <w:rFonts w:ascii="Arial" w:hAnsi="Arial" w:cs="Arial"/>
        </w:rPr>
        <w:t>Imobiliárias</w:t>
      </w:r>
    </w:p>
    <w:p w:rsidR="299ACBAB" w:rsidP="299ACBAB" w:rsidRDefault="299ACBAB" w14:paraId="0C9D565C" w14:textId="7572D9A5">
      <w:pPr>
        <w:pStyle w:val="NormalWeb"/>
        <w:jc w:val="center"/>
        <w:rPr>
          <w:rStyle w:val="Forte"/>
          <w:rFonts w:ascii="Arial" w:hAnsi="Arial" w:cs="Arial"/>
        </w:rPr>
      </w:pPr>
    </w:p>
    <w:p w:rsidR="094B4291" w:rsidP="299ACBAB" w:rsidRDefault="094B4291" w14:paraId="67033CD6" w14:textId="02F15626">
      <w:pPr>
        <w:jc w:val="center"/>
      </w:pPr>
      <w:r w:rsidR="094B4291">
        <w:drawing>
          <wp:inline wp14:editId="7272B4B7" wp14:anchorId="247610CE">
            <wp:extent cx="5400675" cy="4019550"/>
            <wp:effectExtent l="0" t="0" r="0" b="0"/>
            <wp:docPr id="10536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d3fd8d980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ACBAB" w:rsidP="299ACBAB" w:rsidRDefault="299ACBAB" w14:paraId="6C645E33" w14:textId="7D5C39D8">
      <w:pPr>
        <w:pStyle w:val="NormalWeb"/>
        <w:jc w:val="center"/>
        <w:rPr>
          <w:rStyle w:val="Forte"/>
          <w:rFonts w:ascii="Arial" w:hAnsi="Arial" w:cs="Arial"/>
        </w:rPr>
      </w:pPr>
    </w:p>
    <w:p w:rsidR="299ACBAB" w:rsidP="299ACBAB" w:rsidRDefault="299ACBAB" w14:paraId="05E6554A" w14:textId="1CD42690">
      <w:pPr>
        <w:pStyle w:val="Normal"/>
        <w:jc w:val="center"/>
      </w:pPr>
    </w:p>
    <w:sectPr w:rsidRPr="00E46448" w:rsidR="009478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051F"/>
    <w:multiLevelType w:val="multilevel"/>
    <w:tmpl w:val="650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141997"/>
    <w:multiLevelType w:val="multilevel"/>
    <w:tmpl w:val="E9F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1E"/>
    <w:rsid w:val="0012484A"/>
    <w:rsid w:val="004D461D"/>
    <w:rsid w:val="00513A46"/>
    <w:rsid w:val="00525B8D"/>
    <w:rsid w:val="006A5C23"/>
    <w:rsid w:val="0094781E"/>
    <w:rsid w:val="009A68C9"/>
    <w:rsid w:val="00C36904"/>
    <w:rsid w:val="00E46448"/>
    <w:rsid w:val="00E8108A"/>
    <w:rsid w:val="00F4549C"/>
    <w:rsid w:val="00FD7C35"/>
    <w:rsid w:val="02D3FC79"/>
    <w:rsid w:val="094B4291"/>
    <w:rsid w:val="0CE308FE"/>
    <w:rsid w:val="111AE0C3"/>
    <w:rsid w:val="11F5FA3D"/>
    <w:rsid w:val="23B44E9F"/>
    <w:rsid w:val="24450404"/>
    <w:rsid w:val="264221B2"/>
    <w:rsid w:val="299ACBAB"/>
    <w:rsid w:val="2CC031C3"/>
    <w:rsid w:val="31364068"/>
    <w:rsid w:val="45C8EC78"/>
    <w:rsid w:val="47005AB6"/>
    <w:rsid w:val="4AFAC025"/>
    <w:rsid w:val="56A21A52"/>
    <w:rsid w:val="57EA6B03"/>
    <w:rsid w:val="77AE1DD5"/>
    <w:rsid w:val="78A8B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F205"/>
  <w15:chartTrackingRefBased/>
  <w15:docId w15:val="{E31D3B9B-B917-41F6-9ED9-98AAB2576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94781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94781E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4781E"/>
    <w:rPr>
      <w:b/>
      <w:bCs/>
    </w:rPr>
  </w:style>
  <w:style w:type="paragraph" w:styleId="NormalWeb">
    <w:name w:val="Normal (Web)"/>
    <w:basedOn w:val="Normal"/>
    <w:uiPriority w:val="99"/>
    <w:unhideWhenUsed/>
    <w:rsid w:val="009478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2dd3fd8d980447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Alunos</dc:creator>
  <keywords/>
  <dc:description/>
  <lastModifiedBy>douglasmeo54@gmail.com</lastModifiedBy>
  <revision>5</revision>
  <dcterms:created xsi:type="dcterms:W3CDTF">2025-06-13T22:45:00.0000000Z</dcterms:created>
  <dcterms:modified xsi:type="dcterms:W3CDTF">2025-06-14T03:49:52.3513857Z</dcterms:modified>
</coreProperties>
</file>