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30"/>
          <w:szCs w:val="30"/>
        </w:rPr>
        <w:t xml:space="preserve">Towards Trustworthy Clinical NER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Knowledge Graph-Enhanced Local LLMs with Active Learning  —  Progress vs. Proposal Objectives  —  11 Aug 2026</w:t>
      </w:r>
    </w:p>
    <w:p>
      <w:pPr>
        <w:pBdr>
          <w:bottom w:val="single" w:color="1E2761" w:sz="4" w:space="2"/>
        </w:pBdr>
        <w:spacing w:after="45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19"/>
          <w:szCs w:val="19"/>
        </w:rPr>
        <w:t xml:space="preserve">OBJECTIVE-BY-OBJECTIVE STATUS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6400"/>
      </w:tblGrid>
      <w:tr>
        <w:tc>
          <w:tcPr>
            <w:tcW w:type="dxa" w:w="3000"/>
            <w:shd w:fill="1E276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Objective</w:t>
            </w:r>
          </w:p>
        </w:tc>
        <w:tc>
          <w:tcPr>
            <w:tcW w:type="dxa" w:w="1400"/>
            <w:shd w:fill="1E276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6400"/>
            <w:shd w:fill="1E276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Evidence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1. Local LLM + Ontology Integration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2D"/>
                <w:sz w:val="15"/>
                <w:szCs w:val="15"/>
              </w:rPr>
              <w:t xml:space="preserve">Partial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DuckDB OMOP/Athena store live. GLiNER-BioMed extraction + 3-tier normalization (exact / synonym / SapBERT + fuzzy-typo) working end-to-end. Neo4j/Memgraph ingestion scripts still stubs.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2. Neuro-Symbolic Prompting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042"/>
                <w:sz w:val="15"/>
                <w:szCs w:val="15"/>
              </w:rPr>
              <w:t xml:space="preserve">Started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MoLLM ensemble (BioMistral-7B + OpenBioLLM-8B) built: confidence-gated routing, citation-fabrication guard, guideline retrieval. Proven catching a wrong-but-confident error other signals missed. Not yet wired into the main pipeline (single-note diagnostic only).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3. Active Learning / Feedback Loop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0011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routing, HITL reviewer UI, or KG write-back logic exists yet.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 Dataset Repurposing + KG Embeddings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5042"/>
                <w:sz w:val="15"/>
                <w:szCs w:val="15"/>
              </w:rPr>
              <w:t xml:space="preserve">Re-scoped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Pivoted from weak-supervision classification data to DrivenData's gold-standard span+concept annotations — stronger evidence, needs explicit justification in the write-up.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5. Evaluation &amp; Cost-Benefit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0011"/>
                <w:sz w:val="15"/>
                <w:szCs w:val="15"/>
              </w:rPr>
              <w:t xml:space="preserve">Baseline: 0.079 IoU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Run on 25 official test-split notes: in-scope macro char-IoU 0.079 / weighted 0.095 — well below the weakest leaderboard baseline (0.23/0.22). Stage 1→2a→2b only, no Stage 3 yet; diagnostics show span recall (21%) is the dominant gap, not normalization.</w:t>
            </w:r>
          </w:p>
        </w:tc>
      </w:tr>
    </w:tbl>
    <w:p>
      <w:pPr>
        <w:pBdr>
          <w:bottom w:val="single" w:color="2C5F2D" w:sz="4" w:space="2"/>
        </w:pBdr>
        <w:spacing w:after="45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2C5F2D"/>
          <w:sz w:val="19"/>
          <w:szCs w:val="19"/>
        </w:rPr>
        <w:t xml:space="preserve">PROBLEMS SOLVED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Deterministic, reproducible normalization: fixed a tiebreak bug that made repeated runs on the same note return different concept IDs — re-confirmed identical output across back-to-back runs. Directly supports the proposal's “white-box, traceable” claim.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Citation-fabrication tested, not assumed: hypothesis that schema design caused hallucinated citations was tested and rejected (fabrication rate unchanged, 5/7) — confirms the symbolic verification guard is load-bearing, not the LLMs self-policing.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Concrete failure mode fixed end-to-end: a misspelling (“spirnolactone”) that both ensemble models confidently resolved wrong was corrected by a new fuzzy-typo matching channel — before/after verified on the live models.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Clinical-tuned extraction swapped in (GLiNER-BioMed replacing a general-domain placeholder) and offset provenance (“time machine” through abbreviation expansion) verified correct.</w:t>
      </w:r>
    </w:p>
    <w:p>
      <w:pPr>
        <w:pBdr>
          <w:bottom w:val="single" w:color="B85042" w:sz="4" w:space="2"/>
        </w:pBdr>
        <w:spacing w:after="45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B85042"/>
          <w:sz w:val="19"/>
          <w:szCs w:val="19"/>
        </w:rPr>
        <w:t xml:space="preserve">NOT YET SOLVED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Stage 3 (MoLLM) is not integrated into the end-to-end pipeline — still a single-note diagnostic; no batch runner, no Stage 4 hand-off.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KG ingestion (Memgraph SNOMED hierarchy, Athena/OMOP import, concept embeddings) are empty stubs — blocks Stage 3 querying at real scale.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Objective 3 (Active Learning / HITL loop) has no code: no uncertainty routing, reviewer interface, or KG write-back.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Stage 2b has no similarity threshold or domain filter on SapBERT fallback matches — confirmed producing confidently wrong labels (e.g. “lasix” → “Laslades”).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25-note benchmark run complete: in-scope macro/weighted char-IoU is 0.079/0.095, roughly 3–6× below every leaderboard entry. Full 68-note run and Stage 3 integration still needed before this is a fair comparison.</w:t>
      </w:r>
    </w:p>
    <w:p>
      <w:pPr>
        <w:pBdr>
          <w:bottom w:val="single" w:color="990011" w:sz="4" w:space="2"/>
        </w:pBdr>
        <w:spacing w:after="45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990011"/>
          <w:sz w:val="19"/>
          <w:szCs w:val="19"/>
        </w:rPr>
        <w:t xml:space="preserve">CHALLENGES FORESEEN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Guideline coverage gap: only 8.53% of normalized entities currently retrieve any grounding rule — Stage 3 is mostly reasoning unaided until this closes, so the “grounded” claim is largely untested.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Confidence is not yet a usable signal: logprob confidence is flat (ECE 0.75 on first real sample) and self-reported LLM confidence is a per-model constant, not per-record — auto-validate thresholds are currently unjustifiable numbers pending a real calibration set.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Hardware ceiling: Tesla T4 already forced dropping one candidate model; vLLM servers must be restarted every session and two models must share GPU memory carefully.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Timeline: the proposal's own top risk. Effort so far has polished the least distinctive part (extraction/normalization) while the thesis-defining parts — grounded prompting, active learning — remain undone.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EC2 usage vs. the proposal's “local infrastructure only” privacy claim needs an explicit, documented resolution before it becomes a dissertation liability.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Extraction coverage, not normalization, is the main blocker to a competitive benchmark score: on the 25-note run, 79% of gold spans have no overlapping prediction at all — closing that gap matters more than any Stage 2b/3 fix.</w:t>
      </w:r>
    </w:p>
    <w:p>
      <w:pPr>
        <w:pBdr>
          <w:bottom w:val="single" w:color="1C7293" w:sz="4" w:space="2"/>
        </w:pBdr>
        <w:spacing w:after="45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19"/>
          <w:szCs w:val="19"/>
        </w:rPr>
        <w:t xml:space="preserve">PATH TO OBJECTIVE 5 — EVALUATION &amp; COST-BENEFIT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Accuracy: official DrivenData character-IoU (macro + support-weighted) is implemented, verified, and now has a first real reading — 0.079/0.095 on 25 notes, Stage 1→2a→2b only. Concept-level precision/recall/F1 with note-level bootstrap CIs and a paired comparison against Clinical-T5 is designed (Evaluation_Criteria.md) but not yet coded — eval_suite.py is still 0 lines, though score_gold_recall.py already covers the core scoring logic it should be pointed at.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Cost-benefit: deflection rate (% of extractions reaching the KG without human review) and false-deflection rate, tracked at three checkpoints T0/T1/T2, are the framework's actual “reduced annotation cost” evidence — this cannot be measured until Stage 3/4 (HITL routing) exist, so it follows directly behind that work, not in parallel.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Calibration: cal_eval.py (ECE, reliability diagram, threshold sweep) is built and already tested end-to-end on a small live sample — will be re-run on a proper validation slice once Stage 3 has real throughput, to fit justified auto-validate/resolve thresholds before any headline accuracy number is claimed.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Privacy adherence: closing the EC2-vs-“local infrastructure only” question (above) is a precondition for claiming this criterion met, not a separate task.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Success criteria are pre-registered (Evaluation_Criteria.md): the accuracy claim holds if concept-level F1 at T2 meets/exceeds Clinical-T5 with non-overlapping bootstrap CIs; the effort-reduction claim holds if the T0→T2 deflection-rate trend is statistically distinguishable from flat while false-deflection rate stays within a pre-set bound.</w:t>
      </w:r>
    </w:p>
    <w:sectPr>
      <w:pgSz w:w="12240" w:h="15840" w:orient="portrait"/>
      <w:pgMar w:top="460" w:right="620" w:bottom="3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2026-08-11T10:03:13.559Z</dcterms:created>
  <dcterms:modified xsi:type="dcterms:W3CDTF">2026-08-11T10:03:13.559Z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