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4"/>
        </w:rPr>
        <w:t>Gallbladder Ultrasound Datasets</w:t>
      </w:r>
    </w:p>
    <w:p>
      <w:r>
        <w:rPr>
          <w:i/>
          <w:color w:val="606060"/>
          <w:sz w:val="23"/>
        </w:rPr>
        <w:t>Who to email, in priority order, plus a ready-to-send template</w:t>
      </w:r>
    </w:p>
    <w:p>
      <w:r>
        <w:rPr>
          <w:color w:val="606060"/>
          <w:sz w:val="18"/>
        </w:rPr>
        <w:t>Prepared 16 July 2026  ·  Academic / non-commercial use</w:t>
      </w:r>
    </w:p>
    <w:p/>
    <w:p>
      <w:r>
        <w:rPr>
          <w:b/>
          <w:color w:val="1F4E79"/>
          <w:sz w:val="28"/>
        </w:rPr>
        <w:t>Start here</w:t>
      </w:r>
    </w:p>
    <w:p>
      <w:r>
        <w:rPr>
          <w:sz w:val="21"/>
        </w:rPr>
        <w:t xml:space="preserve">Email </w:t>
      </w:r>
      <w:r>
        <w:rPr>
          <w:b/>
          <w:sz w:val="21"/>
        </w:rPr>
        <w:t>#1 and #2 today</w:t>
      </w:r>
      <w:r>
        <w:rPr>
          <w:sz w:val="21"/>
        </w:rPr>
        <w:t>. They are separate requests, so there is no reason to wait on one before sending the other. Researchers are often slow to reply and some never do, so sending a few requests at once is really the whole plan. When you write, name the exact dataset you want (the column below tells you what to call it) so there is no confusion about what you are asking for.</w:t>
      </w:r>
    </w:p>
    <w:p/>
    <w:p>
      <w:r>
        <w:rPr>
          <w:b/>
          <w:color w:val="1F4E79"/>
          <w:sz w:val="28"/>
        </w:rPr>
        <w:t>Ranked contacts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32"/>
            <w:shd w:fill="1F4E79"/>
          </w:tcPr>
          <w:p>
            <w:r/>
            <w:r>
              <w:rPr>
                <w:b/>
                <w:color w:val="FFFFFF"/>
                <w:sz w:val="19"/>
              </w:rPr>
              <w:t>#</w:t>
            </w:r>
          </w:p>
        </w:tc>
        <w:tc>
          <w:tcPr>
            <w:tcW w:type="dxa" w:w="1944"/>
            <w:shd w:fill="1F4E79"/>
          </w:tcPr>
          <w:p>
            <w:r/>
            <w:r>
              <w:rPr>
                <w:b/>
                <w:color w:val="FFFFFF"/>
                <w:sz w:val="19"/>
              </w:rPr>
              <w:t>Who</w:t>
            </w:r>
          </w:p>
        </w:tc>
        <w:tc>
          <w:tcPr>
            <w:tcW w:type="dxa" w:w="2232"/>
            <w:shd w:fill="1F4E79"/>
          </w:tcPr>
          <w:p>
            <w:r/>
            <w:r>
              <w:rPr>
                <w:b/>
                <w:color w:val="FFFFFF"/>
                <w:sz w:val="19"/>
              </w:rPr>
              <w:t>Email</w:t>
            </w:r>
          </w:p>
        </w:tc>
        <w:tc>
          <w:tcPr>
            <w:tcW w:type="dxa" w:w="3672"/>
            <w:shd w:fill="1F4E79"/>
          </w:tcPr>
          <w:p>
            <w:r/>
            <w:r>
              <w:rPr>
                <w:b/>
                <w:color w:val="FFFFFF"/>
                <w:sz w:val="19"/>
              </w:rPr>
              <w:t>Dataset to ask for (and link)</w:t>
            </w:r>
          </w:p>
        </w:tc>
        <w:tc>
          <w:tcPr>
            <w:tcW w:type="dxa" w:w="1224"/>
            <w:shd w:fill="1F4E79"/>
          </w:tcPr>
          <w:p>
            <w:r/>
            <w:r>
              <w:rPr>
                <w:b/>
                <w:color w:val="FFFFFF"/>
                <w:sz w:val="19"/>
              </w:rPr>
              <w:t>Effort</w:t>
            </w:r>
          </w:p>
        </w:tc>
      </w:tr>
      <w:tr>
        <w:tc>
          <w:tcPr>
            <w:tcW w:type="dxa" w:w="432"/>
          </w:tcPr>
          <w:p>
            <w:r/>
            <w:r>
              <w:rPr>
                <w:b/>
                <w:color w:val="1F4E79"/>
                <w:sz w:val="24"/>
              </w:rPr>
              <w:t>1</w:t>
            </w:r>
          </w:p>
        </w:tc>
        <w:tc>
          <w:tcPr>
            <w:tcW w:type="dxa" w:w="1944"/>
          </w:tcPr>
          <w:p>
            <w:r/>
            <w:r>
              <w:rPr>
                <w:b/>
                <w:sz w:val="19"/>
              </w:rPr>
              <w:t>Dheeraj Kumar</w:t>
              <w:br/>
              <w:t>Parul University, Vadodara</w:t>
            </w:r>
          </w:p>
        </w:tc>
        <w:tc>
          <w:tcPr>
            <w:tcW w:type="dxa" w:w="2232"/>
          </w:tcPr>
          <w:p>
            <w:r/>
            <w:r>
              <w:rPr>
                <w:b w:val="0"/>
                <w:color w:val="1E7A34"/>
                <w:sz w:val="19"/>
              </w:rPr>
              <w:t>dheeraj.singh@paruluniversity.ac.in</w:t>
              <w:br/>
              <w:t>(verified)</w:t>
            </w:r>
          </w:p>
        </w:tc>
        <w:tc>
          <w:tcPr>
            <w:tcW w:type="dxa" w:w="3672"/>
          </w:tcPr>
          <w:p>
            <w:r/>
            <w:r>
              <w:rPr>
                <w:b/>
                <w:sz w:val="19"/>
              </w:rPr>
              <w:t>Cholelithiasis ultrasound dataset</w:t>
              <w:br/>
              <w:t>from Kumar et al. 2025 (Sci. Reports).</w:t>
              <w:br/>
              <w:t>Request the real images from this paper:</w:t>
            </w:r>
          </w:p>
          <w:p>
            <w:hyperlink r:id="rId9">
              <w:r>
                <w:rPr>
                  <w:color w:val="0B579B"/>
                  <w:u w:val="single"/>
                  <w:sz w:val="18"/>
                </w:rPr>
                <w:t>https://www.nature.com/articles/s41598-025-85798-2</w:t>
              </w:r>
            </w:hyperlink>
          </w:p>
        </w:tc>
        <w:tc>
          <w:tcPr>
            <w:tcW w:type="dxa" w:w="1224"/>
          </w:tcPr>
          <w:p>
            <w:r/>
            <w:r>
              <w:rPr>
                <w:b w:val="0"/>
                <w:sz w:val="19"/>
              </w:rPr>
              <w:t>Low</w:t>
              <w:br/>
              <w:t>Just an email</w:t>
            </w:r>
          </w:p>
        </w:tc>
      </w:tr>
      <w:tr>
        <w:tc>
          <w:tcPr>
            <w:tcW w:type="dxa" w:w="432"/>
          </w:tcPr>
          <w:p>
            <w:r/>
            <w:r>
              <w:rPr>
                <w:b/>
                <w:color w:val="1F4E79"/>
                <w:sz w:val="24"/>
              </w:rPr>
              <w:t>2</w:t>
            </w:r>
          </w:p>
        </w:tc>
        <w:tc>
          <w:tcPr>
            <w:tcW w:type="dxa" w:w="1944"/>
          </w:tcPr>
          <w:p>
            <w:r/>
            <w:r>
              <w:rPr>
                <w:b/>
                <w:sz w:val="19"/>
              </w:rPr>
              <w:t>Dr. Pankaj Gupta</w:t>
              <w:br/>
              <w:t>Dr. Chetan Arora</w:t>
              <w:br/>
              <w:t>IIT Delhi / PGIMER</w:t>
            </w:r>
          </w:p>
        </w:tc>
        <w:tc>
          <w:tcPr>
            <w:tcW w:type="dxa" w:w="2232"/>
          </w:tcPr>
          <w:p>
            <w:r/>
            <w:r>
              <w:rPr>
                <w:b w:val="0"/>
                <w:color w:val="1E7A34"/>
                <w:sz w:val="19"/>
              </w:rPr>
              <w:t>pankajgupta959@gmail.com</w:t>
              <w:br/>
              <w:t>chetan@cse.iitd.ac.in</w:t>
              <w:br/>
              <w:t>(both verified)</w:t>
            </w:r>
          </w:p>
        </w:tc>
        <w:tc>
          <w:tcPr>
            <w:tcW w:type="dxa" w:w="3672"/>
          </w:tcPr>
          <w:p>
            <w:r/>
            <w:r>
              <w:rPr>
                <w:b/>
                <w:sz w:val="19"/>
              </w:rPr>
              <w:t>Gallbladder Cancer Ultrasound</w:t>
              <w:br/>
              <w:t>(GBCU) Dataset. Sign the form on:</w:t>
            </w:r>
          </w:p>
          <w:p>
            <w:hyperlink r:id="rId10">
              <w:r>
                <w:rPr>
                  <w:color w:val="0B579B"/>
                  <w:u w:val="single"/>
                  <w:sz w:val="18"/>
                </w:rPr>
                <w:t>https://gbc-iitd.github.io/data/gbcu</w:t>
              </w:r>
            </w:hyperlink>
          </w:p>
        </w:tc>
        <w:tc>
          <w:tcPr>
            <w:tcW w:type="dxa" w:w="1224"/>
          </w:tcPr>
          <w:p>
            <w:r/>
            <w:r>
              <w:rPr>
                <w:b w:val="0"/>
                <w:sz w:val="19"/>
              </w:rPr>
              <w:t>High</w:t>
              <w:br/>
              <w:t>Faculty must sign</w:t>
            </w:r>
          </w:p>
        </w:tc>
      </w:tr>
      <w:tr>
        <w:tc>
          <w:tcPr>
            <w:tcW w:type="dxa" w:w="432"/>
          </w:tcPr>
          <w:p>
            <w:r/>
            <w:r>
              <w:rPr>
                <w:b/>
                <w:color w:val="1F4E79"/>
                <w:sz w:val="24"/>
              </w:rPr>
              <w:t>3</w:t>
            </w:r>
          </w:p>
        </w:tc>
        <w:tc>
          <w:tcPr>
            <w:tcW w:type="dxa" w:w="1944"/>
          </w:tcPr>
          <w:p>
            <w:r/>
            <w:r>
              <w:rPr>
                <w:b/>
                <w:sz w:val="19"/>
              </w:rPr>
              <w:t>Young H. Kim (senior author)</w:t>
              <w:br/>
              <w:t>Ge et al., 2025</w:t>
            </w:r>
          </w:p>
        </w:tc>
        <w:tc>
          <w:tcPr>
            <w:tcW w:type="dxa" w:w="2232"/>
          </w:tcPr>
          <w:p>
            <w:r/>
            <w:r>
              <w:rPr>
                <w:b w:val="0"/>
                <w:color w:val="B32D2D"/>
                <w:sz w:val="19"/>
              </w:rPr>
              <w:t>Not verified. Take it from the paper's first page.</w:t>
            </w:r>
          </w:p>
        </w:tc>
        <w:tc>
          <w:tcPr>
            <w:tcW w:type="dxa" w:w="3672"/>
          </w:tcPr>
          <w:p>
            <w:r/>
            <w:r>
              <w:rPr>
                <w:b/>
                <w:sz w:val="19"/>
              </w:rPr>
              <w:t>Gallbladder cine ultrasound dataset</w:t>
              <w:br/>
              <w:t>from Ge et al. 2025 (Acad. Radiology):</w:t>
            </w:r>
          </w:p>
          <w:p>
            <w:hyperlink r:id="rId11">
              <w:r>
                <w:rPr>
                  <w:color w:val="0B579B"/>
                  <w:u w:val="single"/>
                  <w:sz w:val="18"/>
                </w:rPr>
                <w:t>https://www.academicradiology.org/article/S1076-6332(24)00648-2/fulltext</w:t>
              </w:r>
            </w:hyperlink>
          </w:p>
        </w:tc>
        <w:tc>
          <w:tcPr>
            <w:tcW w:type="dxa" w:w="1224"/>
          </w:tcPr>
          <w:p>
            <w:r/>
            <w:r>
              <w:rPr>
                <w:b w:val="0"/>
                <w:sz w:val="19"/>
              </w:rPr>
              <w:t>Low</w:t>
              <w:br/>
              <w:t>Just an email</w:t>
            </w:r>
          </w:p>
        </w:tc>
      </w:tr>
      <w:tr>
        <w:tc>
          <w:tcPr>
            <w:tcW w:type="dxa" w:w="432"/>
          </w:tcPr>
          <w:p>
            <w:r/>
            <w:r>
              <w:rPr>
                <w:b/>
                <w:color w:val="1F4E79"/>
                <w:sz w:val="24"/>
              </w:rPr>
              <w:t>4</w:t>
            </w:r>
          </w:p>
        </w:tc>
        <w:tc>
          <w:tcPr>
            <w:tcW w:type="dxa" w:w="1944"/>
          </w:tcPr>
          <w:p>
            <w:r/>
            <w:r>
              <w:rPr>
                <w:b/>
                <w:sz w:val="19"/>
              </w:rPr>
              <w:t>Chun-Chao Chang</w:t>
              <w:br/>
              <w:t>Taipei Medical University</w:t>
            </w:r>
          </w:p>
        </w:tc>
        <w:tc>
          <w:tcPr>
            <w:tcW w:type="dxa" w:w="2232"/>
          </w:tcPr>
          <w:p>
            <w:r/>
            <w:r>
              <w:rPr>
                <w:b w:val="0"/>
                <w:color w:val="B32D2D"/>
                <w:sz w:val="19"/>
              </w:rPr>
              <w:t>Not verified. Take it from the paper's first page.</w:t>
            </w:r>
          </w:p>
        </w:tc>
        <w:tc>
          <w:tcPr>
            <w:tcW w:type="dxa" w:w="3672"/>
          </w:tcPr>
          <w:p>
            <w:r/>
            <w:r>
              <w:rPr>
                <w:b/>
                <w:sz w:val="19"/>
              </w:rPr>
              <w:t>Point-of-care gallbladder ultrasound</w:t>
              <w:br/>
              <w:t>dataset from Yu et al. 2021 (CMPB):</w:t>
            </w:r>
          </w:p>
          <w:p>
            <w:hyperlink r:id="rId12">
              <w:r>
                <w:rPr>
                  <w:color w:val="0B579B"/>
                  <w:u w:val="single"/>
                  <w:sz w:val="18"/>
                </w:rPr>
                <w:t>https://www.sciencedirect.com/science/article/abs/pii/S0169260721004569</w:t>
              </w:r>
            </w:hyperlink>
          </w:p>
        </w:tc>
        <w:tc>
          <w:tcPr>
            <w:tcW w:type="dxa" w:w="1224"/>
          </w:tcPr>
          <w:p>
            <w:r/>
            <w:r>
              <w:rPr>
                <w:b w:val="0"/>
                <w:sz w:val="19"/>
              </w:rPr>
              <w:t>Low</w:t>
              <w:br/>
              <w:t>Just an email</w:t>
            </w:r>
          </w:p>
        </w:tc>
      </w:tr>
    </w:tbl>
    <w:p/>
    <w:p>
      <w:r>
        <w:rPr>
          <w:b/>
          <w:color w:val="1F4E79"/>
          <w:sz w:val="28"/>
        </w:rPr>
        <w:t>Why this order</w:t>
      </w:r>
    </w:p>
    <w:p>
      <w:pPr>
        <w:pStyle w:val="ListBullet"/>
      </w:pPr>
      <w:r>
        <w:rPr>
          <w:sz w:val="21"/>
        </w:rPr>
        <w:t>Kumar comes first because it is the only option that both matches our task perfectly and needs no permission. His paper sorts gallstones from normal on ultrasound, which is exactly what we are building. Ask for the real images only, since the paper also uses AI-generated fake ones. It is worth asking how the normal and stone cases are spread across their three hospitals, because an uneven spread brings back the same hospital-bias problem we already have.</w:t>
      </w:r>
    </w:p>
    <w:p>
      <w:pPr>
        <w:pStyle w:val="ListBullet"/>
      </w:pPr>
      <w:r>
        <w:rPr>
          <w:sz w:val="21"/>
        </w:rPr>
        <w:t>GBCU is the best dataset, but it is locked behind a form. Everything was scanned at one hospital on one machine, so the normal and stone images actually look alike, which is the property that matters most to us. The problem is that only permanent faculty may request it and students are turned away, so a supervisor has to send the form. Any faculty member counts, even a course instructor, so it is worth one ask. One quirk: stones are not their own folder here, they are marked inside the benign images, so we would filter those down.</w:t>
      </w:r>
    </w:p>
    <w:p>
      <w:pPr>
        <w:pStyle w:val="ListBullet"/>
      </w:pPr>
      <w:r>
        <w:rPr>
          <w:sz w:val="21"/>
        </w:rPr>
        <w:t>Ge and Yu are backups. Both are ordinary request-the-authors papers, so a student can email directly. We could not confirm their addresses automatically, so read them off the corresponding-author line on the first page of each paper rather than guessing. A wrong address just bounces quietly and you never hear back.</w:t>
      </w:r>
    </w:p>
    <w:p>
      <w:r>
        <w:br w:type="page"/>
      </w:r>
    </w:p>
    <w:p>
      <w:r>
        <w:rPr>
          <w:b/>
          <w:color w:val="1F4E79"/>
          <w:sz w:val="28"/>
        </w:rPr>
        <w:t>Email template</w:t>
      </w:r>
    </w:p>
    <w:p>
      <w:r>
        <w:rPr>
          <w:i/>
          <w:color w:val="606060"/>
          <w:sz w:val="20"/>
        </w:rPr>
        <w:t>Fill in the bracketed parts. The same wording works for all four contacts.</w:t>
      </w:r>
    </w:p>
    <w:tbl>
      <w:tblPr>
        <w:tblStyle w:val="TableGrid"/>
        <w:tblW w:type="auto" w:w="0"/>
        <w:tblLook w:firstColumn="1" w:firstRow="1" w:lastColumn="0" w:lastRow="0" w:noHBand="0" w:noVBand="1" w:val="04A0"/>
      </w:tblPr>
      <w:tblGrid>
        <w:gridCol w:w="8640"/>
      </w:tblGrid>
      <w:tr>
        <w:tc>
          <w:tcPr>
            <w:tcW w:type="dxa" w:w="8640"/>
            <w:shd w:fill="F4F6F8"/>
          </w:tcPr>
          <w:p>
            <w:r/>
          </w:p>
          <w:p>
            <w:pPr>
              <w:spacing w:after="240"/>
            </w:pPr>
            <w:r>
              <w:rPr>
                <w:rFonts w:ascii="Calibri" w:hAnsi="Calibri"/>
                <w:b/>
                <w:sz w:val="21"/>
              </w:rPr>
              <w:t>Subject: Data request, [paper title]</w:t>
            </w:r>
          </w:p>
          <w:p>
            <w:pPr>
              <w:spacing w:after="120"/>
            </w:pPr>
            <w:r>
              <w:rPr>
                <w:rFonts w:ascii="Calibri" w:hAnsi="Calibri"/>
                <w:b w:val="0"/>
                <w:sz w:val="21"/>
              </w:rPr>
              <w:t>Dear Dr. [Name],</w:t>
            </w:r>
          </w:p>
          <w:p>
            <w:pPr>
              <w:spacing w:after="120"/>
            </w:pPr>
            <w:r>
              <w:rPr>
                <w:rFonts w:ascii="Calibri" w:hAnsi="Calibri"/>
                <w:b w:val="0"/>
                <w:sz w:val="21"/>
              </w:rPr>
              <w:t>I am a student at [university] working on an academic, non-commercial project on gallbladder ultrasound classification (stones vs. normal). I read your paper "[title]" ([journal, year]) and saw that the dataset is available on request.</w:t>
            </w:r>
          </w:p>
          <w:p>
            <w:pPr>
              <w:spacing w:after="120"/>
            </w:pPr>
            <w:r>
              <w:rPr>
                <w:rFonts w:ascii="Calibri" w:hAnsi="Calibri"/>
                <w:b w:val="0"/>
                <w:sz w:val="21"/>
              </w:rPr>
              <w:t>Would it be possible to access the [dataset name] ultrasound images? Specifically, I would need:</w:t>
            </w:r>
          </w:p>
          <w:p>
            <w:pPr>
              <w:pStyle w:val="ListBullet"/>
              <w:spacing w:after="40"/>
            </w:pPr>
            <w:r>
              <w:rPr>
                <w:sz w:val="21"/>
              </w:rPr>
              <w:t>the real (non-synthetic) images with their normal and gallstone labels</w:t>
            </w:r>
          </w:p>
          <w:p>
            <w:pPr>
              <w:pStyle w:val="ListBullet"/>
              <w:spacing w:after="40"/>
            </w:pPr>
            <w:r>
              <w:rPr>
                <w:sz w:val="21"/>
              </w:rPr>
              <w:t>patient identifiers or per-patient grouping if available, since I split data by patient to avoid leakage</w:t>
            </w:r>
          </w:p>
          <w:p>
            <w:pPr>
              <w:pStyle w:val="ListBullet"/>
              <w:spacing w:after="40"/>
            </w:pPr>
            <w:r>
              <w:rPr>
                <w:sz w:val="21"/>
              </w:rPr>
              <w:t>a note on whether normal and stone images were captured on the same machine and protocol</w:t>
            </w:r>
          </w:p>
          <w:p>
            <w:pPr>
              <w:spacing w:after="240"/>
            </w:pPr>
            <w:r>
              <w:rPr>
                <w:rFonts w:ascii="Calibri" w:hAnsi="Calibri"/>
                <w:b w:val="0"/>
                <w:sz w:val="21"/>
              </w:rPr>
              <w:t>I am happy to sign any data-use agreement, and I will cite your paper in any work that comes out of this.</w:t>
            </w:r>
          </w:p>
          <w:p>
            <w:pPr>
              <w:spacing w:after="120"/>
            </w:pPr>
            <w:r>
              <w:rPr>
                <w:rFonts w:ascii="Calibri" w:hAnsi="Calibri"/>
                <w:b w:val="0"/>
                <w:sz w:val="21"/>
              </w:rPr>
              <w:t>Thank you for your time,</w:t>
            </w:r>
          </w:p>
          <w:p>
            <w:pPr>
              <w:spacing w:after="40"/>
            </w:pPr>
            <w:r>
              <w:rPr>
                <w:rFonts w:ascii="Calibri" w:hAnsi="Calibri"/>
                <w:b w:val="0"/>
                <w:sz w:val="21"/>
              </w:rPr>
              <w:t>[Your name, university, supervisor's name if you have one]</w:t>
            </w:r>
          </w:p>
        </w:tc>
      </w:tr>
    </w:tbl>
    <w:p/>
    <w:p>
      <w:r>
        <w:rPr>
          <w:b/>
          <w:color w:val="1F4E79"/>
          <w:sz w:val="28"/>
        </w:rPr>
        <w:t>Two things to ask for in every email</w:t>
      </w:r>
    </w:p>
    <w:p>
      <w:r>
        <w:rPr>
          <w:i/>
          <w:color w:val="606060"/>
          <w:sz w:val="20"/>
        </w:rPr>
        <w:t>Both are easy to forget and both can sink the whole thing.</w:t>
      </w:r>
    </w:p>
    <w:p>
      <w:pPr>
        <w:pStyle w:val="ListNumber"/>
      </w:pPr>
      <w:r>
        <w:rPr>
          <w:b/>
          <w:sz w:val="21"/>
        </w:rPr>
        <w:t>Patient IDs.</w:t>
      </w:r>
      <w:r>
        <w:rPr>
          <w:sz w:val="21"/>
        </w:rPr>
        <w:t xml:space="preserve"> If we do not know which images came from the same person, we cannot split the data properly. The same patient's scans end up in both training and testing, and the model looks far better than it really is. This one issue is why the biggest free dataset, UIdataGB, is useless to us despite its size.</w:t>
      </w:r>
    </w:p>
    <w:p>
      <w:pPr>
        <w:pStyle w:val="ListNumber"/>
      </w:pPr>
      <w:r>
        <w:rPr>
          <w:b/>
          <w:sz w:val="21"/>
        </w:rPr>
        <w:t>Confirmation that both classes were scanned the same way.</w:t>
      </w:r>
      <w:r>
        <w:rPr>
          <w:sz w:val="21"/>
        </w:rPr>
        <w:t xml:space="preserve"> Same machine, same department, same protocol. If normals and stones were captured differently, the model learns to spot that difference instead of learning the anatomy, which is the exact problem our current two-hospital data already has.</w:t>
      </w:r>
    </w:p>
    <w:p/>
    <w:p>
      <w:r>
        <w:rPr>
          <w:i/>
          <w:color w:val="606060"/>
          <w:sz w:val="18"/>
        </w:rPr>
        <w:t>One dataset we left off on purpose: UIdataGB (10,692 images, free to download with no permission). All nine of its classes are diseases and it has no normal class at all, so it cannot support a stones-vs-normal task on its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ture.com/articles/s41598-025-85798-2" TargetMode="External"/><Relationship Id="rId10" Type="http://schemas.openxmlformats.org/officeDocument/2006/relationships/hyperlink" Target="https://gbc-iitd.github.io/data/gbcu" TargetMode="External"/><Relationship Id="rId11" Type="http://schemas.openxmlformats.org/officeDocument/2006/relationships/hyperlink" Target="https://www.academicradiology.org/article/S1076-6332(24)00648-2/fulltext" TargetMode="External"/><Relationship Id="rId12" Type="http://schemas.openxmlformats.org/officeDocument/2006/relationships/hyperlink" Target="https://www.sciencedirect.com/science/article/abs/pii/S01692607210045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