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26FC" w14:textId="76B9D9C1" w:rsidR="00160372" w:rsidRDefault="00191D70">
      <w:pPr>
        <w:pStyle w:val="Titre"/>
      </w:pPr>
      <w:r>
        <w:t xml:space="preserve">BIOTICA — A Multi-Dimensional Bio-Geochemical Framework </w:t>
      </w:r>
    </w:p>
    <w:p w14:paraId="5FF45C2D" w14:textId="77777777" w:rsidR="00160372" w:rsidRDefault="00191D70">
      <w:pPr>
        <w:pStyle w:val="FirstParagraph"/>
      </w:pPr>
      <w:r>
        <w:t>🌿 BIOTICA</w:t>
      </w:r>
    </w:p>
    <w:p w14:paraId="3C0BFCCD" w14:textId="4BF33613" w:rsidR="00160372" w:rsidRDefault="00191D70">
      <w:pPr>
        <w:pStyle w:val="Corpsdetexte"/>
      </w:pPr>
      <w:r>
        <w:t>DOI: 10.14293/BIOTICA.2026.001 · March 2026</w:t>
      </w:r>
    </w:p>
    <w:p w14:paraId="32EE1360" w14:textId="77777777" w:rsidR="00160372" w:rsidRDefault="00191D70">
      <w:pPr>
        <w:pStyle w:val="Corpsdetexte"/>
      </w:pPr>
      <w:r>
        <w:t>🌿</w:t>
      </w:r>
    </w:p>
    <w:p w14:paraId="726A079D" w14:textId="77777777" w:rsidR="00160372" w:rsidRDefault="00191D70">
      <w:pPr>
        <w:pStyle w:val="Corpsdetexte"/>
      </w:pPr>
      <w:r>
        <w:t>Comprehensive Review &amp; Original Research · March 2026</w:t>
      </w:r>
    </w:p>
    <w:p w14:paraId="68B305A6" w14:textId="77777777" w:rsidR="00160372" w:rsidRDefault="00191D70">
      <w:pPr>
        <w:pStyle w:val="Titre1"/>
      </w:pPr>
      <w:bookmarkStart w:id="0" w:name="biotica"/>
      <w:r>
        <w:t>BIOTICA</w:t>
      </w:r>
    </w:p>
    <w:p w14:paraId="36EC95A2" w14:textId="77777777" w:rsidR="00160372" w:rsidRDefault="00191D70">
      <w:pPr>
        <w:pStyle w:val="FirstParagraph"/>
      </w:pPr>
      <w:r>
        <w:t>Living Systems as Legible Archives: A Multi-Dimensional Bio-Geochemical Framework for the Systematic Assessment, Predictive Modeling, and Cosmological Contextualization of Ecosystem Resilience on a Changing Planet</w:t>
      </w:r>
    </w:p>
    <w:p w14:paraId="2D354A02" w14:textId="77777777" w:rsidR="00160372" w:rsidRPr="00F81939" w:rsidRDefault="00191D70">
      <w:pPr>
        <w:pStyle w:val="Corpsdetexte"/>
        <w:rPr>
          <w:b/>
          <w:bCs/>
        </w:rPr>
      </w:pPr>
      <w:r w:rsidRPr="00F81939">
        <w:rPr>
          <w:b/>
          <w:bCs/>
        </w:rPr>
        <w:t>Samir Baladi</w:t>
      </w:r>
    </w:p>
    <w:p w14:paraId="7065069D" w14:textId="5D420193" w:rsidR="00160372" w:rsidRDefault="00191D70">
      <w:pPr>
        <w:pStyle w:val="Corpsdetexte"/>
      </w:pPr>
      <w:r>
        <w:t>Interdisciplinary AI Researcher</w:t>
      </w:r>
      <w:r w:rsidR="00F81939">
        <w:t xml:space="preserve">.                                                       </w:t>
      </w:r>
      <w:r>
        <w:t xml:space="preserve"> — Life Sciences &amp; Bio-Geochemical Systems Division</w:t>
      </w:r>
    </w:p>
    <w:p w14:paraId="6EBBB7B5" w14:textId="7D30E722" w:rsidR="00160372" w:rsidRDefault="00191D70">
      <w:pPr>
        <w:pStyle w:val="Corpsdetexte"/>
      </w:pPr>
      <w:r>
        <w:t xml:space="preserve">Ronin Institute / Rite of Renaissance </w:t>
      </w:r>
      <w:r w:rsidR="00C33129">
        <w:t xml:space="preserve">                                     </w:t>
      </w:r>
      <w:r>
        <w:t>ORCID: 0009-0003-8903-0029</w:t>
      </w:r>
      <w:r w:rsidR="00C33129">
        <w:t xml:space="preserve">.                        </w:t>
      </w:r>
      <w:r w:rsidR="00AD6988">
        <w:t xml:space="preserve">                     </w:t>
      </w:r>
      <w:r w:rsidR="00C33129">
        <w:t xml:space="preserve">   </w:t>
      </w:r>
      <w:r>
        <w:t xml:space="preserve"> </w:t>
      </w:r>
      <w:r w:rsidR="00AD6988">
        <w:t xml:space="preserve">Email: </w:t>
      </w:r>
      <w:hyperlink r:id="rId7" w:history="1">
        <w:r w:rsidR="00AD6988" w:rsidRPr="008437AC">
          <w:rPr>
            <w:rStyle w:val="Lienhypertexte"/>
          </w:rPr>
          <w:t>gitdeeper@gmail.com</w:t>
        </w:r>
      </w:hyperlink>
      <w:r w:rsidR="00AD6988">
        <w:t xml:space="preserve">                                   </w:t>
      </w:r>
      <w:r w:rsidR="000615CA">
        <w:t xml:space="preserve">       </w:t>
      </w:r>
      <w:r w:rsidR="00AD6988">
        <w:t xml:space="preserve">            </w:t>
      </w:r>
      <w:r w:rsidR="000615CA">
        <w:t>Phone: +1 (614) 264-2074</w:t>
      </w:r>
      <w:r w:rsidR="000615CA">
        <w:br/>
      </w:r>
    </w:p>
    <w:p w14:paraId="32839291" w14:textId="1DA0E5E9" w:rsidR="00160372" w:rsidRDefault="00191D70">
      <w:pPr>
        <w:pStyle w:val="Corpsdetexte"/>
      </w:pPr>
      <w:r>
        <w:t>📖 Nature Sustainability — Submitted March 2026 🏆 Comprehensive Review &amp; Original Research</w:t>
      </w:r>
      <w:r w:rsidR="00FB4829">
        <w:t xml:space="preserve">.                           </w:t>
      </w:r>
      <w:r>
        <w:t xml:space="preserve"> DOI: 10.14293/BIOTICA.2026.001 </w:t>
      </w:r>
      <w:r w:rsidR="00FB4829">
        <w:t xml:space="preserve">                                   </w:t>
      </w:r>
      <w:r>
        <w:t>Manuscript: BIOTICA-2026-001</w:t>
      </w:r>
    </w:p>
    <w:p w14:paraId="7C9A893B" w14:textId="77777777" w:rsidR="00160372" w:rsidRDefault="00191D70">
      <w:pPr>
        <w:pStyle w:val="Corpsdetexte"/>
      </w:pPr>
      <w:r>
        <w:t>92.6%</w:t>
      </w:r>
    </w:p>
    <w:p w14:paraId="4F8FA45A" w14:textId="77777777" w:rsidR="00160372" w:rsidRDefault="00191D70">
      <w:pPr>
        <w:pStyle w:val="Corpsdetexte"/>
      </w:pPr>
      <w:r>
        <w:t>IBR Classification Accuracy</w:t>
      </w:r>
    </w:p>
    <w:p w14:paraId="54A0FD91" w14:textId="77777777" w:rsidR="00160372" w:rsidRDefault="00191D70">
      <w:pPr>
        <w:pStyle w:val="Corpsdetexte"/>
      </w:pPr>
      <w:r>
        <w:t>3,412</w:t>
      </w:r>
    </w:p>
    <w:p w14:paraId="3F2C7A98" w14:textId="77777777" w:rsidR="00160372" w:rsidRDefault="00191D70">
      <w:pPr>
        <w:pStyle w:val="Corpsdetexte"/>
      </w:pPr>
      <w:r>
        <w:t>Validated Ecosystems</w:t>
      </w:r>
    </w:p>
    <w:p w14:paraId="2867E7AC" w14:textId="77777777" w:rsidR="00160372" w:rsidRDefault="00191D70">
      <w:pPr>
        <w:pStyle w:val="Corpsdetexte"/>
      </w:pPr>
      <w:r>
        <w:t>9</w:t>
      </w:r>
    </w:p>
    <w:p w14:paraId="352F6BC8" w14:textId="77777777" w:rsidR="00160372" w:rsidRDefault="00191D70">
      <w:pPr>
        <w:pStyle w:val="Corpsdetexte"/>
      </w:pPr>
      <w:r>
        <w:t>Integrated Parameters</w:t>
      </w:r>
    </w:p>
    <w:p w14:paraId="77469744" w14:textId="77777777" w:rsidR="00160372" w:rsidRDefault="00191D70">
      <w:pPr>
        <w:pStyle w:val="Corpsdetexte"/>
      </w:pPr>
      <w:r>
        <w:t>22</w:t>
      </w:r>
    </w:p>
    <w:p w14:paraId="6A261412" w14:textId="77777777" w:rsidR="00160372" w:rsidRDefault="00191D70">
      <w:pPr>
        <w:pStyle w:val="Corpsdetexte"/>
      </w:pPr>
      <w:r>
        <w:t>Global Biomes Covered</w:t>
      </w:r>
    </w:p>
    <w:bookmarkEnd w:id="0"/>
    <w:p w14:paraId="51DCE6DB" w14:textId="77777777" w:rsidR="00160372" w:rsidRDefault="00191D70">
      <w:pPr>
        <w:pStyle w:val="Corpsdetexte"/>
      </w:pPr>
      <w:r>
        <w:t>ecosystem resilience bio-geochemistry carbon sequestration microbial diversity phenology hydrological flux trophic networks AI classification regenerative capacity species genomics IBR index tipping points</w:t>
      </w:r>
    </w:p>
    <w:p w14:paraId="2DE6B990" w14:textId="2360C243" w:rsidR="00FB4829" w:rsidRDefault="00191D70">
      <w:pPr>
        <w:pStyle w:val="Corpsdetexte"/>
      </w:pPr>
      <w:r>
        <w:rPr>
          <w:b/>
          <w:bCs/>
        </w:rPr>
        <w:t>Submitted:</w:t>
      </w:r>
      <w:r>
        <w:t xml:space="preserve"> Nature Sustainability (Springer Nature)</w:t>
      </w:r>
      <w:r w:rsidR="00FB4829">
        <w:t xml:space="preserve">.           </w:t>
      </w:r>
      <w:r>
        <w:t xml:space="preserve"> </w:t>
      </w:r>
      <w:r>
        <w:rPr>
          <w:b/>
          <w:bCs/>
        </w:rPr>
        <w:t>DOI:</w:t>
      </w:r>
      <w:r>
        <w:t xml:space="preserve"> 10.14293/BIOTICA.2026.001 </w:t>
      </w:r>
      <w:r w:rsidR="00FB4829">
        <w:t xml:space="preserve">                              </w:t>
      </w:r>
      <w:r>
        <w:rPr>
          <w:b/>
          <w:bCs/>
        </w:rPr>
        <w:t>Repository:</w:t>
      </w:r>
      <w:r>
        <w:t xml:space="preserve"> </w:t>
      </w:r>
      <w:hyperlink r:id="rId8">
        <w:r>
          <w:rPr>
            <w:rStyle w:val="Lienhypertexte"/>
          </w:rPr>
          <w:t>gitlab.com/gitdeeper07/biotica</w:t>
        </w:r>
      </w:hyperlink>
      <w:r>
        <w:t xml:space="preserve"> </w:t>
      </w:r>
      <w:r w:rsidR="00FB4829">
        <w:t xml:space="preserve">                   </w:t>
      </w:r>
      <w:r>
        <w:rPr>
          <w:b/>
          <w:bCs/>
        </w:rPr>
        <w:t>Contact</w:t>
      </w:r>
      <w:r w:rsidR="00FB4829">
        <w:rPr>
          <w:b/>
          <w:bCs/>
        </w:rPr>
        <w:t xml:space="preserve"> : </w:t>
      </w:r>
      <w:r w:rsidR="00FB4829">
        <w:t xml:space="preserve">+1 (614) 264-2074                                             </w:t>
      </w:r>
      <w:r w:rsidR="00FB4829">
        <w:rPr>
          <w:b/>
          <w:bCs/>
        </w:rPr>
        <w:t xml:space="preserve">         Email : gitd</w:t>
      </w:r>
      <w:r w:rsidR="00C42AF9">
        <w:rPr>
          <w:b/>
          <w:bCs/>
        </w:rPr>
        <w:t>eeper@gmail.com</w:t>
      </w:r>
    </w:p>
    <w:p w14:paraId="39EEDD3C" w14:textId="77777777" w:rsidR="00160372" w:rsidRDefault="00191D70">
      <w:pPr>
        <w:pStyle w:val="Corpsdetexte"/>
      </w:pPr>
      <w:r>
        <w:t xml:space="preserve">BIOTICA presents the first integrated, nine-parameter bio-geochemical framework for the systematic assessment, predictive modeling, and cosmological contextualization of ecosystem resilience across Earth's major biomes. We propose that living ecosystems are not merely biological communities but </w:t>
      </w:r>
      <w:r>
        <w:rPr>
          <w:b/>
          <w:bCs/>
        </w:rPr>
        <w:t>dynamic information systems</w:t>
      </w:r>
      <w:r>
        <w:t xml:space="preserve"> — encoding millions of years of evolutionary pressure, climate history, and geochemical negotiation in the composition of their soils, the architecture of their trophic networks, and the isotopic memory of their organic matter. These are legible archives, and BIOTICA provides the cipher.</w:t>
      </w:r>
    </w:p>
    <w:p w14:paraId="3E3F04A7" w14:textId="77777777" w:rsidR="00C42AF9" w:rsidRDefault="00191D70">
      <w:pPr>
        <w:pStyle w:val="Corpsdetexte"/>
      </w:pPr>
      <w:r>
        <w:t>The BIOTICA framework integrates nine analytical parameters into a single</w:t>
      </w:r>
    </w:p>
    <w:p w14:paraId="1BAA1254" w14:textId="4C6E4AF9" w:rsidR="00160372" w:rsidRDefault="00191D70">
      <w:pPr>
        <w:pStyle w:val="Corpsdetexte"/>
      </w:pPr>
      <w:r>
        <w:t xml:space="preserve"> </w:t>
      </w:r>
      <w:r>
        <w:rPr>
          <w:b/>
          <w:bCs/>
        </w:rPr>
        <w:t>Integrated Biotic Resilience index (IBR)</w:t>
      </w:r>
      <w:r>
        <w:t xml:space="preserve">: (1) Vegetative Carbon Absorption (VCA), (2) Microbial Diversity Index (MDI), (3) Phenological Time Shift (PTS), (4) Hydrological Flux Index (HFI), (5) Biogeochemical Nutrient Cycle (BNC), (6) Species Genetic Heterogeneity (SGH), (7) Anthropogenic Encroachment Score (AES), (8) Trophic Metadata Integration (TMI), and (9) Regenerative Recovery Capacity (RRC). This framework transforms the qualitative, discipline-fragmented landscape of ecosystem science into a unified quantitative system delivering reproducible resilience assessments with </w:t>
      </w:r>
      <w:r>
        <w:rPr>
          <w:b/>
          <w:bCs/>
        </w:rPr>
        <w:t>92.6% accuracy</w:t>
      </w:r>
      <w:r>
        <w:t xml:space="preserve"> across a validation dataset of 3,412 ecosystem plots from 22 global biome types spanning 6 continents.</w:t>
      </w:r>
    </w:p>
    <w:p w14:paraId="668DD796" w14:textId="77777777" w:rsidR="00160372" w:rsidRDefault="00191D70">
      <w:pPr>
        <w:pStyle w:val="Corpsdetexte"/>
      </w:pPr>
      <w:r>
        <w:t xml:space="preserve">Key findings include: the identification of a previously unmapped </w:t>
      </w:r>
      <w:r>
        <w:rPr>
          <w:i/>
          <w:iCs/>
        </w:rPr>
        <w:t>resilience phase boundary</w:t>
      </w:r>
      <w:r>
        <w:t xml:space="preserve"> in tropical-to-savanna transition zones that accounts for 14.7% of misclassified plots in global land-use databases; a new phenological drift model predicting seasonal timing shifts to within ±6.2 days across 180 instrumentally monitored sites; the discovery of a statistically significant correlation between soil microbial phylogenetic diversity and above-ground carbon retention capacity (</w:t>
      </w:r>
      <w:r>
        <w:rPr>
          <w:i/>
          <w:iCs/>
        </w:rPr>
        <w:t>r</w:t>
      </w:r>
      <w:r>
        <w:t xml:space="preserve"> = +0.917, </w:t>
      </w:r>
      <w:r>
        <w:rPr>
          <w:i/>
          <w:iCs/>
        </w:rPr>
        <w:t>p</w:t>
      </w:r>
      <w:r>
        <w:t xml:space="preserve"> &lt; 0.001) that enables carbon stock prediction to ±31 Mg C·ha⁻¹; and validation of an AI-assisted remote sensing classification system achieving 89.4% agreement with expert field survey designations while reducing assessment time from months to hours.</w:t>
      </w:r>
    </w:p>
    <w:p w14:paraId="6A9482BC" w14:textId="77777777" w:rsidR="00160372" w:rsidRDefault="00191D70">
      <w:pPr>
        <w:pStyle w:val="Corpsdetexte"/>
      </w:pPr>
      <w:r>
        <w:t>⬢ Key Quantitative Results</w:t>
      </w:r>
    </w:p>
    <w:p w14:paraId="5E68600E" w14:textId="77777777" w:rsidR="00160372" w:rsidRDefault="00191D70">
      <w:pPr>
        <w:pStyle w:val="Corpsdetexte"/>
      </w:pPr>
      <w:r>
        <w:t>①</w:t>
      </w:r>
    </w:p>
    <w:p w14:paraId="6539D94B" w14:textId="77777777" w:rsidR="00160372" w:rsidRDefault="00191D70">
      <w:pPr>
        <w:pStyle w:val="Corpsdetexte"/>
      </w:pPr>
      <w:r>
        <w:rPr>
          <w:b/>
          <w:bCs/>
        </w:rPr>
        <w:t>IBR Classification Accuracy: 92.6%</w:t>
      </w:r>
      <w:r>
        <w:t xml:space="preserve"> across 3,412 validated ecosystem plots</w:t>
      </w:r>
    </w:p>
    <w:p w14:paraId="7751F4C6" w14:textId="77777777" w:rsidR="00160372" w:rsidRDefault="00191D70">
      <w:pPr>
        <w:pStyle w:val="Corpsdetexte"/>
      </w:pPr>
      <w:r>
        <w:t>②</w:t>
      </w:r>
    </w:p>
    <w:p w14:paraId="1E284AAA" w14:textId="77777777" w:rsidR="00160372" w:rsidRDefault="00191D70">
      <w:pPr>
        <w:pStyle w:val="Corpsdetexte"/>
      </w:pPr>
      <w:r>
        <w:rPr>
          <w:b/>
          <w:bCs/>
        </w:rPr>
        <w:t>Phenological Drift Precision: ±6.2 days</w:t>
      </w:r>
      <w:r>
        <w:t xml:space="preserve"> across 180 monitored sites</w:t>
      </w:r>
    </w:p>
    <w:p w14:paraId="0AC52378" w14:textId="77777777" w:rsidR="00160372" w:rsidRDefault="00191D70">
      <w:pPr>
        <w:pStyle w:val="Corpsdetexte"/>
      </w:pPr>
      <w:r>
        <w:t>③</w:t>
      </w:r>
    </w:p>
    <w:p w14:paraId="47EE5F8D" w14:textId="77777777" w:rsidR="00160372" w:rsidRDefault="00191D70">
      <w:pPr>
        <w:pStyle w:val="Corpsdetexte"/>
      </w:pPr>
      <w:r>
        <w:rPr>
          <w:b/>
          <w:bCs/>
        </w:rPr>
        <w:t>MDI–Carbon Correlation: r = +0.917</w:t>
      </w:r>
      <w:r>
        <w:t xml:space="preserve"> (p &lt; 0.001, n = 1,240 plots)</w:t>
      </w:r>
    </w:p>
    <w:p w14:paraId="1ED47D77" w14:textId="77777777" w:rsidR="00160372" w:rsidRDefault="00191D70">
      <w:pPr>
        <w:pStyle w:val="Corpsdetexte"/>
      </w:pPr>
      <w:r>
        <w:t>④</w:t>
      </w:r>
    </w:p>
    <w:p w14:paraId="58DDFE85" w14:textId="77777777" w:rsidR="00160372" w:rsidRDefault="00191D70">
      <w:pPr>
        <w:pStyle w:val="Corpsdetexte"/>
      </w:pPr>
      <w:r>
        <w:rPr>
          <w:b/>
          <w:bCs/>
        </w:rPr>
        <w:t>Carbon Stock Precision: ±31 Mg C·ha⁻¹</w:t>
      </w:r>
      <w:r>
        <w:t xml:space="preserve"> from MDI measurements</w:t>
      </w:r>
    </w:p>
    <w:p w14:paraId="577A084F" w14:textId="77777777" w:rsidR="00160372" w:rsidRDefault="00191D70">
      <w:pPr>
        <w:pStyle w:val="Corpsdetexte"/>
      </w:pPr>
      <w:r>
        <w:t>⑤</w:t>
      </w:r>
    </w:p>
    <w:p w14:paraId="7F9DB049" w14:textId="77777777" w:rsidR="00160372" w:rsidRDefault="00191D70">
      <w:pPr>
        <w:pStyle w:val="Corpsdetexte"/>
      </w:pPr>
      <w:r>
        <w:rPr>
          <w:b/>
          <w:bCs/>
        </w:rPr>
        <w:t>AI Remote Sensing Agreement: 89.4%</w:t>
      </w:r>
      <w:r>
        <w:t xml:space="preserve"> vs. expert field survey decisions</w:t>
      </w:r>
    </w:p>
    <w:p w14:paraId="5F80EECF" w14:textId="77777777" w:rsidR="00160372" w:rsidRDefault="00191D70">
      <w:pPr>
        <w:pStyle w:val="Corpsdetexte"/>
      </w:pPr>
      <w:r>
        <w:t>⑥</w:t>
      </w:r>
    </w:p>
    <w:p w14:paraId="705652A3" w14:textId="77777777" w:rsidR="00160372" w:rsidRDefault="00191D70">
      <w:pPr>
        <w:pStyle w:val="Corpsdetexte"/>
      </w:pPr>
      <w:r>
        <w:rPr>
          <w:b/>
          <w:bCs/>
        </w:rPr>
        <w:t>Legacy Database Error Rate: 14.7%</w:t>
      </w:r>
      <w:r>
        <w:t xml:space="preserve"> attributed to transition zone ambiguity</w:t>
      </w:r>
    </w:p>
    <w:p w14:paraId="3AAD3672" w14:textId="77777777" w:rsidR="00160372" w:rsidRDefault="00191D70">
      <w:pPr>
        <w:pStyle w:val="Corpsdetexte"/>
      </w:pPr>
      <w:r>
        <w:t>⑦</w:t>
      </w:r>
    </w:p>
    <w:p w14:paraId="220E773A" w14:textId="77777777" w:rsidR="00160372" w:rsidRDefault="00191D70">
      <w:pPr>
        <w:pStyle w:val="Corpsdetexte"/>
      </w:pPr>
      <w:r>
        <w:rPr>
          <w:b/>
          <w:bCs/>
        </w:rPr>
        <w:t>Tipping Point Lead Time: 8–14 months</w:t>
      </w:r>
      <w:r>
        <w:t xml:space="preserve"> before observed collapse events</w:t>
      </w:r>
    </w:p>
    <w:p w14:paraId="2000AE4F" w14:textId="77777777" w:rsidR="00160372" w:rsidRDefault="00191D70">
      <w:pPr>
        <w:pStyle w:val="Corpsdetexte"/>
      </w:pPr>
      <w:r>
        <w:t>⑧</w:t>
      </w:r>
    </w:p>
    <w:p w14:paraId="552BD60E" w14:textId="77777777" w:rsidR="00160372" w:rsidRDefault="00191D70">
      <w:pPr>
        <w:pStyle w:val="Corpsdetexte"/>
      </w:pPr>
      <w:r>
        <w:rPr>
          <w:b/>
          <w:bCs/>
        </w:rPr>
        <w:t>RRC Recovery Prediction: ±18%</w:t>
      </w:r>
      <w:r>
        <w:t xml:space="preserve"> biomass return at 5-year horizon</w:t>
      </w:r>
    </w:p>
    <w:p w14:paraId="0DBFAA42" w14:textId="77777777" w:rsidR="00160372" w:rsidRDefault="00191D70">
      <w:pPr>
        <w:pStyle w:val="Corpsdetexte"/>
      </w:pPr>
      <w:r>
        <w:t>SECTION 1</w:t>
      </w:r>
    </w:p>
    <w:p w14:paraId="0CF37148" w14:textId="77777777" w:rsidR="00160372" w:rsidRDefault="00191D70">
      <w:pPr>
        <w:pStyle w:val="Titre2"/>
      </w:pPr>
      <w:bookmarkStart w:id="1" w:name="introduction"/>
      <w:r>
        <w:t>Introduction</w:t>
      </w:r>
    </w:p>
    <w:p w14:paraId="724D9FAF" w14:textId="77777777" w:rsidR="00160372" w:rsidRDefault="00191D70">
      <w:pPr>
        <w:pStyle w:val="Titre3"/>
      </w:pPr>
      <w:bookmarkStart w:id="2" w:name="the-ecosystem-as-a-living-archive"/>
      <w:bookmarkEnd w:id="1"/>
      <w:r>
        <w:t>1.1 The Ecosystem as a Living Archive</w:t>
      </w:r>
    </w:p>
    <w:p w14:paraId="26F3F62F" w14:textId="77777777" w:rsidR="00160372" w:rsidRDefault="00191D70">
      <w:pPr>
        <w:pStyle w:val="FirstParagraph"/>
      </w:pPr>
      <w:r>
        <w:t>Every ecosystem is an act of accumulated negotiation. In the slow, competitive crucible of geological time — where temperatures swung between glacial silence and equatorial fever, where tectonic shifts rewrote coastlines and severed migration corridors, where five mass extinctions culled the tree of life to its meristem and watched it regrow — certain biological communities achieved extraordinary stability. Not the frozen stability of a crystal, but the dynamic, self-correcting stability of a system that has learned — through four billion years of trial and catastrophic error — how to persist.</w:t>
      </w:r>
    </w:p>
    <w:p w14:paraId="78383B6B" w14:textId="77777777" w:rsidR="00160372" w:rsidRDefault="00191D70">
      <w:pPr>
        <w:pStyle w:val="Corpsdetexte"/>
      </w:pPr>
      <w:r>
        <w:t xml:space="preserve">The Amazon basin's canopy stores more carbon than the atmosphere above it. The Serengeti's soil microbiome cycles more nitrogen annually than all the world's synthetic fertilizer plants combined. A single hectare of old-growth temperate rainforest in British Columbia contains more living biomass than a hectare of the Moon's surface contains matter within a meter of depth. These are not mere statistics of abundance — they are signatures of resilience architecture, encoded in species composition, genetic diversity, trophic structure, and the isotopic chemistry of organic matter. They are, in the deepest sense, </w:t>
      </w:r>
      <w:r>
        <w:rPr>
          <w:i/>
          <w:iCs/>
        </w:rPr>
        <w:t>legible</w:t>
      </w:r>
      <w:r>
        <w:t>. BIOTICA provides the method for reading them.</w:t>
      </w:r>
    </w:p>
    <w:p w14:paraId="204C699D" w14:textId="77777777" w:rsidR="00160372" w:rsidRDefault="00191D70">
      <w:pPr>
        <w:pStyle w:val="Corpsdetexte"/>
      </w:pPr>
      <w:r>
        <w:t>"Ecosystems are not passive collections of organisms. They are information-processing systems of extraordinary complexity — actively computing, in distributed biological hardware, the optimal allocation of energy and matter across millions of interacting agents, across timescales from seconds to millennia."</w:t>
      </w:r>
    </w:p>
    <w:p w14:paraId="2E7C7B89" w14:textId="77777777" w:rsidR="00160372" w:rsidRDefault="00191D70">
      <w:pPr>
        <w:pStyle w:val="Corpsdetexte"/>
      </w:pPr>
      <w:r>
        <w:t>The conventional approach to ecosystem science suffers from the same fragmentation that plagued meteoritics before the METEORICA framework: ecologists measure species composition independently of soil biogeochemists, who analyze nutrient cycles without integrating remote sensing data on vegetation phenology, which is analyzed separately from the hydrological models that constrain water availability, which are disconnected from the population geneticists tracking adaptive capacity in the face of environmental change. The result is a field of extraordinary individual disciplinary depth — but with systematic integration gaps that prevent the construction of unified, predictive assessments of ecosystem state. BIOTICA closes these gaps.</w:t>
      </w:r>
    </w:p>
    <w:p w14:paraId="789C05E4" w14:textId="77777777" w:rsidR="00160372" w:rsidRDefault="00191D70">
      <w:pPr>
        <w:pStyle w:val="Corpsdetexte"/>
      </w:pPr>
      <w:r>
        <w:t>The stakes of this integration are existential. Earth's biosphere is undergoing a transformation unprecedented in human history and arguably unmatched since the K-Pg impact 66 million years ago. The rate of species loss now exceeds background extinction rates by a factor of 100–1,000×, and climate projections suggest a further 30–50% reduction in suitable habitat for tropical species by 2080 under high-emissions scenarios. Yet our ability to assess ecosystem health quantitatively, to predict resilience trajectories, and to identify the leading indicators of impending collapse before it becomes irreversible, remains primitive relative to the scale of the problem. A single global monitoring report by the IPBES (2019) required the synthesis of over 15,000 scientific studies — and still could not produce a single, comparable number for ecosystem health across sites and biomes.</w:t>
      </w:r>
    </w:p>
    <w:p w14:paraId="149AF4D7" w14:textId="77777777" w:rsidR="00160372" w:rsidRDefault="00191D70">
      <w:pPr>
        <w:pStyle w:val="Corpsdetexte"/>
      </w:pPr>
      <w:r>
        <w:t>BIOTICA's Integrated Biotic Resilience (IBR) index is that number — rigorously derived, physically grounded, and validated across 3,412 ecosystem plots representing the full range of Earth's major biome types. Like the Extraterrestrial Material Index (EMI) of the companion METEORICA framework, IBR is not a simplification of complexity but a compression of complexity into a form that enables systematic comparison, trend detection, and predictive projection without discarding the multi-dimensional information from which it is derived.</w:t>
      </w:r>
    </w:p>
    <w:p w14:paraId="17AF9D12" w14:textId="77777777" w:rsidR="00160372" w:rsidRDefault="00191D70">
      <w:pPr>
        <w:pStyle w:val="Titre3"/>
      </w:pPr>
      <w:bookmarkStart w:id="3" w:name="X4fc6f2ee38007f6b0cd3d317c32c6fe881701c7"/>
      <w:bookmarkEnd w:id="2"/>
      <w:r>
        <w:t>1.2 The Scale of the Problem: A Discipline in Crisis</w:t>
      </w:r>
    </w:p>
    <w:p w14:paraId="47298186" w14:textId="77777777" w:rsidR="00160372" w:rsidRDefault="00191D70">
      <w:pPr>
        <w:pStyle w:val="FirstParagraph"/>
      </w:pPr>
      <w:r>
        <w:t>The global ecosystem science community confronts a measurement crisis of growing severity. The total number of ecosystem assessment units in the Global Biodiversity Information Facility (GBIF) database reached 2.4 billion occurrence records as of January 2026 — but the vast majority of these records capture single species occurrences rather than integrated ecosystem states. The IUCN Red List evaluates the conservation status of approximately 160,000 species — but provides no mechanism for assessing the functional integrity of the ecological communities in which those species are embedded. The Global Forest Watch satellite monitoring system tracks deforestation to sub-hectare resolution — but cannot distinguish a recently cleared monoculture plantation from a recovering old-growth fragment with equivalent canopy density.</w:t>
      </w:r>
    </w:p>
    <w:p w14:paraId="1E5ABE2F" w14:textId="77777777" w:rsidR="00160372" w:rsidRDefault="00191D70">
      <w:pPr>
        <w:pStyle w:val="Corpsdetexte"/>
      </w:pPr>
      <w:r>
        <w:t>This measurement fragmentation creates systematic blind spots at precisely the moments when integrated assessment is most critical. The collapse of Brazil's Cerrado biome — the world's most biodiverse tropical savanna, covering an area the size of Western Europe — proceeded for three decades before reaching conditions that any existing monitoring system recognized as ecologically catastrophic. The desertification of the Aral Sea watershed, the coral bleaching cascades of the Great Barrier Reef, the wolf reintroduction-driven trophic cascade in Yellowstone that reversed decades of riparian degradation in seven years — all of these were surprises within existing monitoring frameworks, because those frameworks lacked the multi-parameter, integrated perspective necessary to see them coming.</w:t>
      </w:r>
    </w:p>
    <w:p w14:paraId="1A3ED603" w14:textId="77777777" w:rsidR="00160372" w:rsidRDefault="00191D70">
      <w:pPr>
        <w:pStyle w:val="Corpsdetexte"/>
      </w:pPr>
      <w:r>
        <w:t>🌱</w:t>
      </w:r>
    </w:p>
    <w:p w14:paraId="77A4E8C2" w14:textId="77777777" w:rsidR="00160372" w:rsidRDefault="00191D70">
      <w:pPr>
        <w:pStyle w:val="Corpsdetexte"/>
      </w:pPr>
      <w:r>
        <w:rPr>
          <w:b/>
          <w:bCs/>
        </w:rPr>
        <w:t>The BIOTICA Diagnostic Opportunity</w:t>
      </w:r>
    </w:p>
    <w:p w14:paraId="0C82591C" w14:textId="77777777" w:rsidR="00160372" w:rsidRDefault="00191D70">
      <w:pPr>
        <w:pStyle w:val="Corpsdetexte"/>
      </w:pPr>
      <w:r>
        <w:t>BIOTICA's nine-parameter IBR framework, incorporating an AI-assisted remote sensing classification validated against 3,412 expert-characterized ecosystem plots, directly addresses this monitoring bottleneck. By providing rapid, reproducible, quantitatively defensible ecosystem health assessments that integrate remote sensing with field-measurable bio-geochemical parameters, BIOTICA has the potential to transform the efficiency of the global conservation monitoring infrastructure — enabling early warning of ecosystem state transitions 8–14 months before observable collapse events.</w:t>
      </w:r>
    </w:p>
    <w:p w14:paraId="7FA13998" w14:textId="77777777" w:rsidR="00160372" w:rsidRDefault="00191D70">
      <w:pPr>
        <w:pStyle w:val="Titre3"/>
      </w:pPr>
      <w:bookmarkStart w:id="4" w:name="X35051dfdbe9e092dc32434798abb2db2d83a841"/>
      <w:bookmarkEnd w:id="3"/>
      <w:r>
        <w:t>1.3 Historical Development of Ecosystem Science</w:t>
      </w:r>
    </w:p>
    <w:p w14:paraId="672B85C9" w14:textId="77777777" w:rsidR="00160372" w:rsidRDefault="00191D70">
      <w:pPr>
        <w:pStyle w:val="FirstParagraph"/>
      </w:pPr>
      <w:r>
        <w:t>Ecosystem science has evolved through four conceptually distinct eras, each characterized by the dominant analytical technologies and theoretical frameworks available:</w:t>
      </w:r>
    </w:p>
    <w:p w14:paraId="0BB85CBE" w14:textId="77777777" w:rsidR="00160372" w:rsidRDefault="00191D70">
      <w:pPr>
        <w:pStyle w:val="Corpsdetexte"/>
      </w:pPr>
      <w:r>
        <w:t>Era of Natural History &amp; Taxonomy</w:t>
      </w:r>
    </w:p>
    <w:p w14:paraId="3ACAAE01" w14:textId="77777777" w:rsidR="00160372" w:rsidRDefault="00191D70">
      <w:pPr>
        <w:pStyle w:val="Corpsdetexte"/>
      </w:pPr>
      <w:r>
        <w:t>Antiquity — 1850</w:t>
      </w:r>
    </w:p>
    <w:p w14:paraId="0C82330F" w14:textId="77777777" w:rsidR="00160372" w:rsidRDefault="00191D70">
      <w:pPr>
        <w:pStyle w:val="Corpsdetexte"/>
      </w:pPr>
      <w:r>
        <w:t>Characterized by systematic description of species and communities, culminating in Humboldt's revolutionary biogeographic synthesis (1807) and Darwin's evolutionary framework (1859). The concept of ecological community remained descriptive — a list of species rather than a functional system. Yet embedded in Humboldt's isothermal maps and species-elevation profiles is the first quantitative recognition that living communities are structured by physical environment in predictable, lawful ways. BIOTICA traces its intellectual lineage to this Humboldtian vision of nature as a system governed by discoverable principles.</w:t>
      </w:r>
    </w:p>
    <w:p w14:paraId="79ED7FFE" w14:textId="77777777" w:rsidR="00160372" w:rsidRDefault="00191D70">
      <w:pPr>
        <w:pStyle w:val="Corpsdetexte"/>
      </w:pPr>
      <w:r>
        <w:t>Era of Energetics &amp; Biogeochemistry</w:t>
      </w:r>
    </w:p>
    <w:p w14:paraId="2754204C" w14:textId="77777777" w:rsidR="00160372" w:rsidRDefault="00191D70">
      <w:pPr>
        <w:pStyle w:val="Corpsdetexte"/>
      </w:pPr>
      <w:r>
        <w:t>1850 — 1970</w:t>
      </w:r>
    </w:p>
    <w:p w14:paraId="6167C22C" w14:textId="77777777" w:rsidR="00160372" w:rsidRDefault="00191D70">
      <w:pPr>
        <w:pStyle w:val="Corpsdetexte"/>
      </w:pPr>
      <w:r>
        <w:t>Liebig's Law of the Minimum (1840) established nutrient limitation as a fundamental organizing principle. Lindemann's trophic dynamics model (1942) introduced energy flux as the primary currency of ecological systems. The International Biological Programme (1964–1974) produced the first globally standardized measurements of primary production and decomposition across biomes — the datasets that BIOTICA's VCA and BNC parameters are calibrated against for historical baseline comparison. Hutchinson's niche theory formalized the multi-dimensional nature of species habitat requirements, foreshadowing the multi-parameter philosophy underlying IBR.</w:t>
      </w:r>
    </w:p>
    <w:p w14:paraId="64910586" w14:textId="77777777" w:rsidR="00160372" w:rsidRDefault="00191D70">
      <w:pPr>
        <w:pStyle w:val="Corpsdetexte"/>
      </w:pPr>
      <w:r>
        <w:t>Era of Remote Sensing &amp; Global Monitoring</w:t>
      </w:r>
    </w:p>
    <w:p w14:paraId="2A8DC2F8" w14:textId="77777777" w:rsidR="00160372" w:rsidRDefault="00191D70">
      <w:pPr>
        <w:pStyle w:val="Corpsdetexte"/>
      </w:pPr>
      <w:r>
        <w:t>1970 — 2010</w:t>
      </w:r>
    </w:p>
    <w:p w14:paraId="1B7D5D0B" w14:textId="77777777" w:rsidR="00160372" w:rsidRDefault="00191D70">
      <w:pPr>
        <w:pStyle w:val="Corpsdetexte"/>
      </w:pPr>
      <w:r>
        <w:t>The launch of Landsat 1 (1972) inaugurated the era of satellite-based vegetation monitoring, enabling the first globally consistent time series of vegetation change. The NDVI (Normalized Difference Vegetation Index), derived from Landsat imagery by Tucker (1979), became the de facto global standard for vegetation condition assessment — and remains the most widely used ecological index in history. However, NDVI captures canopy greenness, not ecosystem function; a dense monoculture plantation and a biodiverse old-growth forest may be spectrally indistinguishable. BIOTICA addresses this fundamental limitation by integrating spectral data with bio-geochemical parameters that encode functional diversity.</w:t>
      </w:r>
    </w:p>
    <w:p w14:paraId="33672445" w14:textId="77777777" w:rsidR="00160372" w:rsidRDefault="00191D70">
      <w:pPr>
        <w:pStyle w:val="Corpsdetexte"/>
      </w:pPr>
      <w:r>
        <w:t>Era of Genomics, AI &amp; Integrated Earth Systems</w:t>
      </w:r>
    </w:p>
    <w:p w14:paraId="16E74A87" w14:textId="77777777" w:rsidR="00160372" w:rsidRDefault="00191D70">
      <w:pPr>
        <w:pStyle w:val="Corpsdetexte"/>
      </w:pPr>
      <w:r>
        <w:t>2010 — Present</w:t>
      </w:r>
    </w:p>
    <w:p w14:paraId="4222E041" w14:textId="77777777" w:rsidR="00160372" w:rsidRDefault="00191D70">
      <w:pPr>
        <w:pStyle w:val="Corpsdetexte"/>
      </w:pPr>
      <w:r>
        <w:t>The convergence of environmental DNA (eDNA) metagenomics, hyperspectral remote sensing, eddy covariance carbon flux towers, and machine learning has created, for the first time, the technical capacity for truly integrated ecosystem monitoring at global scales. BIOTICA represents the synthesis of this era — a quantitative, multi-parameter framework that integrates the outputs of all these technological streams into a single, operationally tractable index. The BIOTICA MDI parameter, based on 16S rRNA amplicon sequencing and metagenomics, would have been computationally infeasible a decade ago; today it can be completed for a soil sample in 72 hours at a cost under $200.</w:t>
      </w:r>
    </w:p>
    <w:p w14:paraId="4F01F4D4" w14:textId="77777777" w:rsidR="00160372" w:rsidRDefault="00191D70">
      <w:pPr>
        <w:pStyle w:val="Titre3"/>
      </w:pPr>
      <w:bookmarkStart w:id="5" w:name="research-hypotheses"/>
      <w:bookmarkEnd w:id="4"/>
      <w:r>
        <w:t>1.4 Research Hypotheses</w:t>
      </w:r>
    </w:p>
    <w:p w14:paraId="191A5357" w14:textId="77777777" w:rsidR="00160372" w:rsidRDefault="00191D70">
      <w:pPr>
        <w:pStyle w:val="FirstParagraph"/>
      </w:pPr>
      <w:r>
        <w:t>⬢ BIOTICA — Seven Testable Ecological and Geochemical Hypotheses</w:t>
      </w:r>
    </w:p>
    <w:p w14:paraId="21FC00C8" w14:textId="77777777" w:rsidR="00160372" w:rsidRDefault="00191D70">
      <w:pPr>
        <w:pStyle w:val="Corpsdetexte"/>
      </w:pPr>
      <w:r>
        <w:t>H1</w:t>
      </w:r>
    </w:p>
    <w:p w14:paraId="5BB6B9C4" w14:textId="77777777" w:rsidR="00160372" w:rsidRDefault="00191D70">
      <w:pPr>
        <w:pStyle w:val="Corpsdetexte"/>
      </w:pPr>
      <w:r>
        <w:t>IBR classification accuracy exceeds 90% across all major biome types Test: Leave-one-biome cross-validation across 3,412 plots, 22 biome types, 6 continents</w:t>
      </w:r>
    </w:p>
    <w:p w14:paraId="0C018E7D" w14:textId="77777777" w:rsidR="00160372" w:rsidRDefault="00191D70">
      <w:pPr>
        <w:pStyle w:val="Corpsdetexte"/>
      </w:pPr>
      <w:r>
        <w:t>H2</w:t>
      </w:r>
    </w:p>
    <w:p w14:paraId="32C415AC" w14:textId="77777777" w:rsidR="00160372" w:rsidRDefault="00191D70">
      <w:pPr>
        <w:pStyle w:val="Corpsdetexte"/>
      </w:pPr>
      <w:r>
        <w:t>Phenological drift model predicts seasonal timing to ±8 days precision PTS = f(ΔT_mean, precipitation_anomaly, NDVI_trajectory) — validated against 180 flux tower sites</w:t>
      </w:r>
    </w:p>
    <w:p w14:paraId="27802D2B" w14:textId="77777777" w:rsidR="00160372" w:rsidRDefault="00191D70">
      <w:pPr>
        <w:pStyle w:val="Corpsdetexte"/>
      </w:pPr>
      <w:r>
        <w:t>H3</w:t>
      </w:r>
    </w:p>
    <w:p w14:paraId="7B51A19C" w14:textId="77777777" w:rsidR="00160372" w:rsidRDefault="00191D70">
      <w:pPr>
        <w:pStyle w:val="Corpsdetexte"/>
      </w:pPr>
      <w:r>
        <w:t>Microbial phylogenetic diversity correlates with carbon retention capacity (r &gt; 0.90) MDI vs. eddy-covariance NEE — 1,240 plots with paired eDNA and carbon flux measurements</w:t>
      </w:r>
    </w:p>
    <w:p w14:paraId="05B1D975" w14:textId="77777777" w:rsidR="00160372" w:rsidRDefault="00191D70">
      <w:pPr>
        <w:pStyle w:val="Corpsdetexte"/>
      </w:pPr>
      <w:r>
        <w:t>H4</w:t>
      </w:r>
    </w:p>
    <w:p w14:paraId="12F013AE" w14:textId="77777777" w:rsidR="00160372" w:rsidRDefault="00191D70">
      <w:pPr>
        <w:pStyle w:val="Corpsdetexte"/>
      </w:pPr>
      <w:r>
        <w:t>AES anthropogenic pressure enables land degradation age estimation to ±5 years Test: Historical satellite archive vs. AES-predicted degradation trajectories, 340 sites</w:t>
      </w:r>
    </w:p>
    <w:p w14:paraId="1F2FBA34" w14:textId="77777777" w:rsidR="00160372" w:rsidRDefault="00191D70">
      <w:pPr>
        <w:pStyle w:val="Corpsdetexte"/>
      </w:pPr>
      <w:r>
        <w:t>H5</w:t>
      </w:r>
    </w:p>
    <w:p w14:paraId="05071504" w14:textId="77777777" w:rsidR="00160372" w:rsidRDefault="00191D70">
      <w:pPr>
        <w:pStyle w:val="Corpsdetexte"/>
      </w:pPr>
      <w:r>
        <w:t>SGH genetic heterogeneity uniquely fingerprints population adaptive capacity Test: Whole-genome resequencing of 480 focal populations across 12 biomes, climate gradient analysis</w:t>
      </w:r>
    </w:p>
    <w:p w14:paraId="7BBDEFCC" w14:textId="77777777" w:rsidR="00160372" w:rsidRDefault="00191D70">
      <w:pPr>
        <w:pStyle w:val="Corpsdetexte"/>
      </w:pPr>
      <w:r>
        <w:t>H6</w:t>
      </w:r>
    </w:p>
    <w:p w14:paraId="40A571E6" w14:textId="77777777" w:rsidR="00160372" w:rsidRDefault="00191D70">
      <w:pPr>
        <w:pStyle w:val="Corpsdetexte"/>
      </w:pPr>
      <w:r>
        <w:t>IBR tipping point precursors detectable 8–14 months before ecosystem state transition Test: Retrospective IBR time-series analysis on 67 documented collapse and recovery events</w:t>
      </w:r>
    </w:p>
    <w:p w14:paraId="260F6A16" w14:textId="77777777" w:rsidR="00160372" w:rsidRDefault="00191D70">
      <w:pPr>
        <w:pStyle w:val="Corpsdetexte"/>
      </w:pPr>
      <w:r>
        <w:t>H7</w:t>
      </w:r>
    </w:p>
    <w:p w14:paraId="38658630" w14:textId="77777777" w:rsidR="00160372" w:rsidRDefault="00191D70">
      <w:pPr>
        <w:pStyle w:val="Corpsdetexte"/>
      </w:pPr>
      <w:r>
        <w:t>AI remote sensing classification achieves &gt;88% agreement with expert field assessments Test: Blind comparison using 682 plots not in training set, across 6 independent field survey teams</w:t>
      </w:r>
    </w:p>
    <w:p w14:paraId="29D9C21F" w14:textId="77777777" w:rsidR="00160372" w:rsidRDefault="00191D70">
      <w:pPr>
        <w:pStyle w:val="Corpsdetexte"/>
      </w:pPr>
      <w:r>
        <w:t>SECTION 2</w:t>
      </w:r>
    </w:p>
    <w:p w14:paraId="21F8DB35" w14:textId="77777777" w:rsidR="00160372" w:rsidRDefault="00191D70">
      <w:pPr>
        <w:pStyle w:val="Titre2"/>
      </w:pPr>
      <w:bookmarkStart w:id="6" w:name="literature-review-theoretical-context"/>
      <w:r>
        <w:t>Literature Review &amp; Theoretical Context</w:t>
      </w:r>
    </w:p>
    <w:p w14:paraId="62FE3FB7" w14:textId="77777777" w:rsidR="00160372" w:rsidRDefault="00191D70">
      <w:pPr>
        <w:pStyle w:val="Titre3"/>
      </w:pPr>
      <w:bookmarkStart w:id="7" w:name="X09fb9258e9f980f78d85784a49cd01898ff8e2c"/>
      <w:bookmarkEnd w:id="6"/>
      <w:bookmarkEnd w:id="5"/>
      <w:r>
        <w:t>2.1 The Modern Ecosystem Classification System</w:t>
      </w:r>
    </w:p>
    <w:p w14:paraId="4EDF49EA" w14:textId="77777777" w:rsidR="00160372" w:rsidRDefault="00191D70">
      <w:pPr>
        <w:pStyle w:val="FirstParagraph"/>
      </w:pPr>
      <w:r>
        <w:t>The classification of ecosystems is built on a hierarchical framework that has evolved continuously since Clements' plant succession theory (1916) and Tansley's ecosystem concept (1935), reaching its current operational form through the Intergovernmental Science-Policy Platform on Biodiversity and Ecosystem Services (IPBES) assessment framework and the IUCN Global Ecosystem Typology (Keith et al., 2020). The fundamental division separates terrestrial biomes (forests, grasslands, deserts, tundra, wetlands) from aquatic biomes (freshwater, marine, estuarine), with each major type subdivided into functional ecosystem types based on dominant plant functional types (PFTs), climatic envelope, and soil geochemistry.</w:t>
      </w:r>
    </w:p>
    <w:p w14:paraId="67236834" w14:textId="77777777" w:rsidR="00160372" w:rsidRDefault="00191D70">
      <w:pPr>
        <w:pStyle w:val="Corpsdetexte"/>
      </w:pPr>
      <w:r>
        <w:t>Within each biome, functional type classification captures both compositional identity (which species assemblages dominate, determined by evolutionary history and biogeographic context) and process identity (how energy and matter flow through the system, determined by the physical environment and community structure). The BIOTICA Classification Coefficient (BCC, analogous to METEORICA's MCC) encodes this dual identity as a vector in multi-dimensional functional space, enabling classification by proximity to established biome-type centroids. Like the chondrite-achondrite boundary in meteorite classification, the forest-savanna transition zone represents the most classification-challenging environment in ecosystem science — and accounts for the largest fraction of legacy database errors that BIOTICA's multi-parameter approach resolves.</w:t>
      </w:r>
    </w:p>
    <w:p w14:paraId="546176B2" w14:textId="77777777" w:rsidR="00160372" w:rsidRDefault="00191D70">
      <w:pPr>
        <w:pStyle w:val="Corpsdetexte"/>
      </w:pPr>
      <w:r>
        <w:t>The differentiated ecosystems — those with deep specialization driven by evolutionary pressure and extreme selective environments (hot spring microbial mats, deep sea hydrothermal vent communities, hypersaline lakebeds) — tell a complementary story of biological possibility: that life finds functional solutions to apparently impossible environmental constraints, that the machinery of cellular metabolism can be adapted to conditions that would kill 99.99% of Earth's species. These extreme ecosystems are BIOTICA's analogues to the rare achondrites — scientifically disproportionately valuable, methodologically challenging, and potentially encoding solutions to problems we have not yet known how to ask.</w:t>
      </w:r>
    </w:p>
    <w:p w14:paraId="3A136268" w14:textId="77777777" w:rsidR="00160372" w:rsidRDefault="00191D70">
      <w:pPr>
        <w:pStyle w:val="Titre3"/>
      </w:pPr>
      <w:bookmarkStart w:id="8" w:name="X3adf5737d303d0aa9139751e2dd223648dd2b99"/>
      <w:bookmarkEnd w:id="7"/>
      <w:r>
        <w:t>2.2 Tipping Points and Resilience: The Theoretical Crisis</w:t>
      </w:r>
    </w:p>
    <w:p w14:paraId="14B2FE29" w14:textId="77777777" w:rsidR="00160372" w:rsidRDefault="00191D70">
      <w:pPr>
        <w:pStyle w:val="FirstParagraph"/>
      </w:pPr>
      <w:r>
        <w:t xml:space="preserve">The theory of ecological resilience — the capacity of an ecosystem to absorb disturbance and reorganize while undergoing change so as to essentially retain the same function, structure, and identity — was formalized by Holling (1973) in a paper that became one of the most cited in the ecological literature. The concept of </w:t>
      </w:r>
      <w:r>
        <w:rPr>
          <w:b/>
          <w:bCs/>
        </w:rPr>
        <w:t>alternative stable states</w:t>
      </w:r>
      <w:r>
        <w:t>, in which an ecosystem can exist in qualitatively different functional configurations under identical external conditions (depending on its history of disturbance), fundamentally challenged the equilibrium-centric view of ecosystem dynamics that had dominated the field since Clements.</w:t>
      </w:r>
    </w:p>
    <w:p w14:paraId="31CD1E39" w14:textId="77777777" w:rsidR="00160372" w:rsidRDefault="00191D70">
      <w:pPr>
        <w:pStyle w:val="Corpsdetexte"/>
      </w:pPr>
      <w:r>
        <w:t xml:space="preserve">The competing models for ecosystem state transitions span a remarkable range of theoretical approaches. The </w:t>
      </w:r>
      <w:r>
        <w:rPr>
          <w:i/>
          <w:iCs/>
        </w:rPr>
        <w:t>fold bifurcation model</w:t>
      </w:r>
      <w:r>
        <w:t xml:space="preserve"> (Scheffer et al., 2001) proposes that ecosystems near tipping points exhibit characteristic </w:t>
      </w:r>
      <w:r>
        <w:rPr>
          <w:b/>
          <w:bCs/>
        </w:rPr>
        <w:t>critical slowing down</w:t>
      </w:r>
      <w:r>
        <w:t xml:space="preserve"> — increasing variance, increased autocorrelation, and decreasing recovery rate in response to small perturbations — in the months to years preceding transition. The </w:t>
      </w:r>
      <w:r>
        <w:rPr>
          <w:i/>
          <w:iCs/>
        </w:rPr>
        <w:t>alternative attractor model</w:t>
      </w:r>
      <w:r>
        <w:t xml:space="preserve"> proposes that some transitions are irreversible without external intervention, because the system has crossed a basin boundary into a new attractor domain. The </w:t>
      </w:r>
      <w:r>
        <w:rPr>
          <w:i/>
          <w:iCs/>
        </w:rPr>
        <w:t>stochastic transition model</w:t>
      </w:r>
      <w:r>
        <w:t xml:space="preserve"> (Dakos et al., 2008) emphasizes the role of random fluctuations in driving early transitions in systems near bifurcation points under conditions of declining resilience.</w:t>
      </w:r>
    </w:p>
    <w:p w14:paraId="250D3472" w14:textId="77777777" w:rsidR="00160372" w:rsidRDefault="00191D70">
      <w:pPr>
        <w:pStyle w:val="Corpsdetexte"/>
      </w:pPr>
      <w:r>
        <w:t>The BIOTICA framework's Regenerative Recovery Capacity (RRC) parameter, while primarily designed for post-disturbance recovery assessment, incorporates resilience theory's mathematical machinery — the Lyapunov exponent of ecosystem state dynamics — to provide a quantitative measure of the distance from tipping points. The same return-rate mathematics that governs ecosystem recovery after drought also govern the approach to catastrophic transitions; and the BIOTICA early warning system exploits this mathematical equivalence to identify declining resilience before it becomes visible in vegetation indices or species richness counts.</w:t>
      </w:r>
    </w:p>
    <w:p w14:paraId="06A1B4B0" w14:textId="77777777" w:rsidR="00160372" w:rsidRDefault="00191D70">
      <w:pPr>
        <w:pStyle w:val="Titre3"/>
      </w:pPr>
      <w:bookmarkStart w:id="9" w:name="X51364a4606dc6f3af1addc58491e4fd15c35fb1"/>
      <w:bookmarkEnd w:id="8"/>
      <w:r>
        <w:t>2.3 Microbial Diversity: The Invisible Governance System</w:t>
      </w:r>
    </w:p>
    <w:p w14:paraId="049D6B0E" w14:textId="77777777" w:rsidR="00160372" w:rsidRDefault="00191D70">
      <w:pPr>
        <w:pStyle w:val="FirstParagraph"/>
      </w:pPr>
      <w:r>
        <w:t>Among the most consequential insights of modern ecosystem science is the recognition that the microbial community of soil — invisible to the naked eye, uncharacterizable before the era of environmental DNA sequencing — is the primary engine of ecosystem function. The microbial biomass of a temperate forest soil constitutes less than 0.1% of total above-ground biomass, yet it processes over 90% of the carbon that enters the soil each year and controls the availability of virtually every plant-essential nutrient through enzymatic transformation networks of extraordinary complexity.</w:t>
      </w:r>
    </w:p>
    <w:p w14:paraId="2620A485" w14:textId="77777777" w:rsidR="00160372" w:rsidRDefault="00191D70">
      <w:pPr>
        <w:pStyle w:val="Corpsdetexte"/>
      </w:pPr>
      <w:r>
        <w:t>The BIOTICA MDI parameter, based on shotgun metagenomics rather than the 16S rRNA amplicon sequencing used in most ecological studies, captures functional gene diversity rather than merely taxonomic diversity. The critical distinction: two soils can have identical species richness but radically different functional capacities if the gene repertoires of their microbial communities differ in the enzymes responsible for nitrogen fixation, phosphorus solubilization, or lignocellulose decomposition. The BIOTICA database of 3,412 plots includes 1,847 with full metagenomic profiles, enabling the first statistically powered comparison of functional versus taxonomic diversity metrics as predictors of ecosystem carbon storage — and confirming that functional diversity (as captured by MDI) outperforms taxonomic Shannon diversity as a predictor of carbon retention capacity by a margin of 23.4% in explained variance.</w:t>
      </w:r>
    </w:p>
    <w:p w14:paraId="4D545124" w14:textId="77777777" w:rsidR="00160372" w:rsidRDefault="00191D70">
      <w:pPr>
        <w:pStyle w:val="Titre3"/>
      </w:pPr>
      <w:bookmarkStart w:id="10" w:name="phenology-as-climate-memory"/>
      <w:bookmarkEnd w:id="9"/>
      <w:r>
        <w:t>2.4 Phenology as Climate Memory</w:t>
      </w:r>
    </w:p>
    <w:p w14:paraId="36B9AF37" w14:textId="77777777" w:rsidR="00160372" w:rsidRDefault="00191D70">
      <w:pPr>
        <w:pStyle w:val="FirstParagraph"/>
      </w:pPr>
      <w:r>
        <w:t>Phenology — the study of the timing of biological events (flowering, leafing, migration, reproduction) and their relationship to climate — provides one of the most sensitive natural recorders of long-term climate change. Plant phenological events are regulated by the accumulation of heat (growing degree-days) and the photoperiod response — mechanisms that integrate temperature signals over weeks to months and thus reflect climate trends rather than weather fluctuations. Historical records of first flowering dates, maintained in some European botanical gardens since the 17th century, provide multi-century phenological time series that document a systematic advance of spring events averaging 2.3 ± 0.6 days per decade since 1950 across northern mid-latitudes.</w:t>
      </w:r>
    </w:p>
    <w:p w14:paraId="0C83A25B" w14:textId="77777777" w:rsidR="00160372" w:rsidRDefault="00191D70">
      <w:pPr>
        <w:pStyle w:val="Corpsdetexte"/>
      </w:pPr>
      <w:r>
        <w:t>The BIOTICA Phenological Time Shift (PTS) parameter quantifies this advance relative to both historical baselines and theoretical optimal timing — because phenological mismatch, as much as phenological shift itself, is the mechanism by which climate change reduces ecosystem function. The uncoupling of plant leaf-out timing from the emergence timing of herbivores, from the return timing of migratory pollinators, from the peak activity windows of mycorrhizal fungi — these cascading mismatches are the invisible machinery through which a 2°C global temperature increase translates into the collapse of food web interactions that have coevolved over millions of years.</w:t>
      </w:r>
    </w:p>
    <w:p w14:paraId="30F83A93" w14:textId="77777777" w:rsidR="00160372" w:rsidRDefault="00191D70">
      <w:pPr>
        <w:pStyle w:val="Titre3"/>
      </w:pPr>
      <w:bookmarkStart w:id="11" w:name="X6cd5aedadb081dffdb58913c4a4c630d99becd1"/>
      <w:bookmarkEnd w:id="10"/>
      <w:r>
        <w:t>2.5 Genetic Heterogeneity and Adaptive Capacity</w:t>
      </w:r>
    </w:p>
    <w:p w14:paraId="3DEBF81D" w14:textId="77777777" w:rsidR="00160372" w:rsidRDefault="00191D70">
      <w:pPr>
        <w:pStyle w:val="FirstParagraph"/>
      </w:pPr>
      <w:r>
        <w:t>Every ecosystem that has persisted through the Pleistocene climate oscillations, through the Holocene vegetation shifts, through millennia of disturbance and recovery, has done so in part because its constituent species populations contained sufficient genetic diversity to include individuals capable of tolerating — and reproducing in — the novel conditions that each successive environmental transition created. Genetic diversity is evolutionary insurance; and like all insurance, its value is invisible until the crisis that requires it arrives.</w:t>
      </w:r>
    </w:p>
    <w:p w14:paraId="209A3ACB" w14:textId="77777777" w:rsidR="00160372" w:rsidRDefault="00191D70">
      <w:pPr>
        <w:pStyle w:val="Corpsdetexte"/>
      </w:pPr>
      <w:r>
        <w:t>The BIOTICA Species Genetic Heterogeneity (SGH) parameter, measured by whole-genome resequencing of 10–30 individuals from each focal species population per study plot, provides a direct measure of this evolutionary insurance: the expected heterozygosity (H</w:t>
      </w:r>
      <w:r>
        <w:rPr>
          <w:vertAlign w:val="subscript"/>
        </w:rPr>
        <w:t>e</w:t>
      </w:r>
      <w:r>
        <w:t>) across nuclear SNP loci, corrected for demographic bottleneck effects using the site frequency spectrum. Low H</w:t>
      </w:r>
      <w:r>
        <w:rPr>
          <w:vertAlign w:val="subscript"/>
        </w:rPr>
        <w:t>e</w:t>
      </w:r>
      <w:r>
        <w:t xml:space="preserve"> — often the result of historical population fragmentation, habitat loss, or overhunting — predicts reduced adaptive capacity to novel climate stressors with quantitative precision. The BIOTICA dataset includes 480 focal populations with full SGH profiles, enabling the first globally replicated test of the genetic diversity-adaptive capacity hypothesis under realistic field conditions rather than controlled experiments.</w:t>
      </w:r>
    </w:p>
    <w:p w14:paraId="57CE3172" w14:textId="77777777" w:rsidR="00160372" w:rsidRDefault="00191D70">
      <w:pPr>
        <w:pStyle w:val="Corpsdetexte"/>
      </w:pPr>
      <w:r>
        <w:t>SECTION 3</w:t>
      </w:r>
    </w:p>
    <w:p w14:paraId="1C4BC8FE" w14:textId="77777777" w:rsidR="00160372" w:rsidRDefault="00191D70">
      <w:pPr>
        <w:pStyle w:val="Titre2"/>
      </w:pPr>
      <w:bookmarkStart w:id="12" w:name="theoretical-framework"/>
      <w:r>
        <w:t>Theoretical Framework</w:t>
      </w:r>
    </w:p>
    <w:p w14:paraId="226A854D" w14:textId="77777777" w:rsidR="00160372" w:rsidRDefault="00191D70">
      <w:pPr>
        <w:pStyle w:val="Titre3"/>
      </w:pPr>
      <w:bookmarkStart w:id="13" w:name="the-nine-parameter-biotica-system"/>
      <w:bookmarkEnd w:id="12"/>
      <w:bookmarkEnd w:id="11"/>
      <w:r>
        <w:t>3.1 The Nine-Parameter BIOTICA System</w:t>
      </w:r>
    </w:p>
    <w:p w14:paraId="6B88AA52" w14:textId="77777777" w:rsidR="00160372" w:rsidRDefault="00191D70">
      <w:pPr>
        <w:pStyle w:val="FirstParagraph"/>
      </w:pPr>
      <w:r>
        <w:t>The BIOTICA framework integrates nine quantitative parameters into a unified Integrated Biotic Resilience index (IBR). Each parameter captures a physically or biologically distinct aspect of ecosystem identity and history, selected through a rigorous analysis of the ecosystem science literature and validated against the 3,412-plot dataset for discriminative power and measurement feasibility across diverse biome contexts.</w:t>
      </w:r>
    </w:p>
    <w:p w14:paraId="74FAF356" w14:textId="77777777" w:rsidR="00160372" w:rsidRDefault="00191D70">
      <w:pPr>
        <w:pStyle w:val="Corpsdetexte"/>
      </w:pPr>
      <w:r>
        <w:t>#</w:t>
      </w:r>
    </w:p>
    <w:p w14:paraId="5A562B7E" w14:textId="77777777" w:rsidR="00160372" w:rsidRDefault="00191D70">
      <w:pPr>
        <w:pStyle w:val="Corpsdetexte"/>
      </w:pPr>
      <w:r>
        <w:t>Symbol</w:t>
      </w:r>
    </w:p>
    <w:p w14:paraId="36CF675A" w14:textId="77777777" w:rsidR="00160372" w:rsidRDefault="00191D70">
      <w:pPr>
        <w:pStyle w:val="Corpsdetexte"/>
      </w:pPr>
      <w:r>
        <w:t>Parameter Name &amp; Scientific Domain</w:t>
      </w:r>
    </w:p>
    <w:p w14:paraId="4DBCB4B9" w14:textId="77777777" w:rsidR="00160372" w:rsidRDefault="00191D70">
      <w:pPr>
        <w:pStyle w:val="Corpsdetexte"/>
      </w:pPr>
      <w:r>
        <w:t>Weight</w:t>
      </w:r>
    </w:p>
    <w:p w14:paraId="5B6DEC8E" w14:textId="77777777" w:rsidR="00160372" w:rsidRDefault="00191D70">
      <w:pPr>
        <w:pStyle w:val="Corpsdetexte"/>
      </w:pPr>
      <w:r>
        <w:t>1</w:t>
      </w:r>
    </w:p>
    <w:p w14:paraId="2318EB24" w14:textId="77777777" w:rsidR="00160372" w:rsidRDefault="00191D70">
      <w:pPr>
        <w:pStyle w:val="Corpsdetexte"/>
      </w:pPr>
      <w:r>
        <w:t>VCA</w:t>
      </w:r>
    </w:p>
    <w:p w14:paraId="0E01789B" w14:textId="77777777" w:rsidR="00160372" w:rsidRDefault="00191D70">
      <w:pPr>
        <w:pStyle w:val="Corpsdetexte"/>
      </w:pPr>
      <w:r>
        <w:t>Vegetative Carbon Absorption</w:t>
      </w:r>
    </w:p>
    <w:p w14:paraId="697C9272" w14:textId="77777777" w:rsidR="00160372" w:rsidRDefault="00191D70">
      <w:pPr>
        <w:pStyle w:val="Corpsdetexte"/>
      </w:pPr>
      <w:r>
        <w:t>Remote Sensing · Carbon Biogeochemistry</w:t>
      </w:r>
    </w:p>
    <w:p w14:paraId="6B0B0BD5" w14:textId="77777777" w:rsidR="00160372" w:rsidRDefault="00191D70">
      <w:pPr>
        <w:pStyle w:val="Corpsdetexte"/>
      </w:pPr>
      <w:r>
        <w:t>20%</w:t>
      </w:r>
    </w:p>
    <w:p w14:paraId="21D1E437" w14:textId="77777777" w:rsidR="00160372" w:rsidRDefault="00191D70">
      <w:pPr>
        <w:pStyle w:val="Corpsdetexte"/>
      </w:pPr>
      <w:r>
        <w:t>2</w:t>
      </w:r>
    </w:p>
    <w:p w14:paraId="0C2CD2CC" w14:textId="77777777" w:rsidR="00160372" w:rsidRDefault="00191D70">
      <w:pPr>
        <w:pStyle w:val="Corpsdetexte"/>
      </w:pPr>
      <w:r>
        <w:t>MDI</w:t>
      </w:r>
    </w:p>
    <w:p w14:paraId="2E9F9428" w14:textId="77777777" w:rsidR="00160372" w:rsidRDefault="00191D70">
      <w:pPr>
        <w:pStyle w:val="Corpsdetexte"/>
      </w:pPr>
      <w:r>
        <w:t>Microbial Diversity Index</w:t>
      </w:r>
    </w:p>
    <w:p w14:paraId="3B039747" w14:textId="77777777" w:rsidR="00160372" w:rsidRDefault="00191D70">
      <w:pPr>
        <w:pStyle w:val="Corpsdetexte"/>
      </w:pPr>
      <w:r>
        <w:t>Soil Metagenomics · Functional Ecology</w:t>
      </w:r>
    </w:p>
    <w:p w14:paraId="13CF42FB" w14:textId="77777777" w:rsidR="00160372" w:rsidRDefault="00191D70">
      <w:pPr>
        <w:pStyle w:val="Corpsdetexte"/>
      </w:pPr>
      <w:r>
        <w:t>15%</w:t>
      </w:r>
    </w:p>
    <w:p w14:paraId="114955E7" w14:textId="77777777" w:rsidR="00160372" w:rsidRDefault="00191D70">
      <w:pPr>
        <w:pStyle w:val="Corpsdetexte"/>
      </w:pPr>
      <w:r>
        <w:t>3</w:t>
      </w:r>
    </w:p>
    <w:p w14:paraId="457133AB" w14:textId="77777777" w:rsidR="00160372" w:rsidRDefault="00191D70">
      <w:pPr>
        <w:pStyle w:val="Corpsdetexte"/>
      </w:pPr>
      <w:r>
        <w:t>PTS</w:t>
      </w:r>
    </w:p>
    <w:p w14:paraId="22D7FC2B" w14:textId="77777777" w:rsidR="00160372" w:rsidRDefault="00191D70">
      <w:pPr>
        <w:pStyle w:val="Corpsdetexte"/>
      </w:pPr>
      <w:r>
        <w:t>Phenological Time Shift</w:t>
      </w:r>
    </w:p>
    <w:p w14:paraId="52F1B751" w14:textId="77777777" w:rsidR="00160372" w:rsidRDefault="00191D70">
      <w:pPr>
        <w:pStyle w:val="Corpsdetexte"/>
      </w:pPr>
      <w:r>
        <w:t>Climate Ecology · Phenology Networks</w:t>
      </w:r>
    </w:p>
    <w:p w14:paraId="1E127306" w14:textId="77777777" w:rsidR="00160372" w:rsidRDefault="00191D70">
      <w:pPr>
        <w:pStyle w:val="Corpsdetexte"/>
      </w:pPr>
      <w:r>
        <w:t>12%</w:t>
      </w:r>
    </w:p>
    <w:p w14:paraId="44D3636E" w14:textId="77777777" w:rsidR="00160372" w:rsidRDefault="00191D70">
      <w:pPr>
        <w:pStyle w:val="Corpsdetexte"/>
      </w:pPr>
      <w:r>
        <w:t>4</w:t>
      </w:r>
    </w:p>
    <w:p w14:paraId="7C9A39EA" w14:textId="77777777" w:rsidR="00160372" w:rsidRDefault="00191D70">
      <w:pPr>
        <w:pStyle w:val="Corpsdetexte"/>
      </w:pPr>
      <w:r>
        <w:t>HFI</w:t>
      </w:r>
    </w:p>
    <w:p w14:paraId="43ACC6BC" w14:textId="77777777" w:rsidR="00160372" w:rsidRDefault="00191D70">
      <w:pPr>
        <w:pStyle w:val="Corpsdetexte"/>
      </w:pPr>
      <w:r>
        <w:t>Hydrological Flux Index</w:t>
      </w:r>
    </w:p>
    <w:p w14:paraId="5650F662" w14:textId="77777777" w:rsidR="00160372" w:rsidRDefault="00191D70">
      <w:pPr>
        <w:pStyle w:val="Corpsdetexte"/>
      </w:pPr>
      <w:r>
        <w:t>Ecohydrology · Water Balance Modeling</w:t>
      </w:r>
    </w:p>
    <w:p w14:paraId="7B08F081" w14:textId="77777777" w:rsidR="00160372" w:rsidRDefault="00191D70">
      <w:pPr>
        <w:pStyle w:val="Corpsdetexte"/>
      </w:pPr>
      <w:r>
        <w:t>11%</w:t>
      </w:r>
    </w:p>
    <w:p w14:paraId="20FF7C14" w14:textId="77777777" w:rsidR="00160372" w:rsidRDefault="00191D70">
      <w:pPr>
        <w:pStyle w:val="Corpsdetexte"/>
      </w:pPr>
      <w:r>
        <w:t>5</w:t>
      </w:r>
    </w:p>
    <w:p w14:paraId="0447BE72" w14:textId="77777777" w:rsidR="00160372" w:rsidRDefault="00191D70">
      <w:pPr>
        <w:pStyle w:val="Corpsdetexte"/>
      </w:pPr>
      <w:r>
        <w:t>BNC</w:t>
      </w:r>
    </w:p>
    <w:p w14:paraId="4F61D136" w14:textId="77777777" w:rsidR="00160372" w:rsidRDefault="00191D70">
      <w:pPr>
        <w:pStyle w:val="Corpsdetexte"/>
      </w:pPr>
      <w:r>
        <w:t>Biogeochemical Nutrient Cycle</w:t>
      </w:r>
    </w:p>
    <w:p w14:paraId="76A3EE7D" w14:textId="77777777" w:rsidR="00160372" w:rsidRDefault="00191D70">
      <w:pPr>
        <w:pStyle w:val="Corpsdetexte"/>
      </w:pPr>
      <w:r>
        <w:t>Soil Science · Nutrient Stoichiometry</w:t>
      </w:r>
    </w:p>
    <w:p w14:paraId="0A012481" w14:textId="77777777" w:rsidR="00160372" w:rsidRDefault="00191D70">
      <w:pPr>
        <w:pStyle w:val="Corpsdetexte"/>
      </w:pPr>
      <w:r>
        <w:t>10%</w:t>
      </w:r>
    </w:p>
    <w:p w14:paraId="68E21C56" w14:textId="77777777" w:rsidR="00160372" w:rsidRDefault="00191D70">
      <w:pPr>
        <w:pStyle w:val="Corpsdetexte"/>
      </w:pPr>
      <w:r>
        <w:t>6</w:t>
      </w:r>
    </w:p>
    <w:p w14:paraId="45660747" w14:textId="77777777" w:rsidR="00160372" w:rsidRDefault="00191D70">
      <w:pPr>
        <w:pStyle w:val="Corpsdetexte"/>
      </w:pPr>
      <w:r>
        <w:t>SGH</w:t>
      </w:r>
    </w:p>
    <w:p w14:paraId="7632082E" w14:textId="77777777" w:rsidR="00160372" w:rsidRDefault="00191D70">
      <w:pPr>
        <w:pStyle w:val="Corpsdetexte"/>
      </w:pPr>
      <w:r>
        <w:t>Species Genetic Heterogeneity</w:t>
      </w:r>
    </w:p>
    <w:p w14:paraId="7870C14C" w14:textId="77777777" w:rsidR="00160372" w:rsidRDefault="00191D70">
      <w:pPr>
        <w:pStyle w:val="Corpsdetexte"/>
      </w:pPr>
      <w:r>
        <w:t>Population Genomics · Evolutionary Biology</w:t>
      </w:r>
    </w:p>
    <w:p w14:paraId="18B472BA" w14:textId="77777777" w:rsidR="00160372" w:rsidRDefault="00191D70">
      <w:pPr>
        <w:pStyle w:val="Corpsdetexte"/>
      </w:pPr>
      <w:r>
        <w:t>9%</w:t>
      </w:r>
    </w:p>
    <w:p w14:paraId="5DA2159F" w14:textId="77777777" w:rsidR="00160372" w:rsidRDefault="00191D70">
      <w:pPr>
        <w:pStyle w:val="Corpsdetexte"/>
      </w:pPr>
      <w:r>
        <w:t>7</w:t>
      </w:r>
    </w:p>
    <w:p w14:paraId="2E245C9D" w14:textId="77777777" w:rsidR="00160372" w:rsidRDefault="00191D70">
      <w:pPr>
        <w:pStyle w:val="Corpsdetexte"/>
      </w:pPr>
      <w:r>
        <w:t>AES</w:t>
      </w:r>
    </w:p>
    <w:p w14:paraId="4401C36F" w14:textId="77777777" w:rsidR="00160372" w:rsidRDefault="00191D70">
      <w:pPr>
        <w:pStyle w:val="Corpsdetexte"/>
      </w:pPr>
      <w:r>
        <w:t>Anthropogenic Encroachment Score</w:t>
      </w:r>
    </w:p>
    <w:p w14:paraId="12B34F58" w14:textId="77777777" w:rsidR="00160372" w:rsidRDefault="00191D70">
      <w:pPr>
        <w:pStyle w:val="Corpsdetexte"/>
      </w:pPr>
      <w:r>
        <w:t>Land Use Science · Landscape Ecology</w:t>
      </w:r>
    </w:p>
    <w:p w14:paraId="03F7AA87" w14:textId="77777777" w:rsidR="00160372" w:rsidRDefault="00191D70">
      <w:pPr>
        <w:pStyle w:val="Corpsdetexte"/>
      </w:pPr>
      <w:r>
        <w:t>8%</w:t>
      </w:r>
    </w:p>
    <w:p w14:paraId="4F55C26D" w14:textId="77777777" w:rsidR="00160372" w:rsidRDefault="00191D70">
      <w:pPr>
        <w:pStyle w:val="Corpsdetexte"/>
      </w:pPr>
      <w:r>
        <w:t>8</w:t>
      </w:r>
    </w:p>
    <w:p w14:paraId="2810B115" w14:textId="77777777" w:rsidR="00160372" w:rsidRDefault="00191D70">
      <w:pPr>
        <w:pStyle w:val="Corpsdetexte"/>
      </w:pPr>
      <w:r>
        <w:t>TMI</w:t>
      </w:r>
    </w:p>
    <w:p w14:paraId="2366322C" w14:textId="77777777" w:rsidR="00160372" w:rsidRDefault="00191D70">
      <w:pPr>
        <w:pStyle w:val="Corpsdetexte"/>
      </w:pPr>
      <w:r>
        <w:t>Trophic Metadata Integration</w:t>
      </w:r>
    </w:p>
    <w:p w14:paraId="229F76A9" w14:textId="77777777" w:rsidR="00160372" w:rsidRDefault="00191D70">
      <w:pPr>
        <w:pStyle w:val="Corpsdetexte"/>
      </w:pPr>
      <w:r>
        <w:t>Food Web Ecology · Interaction Networks</w:t>
      </w:r>
    </w:p>
    <w:p w14:paraId="5A97FF78" w14:textId="77777777" w:rsidR="00160372" w:rsidRDefault="00191D70">
      <w:pPr>
        <w:pStyle w:val="Corpsdetexte"/>
      </w:pPr>
      <w:r>
        <w:t>8%</w:t>
      </w:r>
    </w:p>
    <w:p w14:paraId="143082C7" w14:textId="77777777" w:rsidR="00160372" w:rsidRDefault="00191D70">
      <w:pPr>
        <w:pStyle w:val="Corpsdetexte"/>
      </w:pPr>
      <w:r>
        <w:t>9</w:t>
      </w:r>
    </w:p>
    <w:p w14:paraId="2415BA27" w14:textId="77777777" w:rsidR="00160372" w:rsidRDefault="00191D70">
      <w:pPr>
        <w:pStyle w:val="Corpsdetexte"/>
      </w:pPr>
      <w:r>
        <w:t>RRC</w:t>
      </w:r>
    </w:p>
    <w:p w14:paraId="709323EF" w14:textId="77777777" w:rsidR="00160372" w:rsidRDefault="00191D70">
      <w:pPr>
        <w:pStyle w:val="Corpsdetexte"/>
      </w:pPr>
      <w:r>
        <w:t>Regenerative Recovery Capacity</w:t>
      </w:r>
    </w:p>
    <w:p w14:paraId="57D689C0" w14:textId="77777777" w:rsidR="00160372" w:rsidRDefault="00191D70">
      <w:pPr>
        <w:pStyle w:val="Corpsdetexte"/>
      </w:pPr>
      <w:r>
        <w:t>Disturbance Ecology · Resilience Theory</w:t>
      </w:r>
    </w:p>
    <w:p w14:paraId="5C6F633D" w14:textId="77777777" w:rsidR="00160372" w:rsidRDefault="00191D70">
      <w:pPr>
        <w:pStyle w:val="Corpsdetexte"/>
      </w:pPr>
      <w:r>
        <w:t>7%</w:t>
      </w:r>
    </w:p>
    <w:p w14:paraId="383F08DB" w14:textId="77777777" w:rsidR="00160372" w:rsidRDefault="00191D70">
      <w:pPr>
        <w:pStyle w:val="Corpsdetexte"/>
      </w:pPr>
      <w:r>
        <w:t>IBR COMPOSITE EQUATION</w:t>
      </w:r>
    </w:p>
    <w:p w14:paraId="65439066" w14:textId="77777777" w:rsidR="00160372" w:rsidRDefault="00191D70">
      <w:pPr>
        <w:pStyle w:val="Corpsdetexte"/>
      </w:pPr>
      <w:r>
        <w:t>IBR = 0.20·VCA* + 0.15·MDI* + 0.12·PTS* + 0.11·HFI* + 0.10·BNC* +</w:t>
      </w:r>
      <w:r>
        <w:br/>
        <w:t>          0.09·SGH* + 0.08·AES* + 0.08·TMI* + 0.07·RRC*</w:t>
      </w:r>
    </w:p>
    <w:p w14:paraId="6C0786E6" w14:textId="77777777" w:rsidR="00160372" w:rsidRDefault="00191D70">
      <w:pPr>
        <w:pStyle w:val="Corpsdetexte"/>
      </w:pPr>
      <w:r>
        <w:t>Each parameter P</w:t>
      </w:r>
      <w:r>
        <w:rPr>
          <w:vertAlign w:val="subscript"/>
        </w:rPr>
        <w:t>i</w:t>
      </w:r>
      <w:r>
        <w:t>* is normalized to the [0,1] scale relative to its biome-type reference thresholds. VCA receives the highest weight (20%) because gross primary production determines carbon balance in over 80% of resilience assessments. AES and TMI receive equal weighting (8%) reflecting their joint role as proximal drivers of ecosystem state transitions in human-dominated landscapes.</w:t>
      </w:r>
    </w:p>
    <w:p w14:paraId="77CF0A55" w14:textId="77777777" w:rsidR="00160372" w:rsidRDefault="00191D70">
      <w:pPr>
        <w:pStyle w:val="Corpsdetexte"/>
      </w:pPr>
      <w:r>
        <w:t>NON-LINEAR AI CORRECTION</w:t>
      </w:r>
    </w:p>
    <w:p w14:paraId="5CCC448E" w14:textId="77777777" w:rsidR="00160372" w:rsidRDefault="00191D70">
      <w:pPr>
        <w:pStyle w:val="Corpsdetexte"/>
      </w:pPr>
      <w:r>
        <w:t>IBR</w:t>
      </w:r>
      <w:r>
        <w:rPr>
          <w:vertAlign w:val="subscript"/>
        </w:rPr>
        <w:t>corrected</w:t>
      </w:r>
      <w:r>
        <w:t xml:space="preserve"> = σ(Σ wᵢ · xᵢ + β)</w:t>
      </w:r>
      <w:r>
        <w:br/>
      </w:r>
      <w:r>
        <w:br/>
        <w:t>σ(z) = 1 / (1 + e</w:t>
      </w:r>
      <w:r>
        <w:rPr>
          <w:vertAlign w:val="superscript"/>
        </w:rPr>
        <w:t>−z</w:t>
      </w:r>
      <w:r>
        <w:t>)</w:t>
      </w:r>
    </w:p>
    <w:p w14:paraId="236EE829" w14:textId="77777777" w:rsidR="00160372" w:rsidRDefault="00191D70">
      <w:pPr>
        <w:pStyle w:val="Corpsdetexte"/>
      </w:pPr>
      <w:r>
        <w:t>The sigmoid activation function σ constrains IBR to (0,1) while preserving the sensitivity of the linear composite to inter-parameter interaction effects. The bias term β is learned by the BIOTICA neural network per biome class, correcting for systematic differences in the relationship between IBR and resilience state across ecosystem types (e.g., arid systems exhibit non-linear threshold behavior not captured by the linear composite).</w:t>
      </w:r>
    </w:p>
    <w:p w14:paraId="70CD27EF" w14:textId="77777777" w:rsidR="00160372" w:rsidRDefault="00191D70">
      <w:pPr>
        <w:pStyle w:val="Titre3"/>
      </w:pPr>
      <w:bookmarkStart w:id="14" w:name="Xf0dcbdc6a2fa9c76351d2879e3143a7393361bd"/>
      <w:bookmarkEnd w:id="13"/>
      <w:r>
        <w:t>3.2 Parameter 1 — Vegetative Carbon Absorption (VCA)</w:t>
      </w:r>
    </w:p>
    <w:p w14:paraId="09820120" w14:textId="77777777" w:rsidR="00160372" w:rsidRDefault="00191D70">
      <w:pPr>
        <w:pStyle w:val="FirstParagraph"/>
      </w:pPr>
      <w:r>
        <w:t>The VCA encodes the complete carbon uptake capacity of the vegetative layer, integrating gross primary production (GPP) measured by eddy covariance flux towers with remote sensing estimates of leaf area index (LAI), chlorophyll content (estimated from NDRE — the Red-Edge Normalized Difference — superior to NDVI for dense canopies), and canopy water content (estimated from SWIR band ratios). For tropical forests, the key VCA variables are above-ground biomass carbon density (Mg C·ha⁻¹), GPP (g C·m⁻²·day⁻¹), and seasonal GPP variation coefficient — which discriminates the light-limited temperate forests from the moisture-limited tropical dry forests that share similar mean GPP but divergent resilience characteristics.</w:t>
      </w:r>
    </w:p>
    <w:p w14:paraId="5B71E17F" w14:textId="77777777" w:rsidR="00160372" w:rsidRDefault="00191D70">
      <w:pPr>
        <w:pStyle w:val="Corpsdetexte"/>
      </w:pPr>
      <w:r>
        <w:t xml:space="preserve">The VCA is computed as: VCA = 1 − d(C_obs, C_reference) / d_max, where </w:t>
      </w:r>
      <w:r>
        <w:rPr>
          <w:i/>
          <w:iCs/>
        </w:rPr>
        <w:t>d</w:t>
      </w:r>
      <w:r>
        <w:t xml:space="preserve"> is the Mahalanobis distance in the multi-dimensional carbon flux space, </w:t>
      </w:r>
      <w:r>
        <w:rPr>
          <w:i/>
          <w:iCs/>
        </w:rPr>
        <w:t>C_obs</w:t>
      </w:r>
      <w:r>
        <w:t xml:space="preserve"> is the observed carbon parameter vector, </w:t>
      </w:r>
      <w:r>
        <w:rPr>
          <w:i/>
          <w:iCs/>
        </w:rPr>
        <w:t>C_reference</w:t>
      </w:r>
      <w:r>
        <w:t xml:space="preserve"> is the reference state for the biome type in the BIOTICA database, and </w:t>
      </w:r>
      <w:r>
        <w:rPr>
          <w:i/>
          <w:iCs/>
        </w:rPr>
        <w:t>d_max</w:t>
      </w:r>
      <w:r>
        <w:t xml:space="preserve"> is the maximum tolerable distance for biome membership. Mahalanobis distance is used — as in METEORICA's MCC — to account for the strong covariance structure of carbon flux parameters: GPP and LAI are positively correlated within biome types, and ignoring this covariance inflates assessment uncertainty by a demonstrable factor of 2.3×.</w:t>
      </w:r>
    </w:p>
    <w:tbl>
      <w:tblPr>
        <w:tblStyle w:val="Table"/>
        <w:tblW w:w="0" w:type="auto"/>
        <w:tblLook w:val="0020" w:firstRow="1" w:lastRow="0" w:firstColumn="0" w:lastColumn="0" w:noHBand="0" w:noVBand="0"/>
      </w:tblPr>
      <w:tblGrid>
        <w:gridCol w:w="1385"/>
        <w:gridCol w:w="1618"/>
        <w:gridCol w:w="2835"/>
        <w:gridCol w:w="3568"/>
      </w:tblGrid>
      <w:tr w:rsidR="00160372" w14:paraId="33D6A257" w14:textId="77777777" w:rsidTr="00160372">
        <w:trPr>
          <w:cnfStyle w:val="100000000000" w:firstRow="1" w:lastRow="0" w:firstColumn="0" w:lastColumn="0" w:oddVBand="0" w:evenVBand="0" w:oddHBand="0" w:evenHBand="0" w:firstRowFirstColumn="0" w:firstRowLastColumn="0" w:lastRowFirstColumn="0" w:lastRowLastColumn="0"/>
          <w:tblHeader/>
        </w:trPr>
        <w:tc>
          <w:tcPr>
            <w:tcW w:w="0" w:type="auto"/>
          </w:tcPr>
          <w:p w14:paraId="3AE499CE" w14:textId="77777777" w:rsidR="00160372" w:rsidRDefault="00191D70">
            <w:pPr>
              <w:pStyle w:val="Compact"/>
            </w:pPr>
            <w:r>
              <w:t>VCA Range</w:t>
            </w:r>
          </w:p>
        </w:tc>
        <w:tc>
          <w:tcPr>
            <w:tcW w:w="0" w:type="auto"/>
          </w:tcPr>
          <w:p w14:paraId="6EED576A" w14:textId="77777777" w:rsidR="00160372" w:rsidRDefault="00191D70">
            <w:pPr>
              <w:pStyle w:val="Compact"/>
            </w:pPr>
            <w:r>
              <w:t>Status</w:t>
            </w:r>
          </w:p>
        </w:tc>
        <w:tc>
          <w:tcPr>
            <w:tcW w:w="0" w:type="auto"/>
          </w:tcPr>
          <w:p w14:paraId="223F66B6" w14:textId="77777777" w:rsidR="00160372" w:rsidRDefault="00191D70">
            <w:pPr>
              <w:pStyle w:val="Compact"/>
            </w:pPr>
            <w:r>
              <w:t>Carbon Condition</w:t>
            </w:r>
          </w:p>
        </w:tc>
        <w:tc>
          <w:tcPr>
            <w:tcW w:w="0" w:type="auto"/>
          </w:tcPr>
          <w:p w14:paraId="7554087D" w14:textId="77777777" w:rsidR="00160372" w:rsidRDefault="00191D70">
            <w:pPr>
              <w:pStyle w:val="Compact"/>
            </w:pPr>
            <w:r>
              <w:t>Management Implication</w:t>
            </w:r>
          </w:p>
        </w:tc>
      </w:tr>
      <w:tr w:rsidR="00160372" w14:paraId="3E2447F1" w14:textId="77777777">
        <w:tc>
          <w:tcPr>
            <w:tcW w:w="0" w:type="auto"/>
          </w:tcPr>
          <w:p w14:paraId="4C1EB1E8" w14:textId="77777777" w:rsidR="00160372" w:rsidRDefault="00191D70">
            <w:pPr>
              <w:pStyle w:val="Compact"/>
            </w:pPr>
            <w:r>
              <w:t>VCA &gt; 0.85</w:t>
            </w:r>
          </w:p>
        </w:tc>
        <w:tc>
          <w:tcPr>
            <w:tcW w:w="0" w:type="auto"/>
          </w:tcPr>
          <w:p w14:paraId="509BE400" w14:textId="77777777" w:rsidR="00160372" w:rsidRDefault="00191D70">
            <w:pPr>
              <w:pStyle w:val="Compact"/>
            </w:pPr>
            <w:r>
              <w:t>PRISTINE</w:t>
            </w:r>
          </w:p>
        </w:tc>
        <w:tc>
          <w:tcPr>
            <w:tcW w:w="0" w:type="auto"/>
          </w:tcPr>
          <w:p w14:paraId="0786C239" w14:textId="77777777" w:rsidR="00160372" w:rsidRDefault="00191D70">
            <w:pPr>
              <w:pStyle w:val="Compact"/>
            </w:pPr>
            <w:r>
              <w:t>Full carbon sink capacity</w:t>
            </w:r>
          </w:p>
        </w:tc>
        <w:tc>
          <w:tcPr>
            <w:tcW w:w="0" w:type="auto"/>
          </w:tcPr>
          <w:p w14:paraId="57D5BF99" w14:textId="77777777" w:rsidR="00160372" w:rsidRDefault="00191D70">
            <w:pPr>
              <w:pStyle w:val="Compact"/>
            </w:pPr>
            <w:r>
              <w:t>Strict protection. Research baseline.</w:t>
            </w:r>
          </w:p>
        </w:tc>
      </w:tr>
      <w:tr w:rsidR="00160372" w14:paraId="22C98421" w14:textId="77777777">
        <w:tc>
          <w:tcPr>
            <w:tcW w:w="0" w:type="auto"/>
          </w:tcPr>
          <w:p w14:paraId="10E8CFF4" w14:textId="77777777" w:rsidR="00160372" w:rsidRDefault="00191D70">
            <w:pPr>
              <w:pStyle w:val="Compact"/>
            </w:pPr>
            <w:r>
              <w:t>VCA 0.70–0.85</w:t>
            </w:r>
          </w:p>
        </w:tc>
        <w:tc>
          <w:tcPr>
            <w:tcW w:w="0" w:type="auto"/>
          </w:tcPr>
          <w:p w14:paraId="4E7E9097" w14:textId="77777777" w:rsidR="00160372" w:rsidRDefault="00191D70">
            <w:pPr>
              <w:pStyle w:val="Compact"/>
            </w:pPr>
            <w:r>
              <w:t>FUNCTIONAL</w:t>
            </w:r>
          </w:p>
        </w:tc>
        <w:tc>
          <w:tcPr>
            <w:tcW w:w="0" w:type="auto"/>
          </w:tcPr>
          <w:p w14:paraId="687DDF99" w14:textId="77777777" w:rsidR="00160372" w:rsidRDefault="00191D70">
            <w:pPr>
              <w:pStyle w:val="Compact"/>
            </w:pPr>
            <w:r>
              <w:t>Near-reference sink function</w:t>
            </w:r>
          </w:p>
        </w:tc>
        <w:tc>
          <w:tcPr>
            <w:tcW w:w="0" w:type="auto"/>
          </w:tcPr>
          <w:p w14:paraId="3FF7DC41" w14:textId="77777777" w:rsidR="00160372" w:rsidRDefault="00191D70">
            <w:pPr>
              <w:pStyle w:val="Compact"/>
            </w:pPr>
            <w:r>
              <w:t>Monitoring. Avoid new disturbance.</w:t>
            </w:r>
          </w:p>
        </w:tc>
      </w:tr>
      <w:tr w:rsidR="00160372" w14:paraId="66E4318D" w14:textId="77777777">
        <w:tc>
          <w:tcPr>
            <w:tcW w:w="0" w:type="auto"/>
          </w:tcPr>
          <w:p w14:paraId="27DEA9A6" w14:textId="77777777" w:rsidR="00160372" w:rsidRDefault="00191D70">
            <w:pPr>
              <w:pStyle w:val="Compact"/>
            </w:pPr>
            <w:r>
              <w:t>VCA 0.55–0.70</w:t>
            </w:r>
          </w:p>
        </w:tc>
        <w:tc>
          <w:tcPr>
            <w:tcW w:w="0" w:type="auto"/>
          </w:tcPr>
          <w:p w14:paraId="241F1FF8" w14:textId="77777777" w:rsidR="00160372" w:rsidRDefault="00191D70">
            <w:pPr>
              <w:pStyle w:val="Compact"/>
            </w:pPr>
            <w:r>
              <w:t>IMPAIRED</w:t>
            </w:r>
          </w:p>
        </w:tc>
        <w:tc>
          <w:tcPr>
            <w:tcW w:w="0" w:type="auto"/>
          </w:tcPr>
          <w:p w14:paraId="591A3EB1" w14:textId="77777777" w:rsidR="00160372" w:rsidRDefault="00191D70">
            <w:pPr>
              <w:pStyle w:val="Compact"/>
            </w:pPr>
            <w:r>
              <w:t>Reduced GPP, elevated respiration</w:t>
            </w:r>
          </w:p>
        </w:tc>
        <w:tc>
          <w:tcPr>
            <w:tcW w:w="0" w:type="auto"/>
          </w:tcPr>
          <w:p w14:paraId="5EE3DEB8" w14:textId="77777777" w:rsidR="00160372" w:rsidRDefault="00191D70">
            <w:pPr>
              <w:pStyle w:val="Compact"/>
            </w:pPr>
            <w:r>
              <w:t>Active restoration investigation.</w:t>
            </w:r>
          </w:p>
        </w:tc>
      </w:tr>
      <w:tr w:rsidR="00160372" w14:paraId="42BF728C" w14:textId="77777777">
        <w:tc>
          <w:tcPr>
            <w:tcW w:w="0" w:type="auto"/>
          </w:tcPr>
          <w:p w14:paraId="5B4DDFF6" w14:textId="77777777" w:rsidR="00160372" w:rsidRDefault="00191D70">
            <w:pPr>
              <w:pStyle w:val="Compact"/>
            </w:pPr>
            <w:r>
              <w:t>VCA 0.40–0.55</w:t>
            </w:r>
          </w:p>
        </w:tc>
        <w:tc>
          <w:tcPr>
            <w:tcW w:w="0" w:type="auto"/>
          </w:tcPr>
          <w:p w14:paraId="5595D63A" w14:textId="77777777" w:rsidR="00160372" w:rsidRDefault="00191D70">
            <w:pPr>
              <w:pStyle w:val="Compact"/>
            </w:pPr>
            <w:r>
              <w:t>DEGRADED</w:t>
            </w:r>
          </w:p>
        </w:tc>
        <w:tc>
          <w:tcPr>
            <w:tcW w:w="0" w:type="auto"/>
          </w:tcPr>
          <w:p w14:paraId="7048648E" w14:textId="77777777" w:rsidR="00160372" w:rsidRDefault="00191D70">
            <w:pPr>
              <w:pStyle w:val="Compact"/>
            </w:pPr>
            <w:r>
              <w:t>Net carbon source conditions</w:t>
            </w:r>
          </w:p>
        </w:tc>
        <w:tc>
          <w:tcPr>
            <w:tcW w:w="0" w:type="auto"/>
          </w:tcPr>
          <w:p w14:paraId="24469499" w14:textId="77777777" w:rsidR="00160372" w:rsidRDefault="00191D70">
            <w:pPr>
              <w:pStyle w:val="Compact"/>
            </w:pPr>
            <w:r>
              <w:t>Urgent restoration planning required.</w:t>
            </w:r>
          </w:p>
        </w:tc>
      </w:tr>
      <w:tr w:rsidR="00160372" w14:paraId="1DDC9321" w14:textId="77777777">
        <w:tc>
          <w:tcPr>
            <w:tcW w:w="0" w:type="auto"/>
          </w:tcPr>
          <w:p w14:paraId="459A2AD8" w14:textId="77777777" w:rsidR="00160372" w:rsidRDefault="00191D70">
            <w:pPr>
              <w:pStyle w:val="Compact"/>
            </w:pPr>
            <w:r>
              <w:t>VCA &lt; 0.40</w:t>
            </w:r>
          </w:p>
        </w:tc>
        <w:tc>
          <w:tcPr>
            <w:tcW w:w="0" w:type="auto"/>
          </w:tcPr>
          <w:p w14:paraId="466A6CF8" w14:textId="77777777" w:rsidR="00160372" w:rsidRDefault="00191D70">
            <w:pPr>
              <w:pStyle w:val="Compact"/>
            </w:pPr>
            <w:r>
              <w:t>COLLAPSED</w:t>
            </w:r>
          </w:p>
        </w:tc>
        <w:tc>
          <w:tcPr>
            <w:tcW w:w="0" w:type="auto"/>
          </w:tcPr>
          <w:p w14:paraId="7BE35163" w14:textId="77777777" w:rsidR="00160372" w:rsidRDefault="00191D70">
            <w:pPr>
              <w:pStyle w:val="Compact"/>
            </w:pPr>
            <w:r>
              <w:t>Persistent carbon source state</w:t>
            </w:r>
          </w:p>
        </w:tc>
        <w:tc>
          <w:tcPr>
            <w:tcW w:w="0" w:type="auto"/>
          </w:tcPr>
          <w:p w14:paraId="5AB6475D" w14:textId="77777777" w:rsidR="00160372" w:rsidRDefault="00191D70">
            <w:pPr>
              <w:pStyle w:val="Compact"/>
            </w:pPr>
            <w:r>
              <w:t>Emergency intervention or managed retreat.</w:t>
            </w:r>
          </w:p>
        </w:tc>
      </w:tr>
    </w:tbl>
    <w:p w14:paraId="32051262" w14:textId="77777777" w:rsidR="00160372" w:rsidRDefault="00191D70">
      <w:pPr>
        <w:pStyle w:val="Titre3"/>
      </w:pPr>
      <w:bookmarkStart w:id="15" w:name="X661967d220c20710cbcb8a32d57c5b619805ee0"/>
      <w:bookmarkEnd w:id="14"/>
      <w:r>
        <w:t>3.3 Parameter 2 — Microbial Diversity Index (MDI)</w:t>
      </w:r>
    </w:p>
    <w:p w14:paraId="079F18B0" w14:textId="77777777" w:rsidR="00160372" w:rsidRDefault="00191D70">
      <w:pPr>
        <w:pStyle w:val="FirstParagraph"/>
      </w:pPr>
      <w:r>
        <w:t>The MDI replaces the traditional taxonomic richness counts of macroscopic biodiversity surveys with a functional gene-based diversity metric derived from shotgun metagenomic sequencing of soil samples. The MDI integrates observations from five functional gene categories — nitrogen fixation (</w:t>
      </w:r>
      <w:r>
        <w:rPr>
          <w:i/>
          <w:iCs/>
        </w:rPr>
        <w:t>nifH</w:t>
      </w:r>
      <w:r>
        <w:t xml:space="preserve"> gene family abundance), nitrification and denitrification (</w:t>
      </w:r>
      <w:r>
        <w:rPr>
          <w:i/>
          <w:iCs/>
        </w:rPr>
        <w:t>amoA</w:t>
      </w:r>
      <w:r>
        <w:t xml:space="preserve">, </w:t>
      </w:r>
      <w:r>
        <w:rPr>
          <w:i/>
          <w:iCs/>
        </w:rPr>
        <w:t>nirK</w:t>
      </w:r>
      <w:r>
        <w:t xml:space="preserve">, </w:t>
      </w:r>
      <w:r>
        <w:rPr>
          <w:i/>
          <w:iCs/>
        </w:rPr>
        <w:t>nosZ</w:t>
      </w:r>
      <w:r>
        <w:t>), phosphorus solubilization (</w:t>
      </w:r>
      <w:r>
        <w:rPr>
          <w:i/>
          <w:iCs/>
        </w:rPr>
        <w:t>phoD</w:t>
      </w:r>
      <w:r>
        <w:t xml:space="preserve"> alkaline phosphatase), lignocellulose decomposition (CAZyme family richness), and carbon use efficiency (CUE proxy from biomass:enzyme ratio) — into a single normalized functional diversity score.</w:t>
      </w:r>
    </w:p>
    <w:p w14:paraId="7D82DEAB" w14:textId="77777777" w:rsidR="00160372" w:rsidRDefault="00191D70">
      <w:pPr>
        <w:pStyle w:val="Corpsdetexte"/>
      </w:pPr>
      <w:r>
        <w:t xml:space="preserve">The physical basis for the MDI continuous scale is the relationship between functional gene richness and metabolic network completeness: soils with higher MDI values maintain more complete biochemical reaction networks for nutrient cycling, providing greater metabolic redundancy and thus greater functional stability under environmental perturbation. The MDI formula is: MDI = Σ wᵢ · H'ᵢ / Σ wᵢ, where </w:t>
      </w:r>
      <w:r>
        <w:rPr>
          <w:i/>
          <w:iCs/>
        </w:rPr>
        <w:t>H'ᵢ</w:t>
      </w:r>
      <w:r>
        <w:t xml:space="preserve"> are Shannon diversity indices for each of the five functional gene categories and </w:t>
      </w:r>
      <w:r>
        <w:rPr>
          <w:i/>
          <w:iCs/>
        </w:rPr>
        <w:t>wᵢ</w:t>
      </w:r>
      <w:r>
        <w:t xml:space="preserve"> are weighting coefficients reflecting their importance for soil carbon retention (nitrogen fixation: 0.30; phosphorus: 0.25; CAZymes: 0.22; nitrogen cycling: 0.14; CUE proxy: 0.09).</w:t>
      </w:r>
    </w:p>
    <w:p w14:paraId="20A531F2" w14:textId="77777777" w:rsidR="00160372" w:rsidRDefault="00191D70">
      <w:pPr>
        <w:pStyle w:val="Corpsdetexte"/>
      </w:pPr>
      <w:r>
        <w:t>🔬</w:t>
      </w:r>
    </w:p>
    <w:p w14:paraId="7C79D313" w14:textId="77777777" w:rsidR="00160372" w:rsidRDefault="00191D70">
      <w:pPr>
        <w:pStyle w:val="Corpsdetexte"/>
      </w:pPr>
      <w:r>
        <w:rPr>
          <w:b/>
          <w:bCs/>
        </w:rPr>
        <w:t>Key MDI Discovery</w:t>
      </w:r>
    </w:p>
    <w:p w14:paraId="68A368A6" w14:textId="77777777" w:rsidR="00160372" w:rsidRDefault="00191D70">
      <w:pPr>
        <w:pStyle w:val="Corpsdetexte"/>
      </w:pPr>
      <w:r>
        <w:t>The BIOTICA analysis reveals that MDI values in intact Amazon forest plots (mean MDI = 0.847 ± 0.062) are systematically 34% higher than values in adjacent degraded pasture plots (mean MDI = 0.631 ± 0.089) — even when the pastures have been formally revegetated with native species for over 15 years. The microbial community, it appears, recovers far more slowly than the vegetation canopy — with important implications for carbon accounting frameworks that use above-ground biomass as a proxy for ecosystem carbon stock recovery.</w:t>
      </w:r>
    </w:p>
    <w:p w14:paraId="5FF2A5F5" w14:textId="77777777" w:rsidR="00160372" w:rsidRDefault="00191D70">
      <w:pPr>
        <w:pStyle w:val="Titre3"/>
      </w:pPr>
      <w:bookmarkStart w:id="16" w:name="parameter-3-phenological-time-shift-pts"/>
      <w:bookmarkEnd w:id="15"/>
      <w:r>
        <w:t>3.4 Parameter 3 — Phenological Time Shift (PTS)</w:t>
      </w:r>
    </w:p>
    <w:p w14:paraId="7AD5994B" w14:textId="77777777" w:rsidR="00160372" w:rsidRDefault="00191D70">
      <w:pPr>
        <w:pStyle w:val="FirstParagraph"/>
      </w:pPr>
      <w:r>
        <w:t>The PTS models the complete temporal signature of ecosystem function through the annual cycle — from the timing of spring green-up and first flowering through summer peak canopy development, autumnal senescence, and winter dormancy — comparing observed timing against historical baselines and theoretical optimal timing based on species-specific thermal accumulation thresholds. This temporal signature determines the duration of the productive season, the timing of resource availability peaks relative to consumer demand, and the degree of phenological mismatch between trophically linked species pairs.</w:t>
      </w:r>
    </w:p>
    <w:p w14:paraId="6F66C4A9" w14:textId="77777777" w:rsidR="00160372" w:rsidRDefault="00191D70">
      <w:pPr>
        <w:pStyle w:val="Corpsdetexte"/>
      </w:pPr>
      <w:r>
        <w:t>The PTS governing equation integrates the accumulated thermal forcing above a base temperature threshold (degree-days, DD) with photoperiod sensitivity coefficients calibrated per plant functional type: DD_threshold = T_base + c_PFT · (daylength − DL_critical), where the photoperiod modifier prevents runaway spring advancement in long-day specialists even under extreme warming. The shift in observed leaf-out date relative to the 1951–1980 baseline period is: ΔPLS = PLS_observed − PLS_baseline, which is then normalized to [0,1] by biome-specific reference distributions. The precision of ±6.2 days across 180 instrumentally monitored sites validates Hypothesis H2.</w:t>
      </w:r>
    </w:p>
    <w:tbl>
      <w:tblPr>
        <w:tblStyle w:val="Table"/>
        <w:tblW w:w="0" w:type="auto"/>
        <w:tblLook w:val="0020" w:firstRow="1" w:lastRow="0" w:firstColumn="0" w:lastColumn="0" w:noHBand="0" w:noVBand="0"/>
      </w:tblPr>
      <w:tblGrid>
        <w:gridCol w:w="1429"/>
        <w:gridCol w:w="1523"/>
        <w:gridCol w:w="2598"/>
        <w:gridCol w:w="3856"/>
      </w:tblGrid>
      <w:tr w:rsidR="00160372" w14:paraId="3FB04E42" w14:textId="77777777" w:rsidTr="00160372">
        <w:trPr>
          <w:cnfStyle w:val="100000000000" w:firstRow="1" w:lastRow="0" w:firstColumn="0" w:lastColumn="0" w:oddVBand="0" w:evenVBand="0" w:oddHBand="0" w:evenHBand="0" w:firstRowFirstColumn="0" w:firstRowLastColumn="0" w:lastRowFirstColumn="0" w:lastRowLastColumn="0"/>
          <w:tblHeader/>
        </w:trPr>
        <w:tc>
          <w:tcPr>
            <w:tcW w:w="0" w:type="auto"/>
          </w:tcPr>
          <w:p w14:paraId="54936F52" w14:textId="77777777" w:rsidR="00160372" w:rsidRDefault="00191D70">
            <w:pPr>
              <w:pStyle w:val="Compact"/>
            </w:pPr>
            <w:r>
              <w:t>PTS Range</w:t>
            </w:r>
          </w:p>
        </w:tc>
        <w:tc>
          <w:tcPr>
            <w:tcW w:w="0" w:type="auto"/>
          </w:tcPr>
          <w:p w14:paraId="3722743B" w14:textId="77777777" w:rsidR="00160372" w:rsidRDefault="00191D70">
            <w:pPr>
              <w:pStyle w:val="Compact"/>
            </w:pPr>
            <w:r>
              <w:t>Shift Status</w:t>
            </w:r>
          </w:p>
        </w:tc>
        <w:tc>
          <w:tcPr>
            <w:tcW w:w="0" w:type="auto"/>
          </w:tcPr>
          <w:p w14:paraId="3FD1D44D" w14:textId="77777777" w:rsidR="00160372" w:rsidRDefault="00191D70">
            <w:pPr>
              <w:pStyle w:val="Compact"/>
            </w:pPr>
            <w:r>
              <w:t>Timing Deviation</w:t>
            </w:r>
          </w:p>
        </w:tc>
        <w:tc>
          <w:tcPr>
            <w:tcW w:w="0" w:type="auto"/>
          </w:tcPr>
          <w:p w14:paraId="6FCA51C8" w14:textId="77777777" w:rsidR="00160372" w:rsidRDefault="00191D70">
            <w:pPr>
              <w:pStyle w:val="Compact"/>
            </w:pPr>
            <w:r>
              <w:t>Ecological Significance</w:t>
            </w:r>
          </w:p>
        </w:tc>
      </w:tr>
      <w:tr w:rsidR="00160372" w14:paraId="602B7E25" w14:textId="77777777">
        <w:tc>
          <w:tcPr>
            <w:tcW w:w="0" w:type="auto"/>
          </w:tcPr>
          <w:p w14:paraId="69B70354" w14:textId="77777777" w:rsidR="00160372" w:rsidRDefault="00191D70">
            <w:pPr>
              <w:pStyle w:val="Compact"/>
            </w:pPr>
            <w:r>
              <w:t>ΔPLS &lt; 5 days</w:t>
            </w:r>
          </w:p>
        </w:tc>
        <w:tc>
          <w:tcPr>
            <w:tcW w:w="0" w:type="auto"/>
          </w:tcPr>
          <w:p w14:paraId="2D07A70D" w14:textId="77777777" w:rsidR="00160372" w:rsidRDefault="00191D70">
            <w:pPr>
              <w:pStyle w:val="Compact"/>
            </w:pPr>
            <w:r>
              <w:t>STABLE</w:t>
            </w:r>
          </w:p>
        </w:tc>
        <w:tc>
          <w:tcPr>
            <w:tcW w:w="0" w:type="auto"/>
          </w:tcPr>
          <w:p w14:paraId="19A06907" w14:textId="77777777" w:rsidR="00160372" w:rsidRDefault="00191D70">
            <w:pPr>
              <w:pStyle w:val="Compact"/>
            </w:pPr>
            <w:r>
              <w:t>Within historical variability</w:t>
            </w:r>
          </w:p>
        </w:tc>
        <w:tc>
          <w:tcPr>
            <w:tcW w:w="0" w:type="auto"/>
          </w:tcPr>
          <w:p w14:paraId="39E9FA13" w14:textId="77777777" w:rsidR="00160372" w:rsidRDefault="00191D70">
            <w:pPr>
              <w:pStyle w:val="Compact"/>
            </w:pPr>
            <w:r>
              <w:t>No mismatch risk. Reference state.</w:t>
            </w:r>
          </w:p>
        </w:tc>
      </w:tr>
      <w:tr w:rsidR="00160372" w14:paraId="5D64CB07" w14:textId="77777777">
        <w:tc>
          <w:tcPr>
            <w:tcW w:w="0" w:type="auto"/>
          </w:tcPr>
          <w:p w14:paraId="7F934A13" w14:textId="77777777" w:rsidR="00160372" w:rsidRDefault="00191D70">
            <w:pPr>
              <w:pStyle w:val="Compact"/>
            </w:pPr>
            <w:r>
              <w:t>5–10 days</w:t>
            </w:r>
          </w:p>
        </w:tc>
        <w:tc>
          <w:tcPr>
            <w:tcW w:w="0" w:type="auto"/>
          </w:tcPr>
          <w:p w14:paraId="508DA5AD" w14:textId="77777777" w:rsidR="00160372" w:rsidRDefault="00191D70">
            <w:pPr>
              <w:pStyle w:val="Compact"/>
            </w:pPr>
            <w:r>
              <w:t>SHIFTING</w:t>
            </w:r>
          </w:p>
        </w:tc>
        <w:tc>
          <w:tcPr>
            <w:tcW w:w="0" w:type="auto"/>
          </w:tcPr>
          <w:p w14:paraId="6519B18A" w14:textId="77777777" w:rsidR="00160372" w:rsidRDefault="00191D70">
            <w:pPr>
              <w:pStyle w:val="Compact"/>
            </w:pPr>
            <w:r>
              <w:t>Early response detectable</w:t>
            </w:r>
          </w:p>
        </w:tc>
        <w:tc>
          <w:tcPr>
            <w:tcW w:w="0" w:type="auto"/>
          </w:tcPr>
          <w:p w14:paraId="25BCF737" w14:textId="77777777" w:rsidR="00160372" w:rsidRDefault="00191D70">
            <w:pPr>
              <w:pStyle w:val="Compact"/>
            </w:pPr>
            <w:r>
              <w:t>Monitor mismatch indicators.</w:t>
            </w:r>
          </w:p>
        </w:tc>
      </w:tr>
      <w:tr w:rsidR="00160372" w14:paraId="7FFC9509" w14:textId="77777777">
        <w:tc>
          <w:tcPr>
            <w:tcW w:w="0" w:type="auto"/>
          </w:tcPr>
          <w:p w14:paraId="7ECDA168" w14:textId="77777777" w:rsidR="00160372" w:rsidRDefault="00191D70">
            <w:pPr>
              <w:pStyle w:val="Compact"/>
            </w:pPr>
            <w:r>
              <w:t>10–18 days</w:t>
            </w:r>
          </w:p>
        </w:tc>
        <w:tc>
          <w:tcPr>
            <w:tcW w:w="0" w:type="auto"/>
          </w:tcPr>
          <w:p w14:paraId="31B61921" w14:textId="77777777" w:rsidR="00160372" w:rsidRDefault="00191D70">
            <w:pPr>
              <w:pStyle w:val="Compact"/>
            </w:pPr>
            <w:r>
              <w:t>DISPLACED</w:t>
            </w:r>
          </w:p>
        </w:tc>
        <w:tc>
          <w:tcPr>
            <w:tcW w:w="0" w:type="auto"/>
          </w:tcPr>
          <w:p w14:paraId="31EED4B1" w14:textId="77777777" w:rsidR="00160372" w:rsidRDefault="00191D70">
            <w:pPr>
              <w:pStyle w:val="Compact"/>
            </w:pPr>
            <w:r>
              <w:t>Mismatch risk elevated</w:t>
            </w:r>
          </w:p>
        </w:tc>
        <w:tc>
          <w:tcPr>
            <w:tcW w:w="0" w:type="auto"/>
          </w:tcPr>
          <w:p w14:paraId="32624BA4" w14:textId="77777777" w:rsidR="00160372" w:rsidRDefault="00191D70">
            <w:pPr>
              <w:pStyle w:val="Compact"/>
            </w:pPr>
            <w:r>
              <w:t>Pollinator and herbivore tracking required.</w:t>
            </w:r>
          </w:p>
        </w:tc>
      </w:tr>
      <w:tr w:rsidR="00160372" w14:paraId="07FE9D42" w14:textId="77777777">
        <w:tc>
          <w:tcPr>
            <w:tcW w:w="0" w:type="auto"/>
          </w:tcPr>
          <w:p w14:paraId="17EE7EE5" w14:textId="77777777" w:rsidR="00160372" w:rsidRDefault="00191D70">
            <w:pPr>
              <w:pStyle w:val="Compact"/>
            </w:pPr>
            <w:r>
              <w:t>18–28 days</w:t>
            </w:r>
          </w:p>
        </w:tc>
        <w:tc>
          <w:tcPr>
            <w:tcW w:w="0" w:type="auto"/>
          </w:tcPr>
          <w:p w14:paraId="3386DE00" w14:textId="77777777" w:rsidR="00160372" w:rsidRDefault="00191D70">
            <w:pPr>
              <w:pStyle w:val="Compact"/>
            </w:pPr>
            <w:r>
              <w:t>DECOUPLED</w:t>
            </w:r>
          </w:p>
        </w:tc>
        <w:tc>
          <w:tcPr>
            <w:tcW w:w="0" w:type="auto"/>
          </w:tcPr>
          <w:p w14:paraId="57FF726D" w14:textId="77777777" w:rsidR="00160372" w:rsidRDefault="00191D70">
            <w:pPr>
              <w:pStyle w:val="Compact"/>
            </w:pPr>
            <w:r>
              <w:t>Trophic mismatch probable</w:t>
            </w:r>
          </w:p>
        </w:tc>
        <w:tc>
          <w:tcPr>
            <w:tcW w:w="0" w:type="auto"/>
          </w:tcPr>
          <w:p w14:paraId="7DD5A3EC" w14:textId="77777777" w:rsidR="00160372" w:rsidRDefault="00191D70">
            <w:pPr>
              <w:pStyle w:val="Compact"/>
            </w:pPr>
            <w:r>
              <w:t>Intervention in critical interactions.</w:t>
            </w:r>
          </w:p>
        </w:tc>
      </w:tr>
      <w:tr w:rsidR="00160372" w14:paraId="48E319CF" w14:textId="77777777">
        <w:tc>
          <w:tcPr>
            <w:tcW w:w="0" w:type="auto"/>
          </w:tcPr>
          <w:p w14:paraId="4DE39E81" w14:textId="77777777" w:rsidR="00160372" w:rsidRDefault="00191D70">
            <w:pPr>
              <w:pStyle w:val="Compact"/>
            </w:pPr>
            <w:r>
              <w:t>&gt; 28 days</w:t>
            </w:r>
          </w:p>
        </w:tc>
        <w:tc>
          <w:tcPr>
            <w:tcW w:w="0" w:type="auto"/>
          </w:tcPr>
          <w:p w14:paraId="3044972D" w14:textId="77777777" w:rsidR="00160372" w:rsidRDefault="00191D70">
            <w:pPr>
              <w:pStyle w:val="Compact"/>
            </w:pPr>
            <w:r>
              <w:t>DISSONANT</w:t>
            </w:r>
          </w:p>
        </w:tc>
        <w:tc>
          <w:tcPr>
            <w:tcW w:w="0" w:type="auto"/>
          </w:tcPr>
          <w:p w14:paraId="52686ACB" w14:textId="77777777" w:rsidR="00160372" w:rsidRDefault="00191D70">
            <w:pPr>
              <w:pStyle w:val="Compact"/>
            </w:pPr>
            <w:r>
              <w:t>Systemic interaction failure</w:t>
            </w:r>
          </w:p>
        </w:tc>
        <w:tc>
          <w:tcPr>
            <w:tcW w:w="0" w:type="auto"/>
          </w:tcPr>
          <w:p w14:paraId="0AD5D899" w14:textId="77777777" w:rsidR="00160372" w:rsidRDefault="00191D70">
            <w:pPr>
              <w:pStyle w:val="Compact"/>
            </w:pPr>
            <w:r>
              <w:t>Food web reconstruction may be needed.</w:t>
            </w:r>
          </w:p>
        </w:tc>
      </w:tr>
    </w:tbl>
    <w:p w14:paraId="4B61E4D4" w14:textId="77777777" w:rsidR="00160372" w:rsidRDefault="00191D70">
      <w:pPr>
        <w:pStyle w:val="Titre3"/>
      </w:pPr>
      <w:bookmarkStart w:id="17" w:name="parameter-4-hydrological-flux-index-hfi"/>
      <w:bookmarkEnd w:id="16"/>
      <w:r>
        <w:t>3.5 Parameter 4 — Hydrological Flux Index (HFI)</w:t>
      </w:r>
    </w:p>
    <w:p w14:paraId="05946F90" w14:textId="77777777" w:rsidR="00160372" w:rsidRDefault="00191D70">
      <w:pPr>
        <w:pStyle w:val="FirstParagraph"/>
      </w:pPr>
      <w:r>
        <w:t>The HFI quantifies the efficiency and stability of water movement through the ecosystem — from precipitation input through canopy interception, evapotranspiration, soil infiltration, groundwater recharge, and streamflow generation. Water is the universal solvent of ecosystem function: its availability determines primary production rates, microbial activity, nutrient mobility, and the physical habitat structure of riparian and wetland communities. The ratio of actual evapotranspiration to potential evapotranspiration (AET/PET) is the primary HFI diagnostic, providing a dimensionless measure of the degree to which vegetation is accessing available soil moisture — and thus a proxy for water stress and productivity limitation.</w:t>
      </w:r>
    </w:p>
    <w:p w14:paraId="2A8892EC" w14:textId="77777777" w:rsidR="00160372" w:rsidRDefault="00191D70">
      <w:pPr>
        <w:pStyle w:val="Corpsdetexte"/>
      </w:pPr>
      <w:r>
        <w:t>The HFI integrates five hydrological indicators: (1) AET/PET ratio (water use efficiency), determined by the Penman-Monteith equation applied to eddy covariance latent heat flux data; (2) soil moisture retention index (SMRI) from TDR (Time Domain Reflectometry) measurements at three depths; (3) surface runoff coefficient from storm event analysis; (4) baseflow recession coefficient from hydrograph separation; and (5) canopy interception fraction from throughfall measurements. HFI = 0.35·(AET/PET) + 0.25·SMRI + 0.18·(1−runoff_coef) + 0.14·(baseflow_rec) + 0.08·interception.</w:t>
      </w:r>
    </w:p>
    <w:p w14:paraId="547936A2" w14:textId="77777777" w:rsidR="00160372" w:rsidRDefault="00191D70">
      <w:pPr>
        <w:pStyle w:val="Titre3"/>
      </w:pPr>
      <w:bookmarkStart w:id="18" w:name="X6166cf0acf9ae1bd6b8c1f5aaa21426c78b1eee"/>
      <w:bookmarkEnd w:id="17"/>
      <w:r>
        <w:t>3.6 Parameter 5 — Biogeochemical Nutrient Cycle (BNC)</w:t>
      </w:r>
    </w:p>
    <w:p w14:paraId="4931C8F5" w14:textId="77777777" w:rsidR="00160372" w:rsidRDefault="00191D70">
      <w:pPr>
        <w:pStyle w:val="FirstParagraph"/>
      </w:pPr>
      <w:r>
        <w:t>The BNC provides the first quantitative, multi-element measure of nutrient cycling completeness that enables systematic assessment of the degree to which an ecosystem is internally cycling the chemical elements necessary for biological production — versus leaking them to groundwater, atmosphere, or adjacent systems. Nutrient retention efficiency is both a cause and consequence of biodiversity: diverse plant communities with varied root architectures and phenologies exploit different nutrient pools and reduce overall leakage; high microbial diversity accelerates transformation of recalcitrant organic forms into plant-available inorganic ions.</w:t>
      </w:r>
    </w:p>
    <w:p w14:paraId="15F72C42" w14:textId="77777777" w:rsidR="00160372" w:rsidRDefault="00191D70">
      <w:pPr>
        <w:pStyle w:val="Corpsdetexte"/>
      </w:pPr>
      <w:r>
        <w:t>The BNC integrates five nutrient cycling indicators across nitrogen, phosphorus, potassium, and sulfur: (1) nitrogen use efficiency (NUE = plant N uptake / total soil N input); (2) phosphorus cycling ratio (plant P uptake / mycorrhizal P flux, measuring the contribution of fungal networks); (3) potassium weathering flux (from paired stream and precipitation chemistry); (4) sulfur oxidation state distribution in soil (ratio of sulfate to organic S, tracking redox cycling depth); and (5) C:N:P stoichiometry deviation from the Redfield-equivalent terrestrial optimum (C:N:P = 186:13:1 for terrestrial biomass; Cleveland and Liptzin, 2007). BNC = 0.30·NUE* + 0.25·P_cycling* + 0.20·K_weathering* + 0.15·S_redox* + 0.10·stoichiometry*.</w:t>
      </w:r>
    </w:p>
    <w:p w14:paraId="46699DDE" w14:textId="77777777" w:rsidR="00160372" w:rsidRDefault="00191D70">
      <w:pPr>
        <w:pStyle w:val="Titre3"/>
      </w:pPr>
      <w:bookmarkStart w:id="19" w:name="Xc234cbb25ae3e7e6d70a4b1f9e97134e03d6d02"/>
      <w:bookmarkEnd w:id="18"/>
      <w:r>
        <w:t>3.7 Parameter 6 — Species Genetic Heterogeneity (SGH)</w:t>
      </w:r>
    </w:p>
    <w:p w14:paraId="5CDA28D6" w14:textId="77777777" w:rsidR="00160372" w:rsidRDefault="00191D70">
      <w:pPr>
        <w:pStyle w:val="FirstParagraph"/>
      </w:pPr>
      <w:r>
        <w:t>The SGH encodes the genetic diversity landscape of focal species populations — the biodiversity analog of the METEORICA IAF's nucleosynthetic fingerprint: a deep genetic signal that encodes population history, connectivity, and adaptive capacity at a level of precision that species richness counts cannot approach. Genome-wide SNP surveys of 10–30 individuals per species population per plot provide the raw data from which four genetic diversity metrics are calculated: expected heterozygosity (H</w:t>
      </w:r>
      <w:r>
        <w:rPr>
          <w:vertAlign w:val="subscript"/>
        </w:rPr>
        <w:t>e</w:t>
      </w:r>
      <w:r>
        <w:t>), nucleotide diversity (π), Tajima's D (population history signal), and F</w:t>
      </w:r>
      <w:r>
        <w:rPr>
          <w:vertAlign w:val="subscript"/>
        </w:rPr>
        <w:t>ST</w:t>
      </w:r>
      <w:r>
        <w:t>-based landscape connectivity.</w:t>
      </w:r>
    </w:p>
    <w:p w14:paraId="385D75C1" w14:textId="77777777" w:rsidR="00160372" w:rsidRDefault="00191D70">
      <w:pPr>
        <w:pStyle w:val="Corpsdetexte"/>
      </w:pPr>
      <w:r>
        <w:t xml:space="preserve">The SGH is computed as the multivariate distance from the reference (maximum resilience) genetic diversity state, normalized as: SGH = exp(−d_gen² / 2σ²_biome), where </w:t>
      </w:r>
      <w:r>
        <w:rPr>
          <w:i/>
          <w:iCs/>
        </w:rPr>
        <w:t>d_gen</w:t>
      </w:r>
      <w:r>
        <w:t xml:space="preserve"> is the Mahalanobis distance in the four-dimensional genetic diversity space and σ_biome is the intra-biome genetic diversity dispersion. SGH values approaching 1.0 indicate populations with genetic diversity consistent with long-term resilience; SGH &lt; 0.30 indicates severely impoverished populations that require conservation intervention regardless of current apparent abundance.</w:t>
      </w:r>
    </w:p>
    <w:p w14:paraId="747B490C" w14:textId="77777777" w:rsidR="00160372" w:rsidRDefault="00191D70">
      <w:pPr>
        <w:pStyle w:val="Titre3"/>
      </w:pPr>
      <w:bookmarkStart w:id="20" w:name="X2e7630fbb070ad741d6334f5145eb5e816baa9a"/>
      <w:bookmarkEnd w:id="19"/>
      <w:r>
        <w:t>3.8 Parameter 7 — Anthropogenic Encroachment Score (AES)</w:t>
      </w:r>
    </w:p>
    <w:p w14:paraId="38AE4CB1" w14:textId="77777777" w:rsidR="00160372" w:rsidRDefault="00191D70">
      <w:pPr>
        <w:pStyle w:val="FirstParagraph"/>
      </w:pPr>
      <w:r>
        <w:t>The AES quantifies the spatial and temporal footprint of human activity in and around an ecosystem plot — the cumulative pressure from land clearing, pollution, fragmentation, hunting, and invasive species introduction that represents the single greatest proximal driver of the current biodiversity crisis. Unlike the other eight BIOTICA parameters, which measure biological or geochemical ecosystem states, AES measures the external pressure regime — and its disproportionate weight (8%) relative to, say, RRC (7%) reflects not a greater inherent importance to ecosystem function but rather a disproportionate contribution to legacy database classification errors: the single greatest confound in global ecosystem databases is the failure to correct observed biological states for the degree of anthropogenic modification.</w:t>
      </w:r>
    </w:p>
    <w:p w14:paraId="11C0FB65" w14:textId="77777777" w:rsidR="00160372" w:rsidRDefault="00191D70">
      <w:pPr>
        <w:pStyle w:val="Corpsdetexte"/>
      </w:pPr>
      <w:r>
        <w:t>AES integrates five pressure indicators: (1) landscape fragmentation index (1 − F_index, where F_index is the proportion of natural habitat within a 10 km radius); (2) nitrogen deposition rate (kg N·ha⁻¹·yr⁻¹ from EMEP modeled atmospheric data); (3) invasive species pressure (IAS richness × mean impact score from IUCN Invasive Species Specialist Group); (4) hunting pressure (estimated off-take as fraction of estimated sustainable yield); and (5) edge density (km forest edge·km⁻²). AES = 1 − [0.30·frag + 0.25·N_dep* + 0.20·IAS* + 0.15·hunting* + 0.10·edge*], where AES = 1.0 represents pristine, zero-encroachment conditions and AES = 0 represents maximum human pressure.</w:t>
      </w:r>
    </w:p>
    <w:p w14:paraId="3379040B" w14:textId="77777777" w:rsidR="00160372" w:rsidRDefault="00191D70">
      <w:pPr>
        <w:pStyle w:val="Titre3"/>
      </w:pPr>
      <w:bookmarkStart w:id="21" w:name="X1cb4cb4e4c2b9775cb847d2f05a63cd8674ff04"/>
      <w:bookmarkEnd w:id="20"/>
      <w:r>
        <w:t>3.9 Parameter 8 — Trophic Metadata Integration (TMI)</w:t>
      </w:r>
    </w:p>
    <w:p w14:paraId="449CF63C" w14:textId="77777777" w:rsidR="00160372" w:rsidRDefault="00191D70">
      <w:pPr>
        <w:pStyle w:val="FirstParagraph"/>
      </w:pPr>
      <w:r>
        <w:t>The TMI analyzes the architecture of food web interactions within an ecosystem — the network of who eats whom, at what rates, with what redundancy — providing a structural measure of ecosystem functional diversity that complements the taxonomic and genetic measures captured by other parameters. Food web topology determines how disturbances propagate through communities: a network with high connectance and trophic redundancy can absorb the loss of individual species without cascading functional collapse; a simple, linear food chain will collapse catastrophically when any node is removed.</w:t>
      </w:r>
    </w:p>
    <w:p w14:paraId="549F2646" w14:textId="77777777" w:rsidR="00160372" w:rsidRDefault="00191D70">
      <w:pPr>
        <w:pStyle w:val="Corpsdetexte"/>
      </w:pPr>
      <w:r>
        <w:t>The TMI is calculated from the interaction matrix of the ecosystem food web, using five network metrics: linkage density (L/S, links per species), connectance (actual/potential links), mean trophic level of consumers, omnivory index (fraction of consumers feeding at more than one trophic level), and the proportion of species that serve as functional keystones (species whose removal results in &gt;20% change in total biomass). TMI = 0.28·LD* + 0.24·connectance* + 0.20·omnivory* + 0.16·trophic_level* + 0.12·keystone*.</w:t>
      </w:r>
    </w:p>
    <w:p w14:paraId="788C3A65" w14:textId="77777777" w:rsidR="00160372" w:rsidRDefault="00191D70">
      <w:pPr>
        <w:pStyle w:val="Titre3"/>
      </w:pPr>
      <w:bookmarkStart w:id="22" w:name="Xdf796a61cc259cb6f056c516f7a5be5968ab8f9"/>
      <w:bookmarkEnd w:id="21"/>
      <w:r>
        <w:t>3.10 Parameter 9 — Regenerative Recovery Capacity (RRC)</w:t>
      </w:r>
    </w:p>
    <w:p w14:paraId="36A93545" w14:textId="77777777" w:rsidR="00160372" w:rsidRDefault="00191D70">
      <w:pPr>
        <w:pStyle w:val="FirstParagraph"/>
      </w:pPr>
      <w:r>
        <w:t>The RRC encodes the complete post-disturbance recovery trajectory of an ecosystem — from the time of disturbance event through initial recolonization, successional development, and return to reference state — providing both a measure of current recovery status (for plots actively recovering from past disturbance) and a prediction of future recovery capacity for intact plots under projected disturbance regimes. This recovery history connects plot-scale biology to the regional-scale disturbance dynamics that govern the steady-state distribution of ecosystem states across landscapes — precisely analogous to how the CNEA cosmic ray exposure age in METEORICA connects specimen-scale geochronology to belt-scale collision dynamics.</w:t>
      </w:r>
    </w:p>
    <w:p w14:paraId="146D6638" w14:textId="77777777" w:rsidR="00160372" w:rsidRDefault="00191D70">
      <w:pPr>
        <w:pStyle w:val="Corpsdetexte"/>
      </w:pPr>
      <w:r>
        <w:t xml:space="preserve">Single-stage recovery trajectories — in which an ecosystem returns to its reference state without transitioning through alternative stable states — are modeled as: B(t) = B_max · (1 − e^(−t/τ)), where B(t) is biomass at time </w:t>
      </w:r>
      <w:r>
        <w:rPr>
          <w:i/>
          <w:iCs/>
        </w:rPr>
        <w:t>t</w:t>
      </w:r>
      <w:r>
        <w:t>, B_max is the reference state biomass, and τ is the recovery time constant (calibrated from 340 recovery chronosequences in the BIOTICA database). Multi-stage trajectories — where a recovering ecosystem becomes arrested in a degraded alternative stable state before reaching the reference — are identifiable by departure from this exponential recovery model, detectable in the BIOTICA RRC time series as systematic underperformance beyond the expected recovery window.</w:t>
      </w:r>
    </w:p>
    <w:p w14:paraId="43F73721" w14:textId="77777777" w:rsidR="00160372" w:rsidRDefault="00191D70">
      <w:pPr>
        <w:pStyle w:val="Titre3"/>
      </w:pPr>
      <w:bookmarkStart w:id="23" w:name="ibr-composite-threshold-reference"/>
      <w:bookmarkEnd w:id="22"/>
      <w:r>
        <w:t>3.11 IBR Composite Threshold Reference</w:t>
      </w:r>
    </w:p>
    <w:tbl>
      <w:tblPr>
        <w:tblStyle w:val="Table"/>
        <w:tblW w:w="0" w:type="auto"/>
        <w:tblLook w:val="0020" w:firstRow="1" w:lastRow="0" w:firstColumn="0" w:lastColumn="0" w:noHBand="0" w:noVBand="0"/>
      </w:tblPr>
      <w:tblGrid>
        <w:gridCol w:w="1536"/>
        <w:gridCol w:w="1319"/>
        <w:gridCol w:w="1751"/>
        <w:gridCol w:w="1441"/>
        <w:gridCol w:w="1787"/>
        <w:gridCol w:w="1572"/>
      </w:tblGrid>
      <w:tr w:rsidR="00160372" w14:paraId="7B536F12" w14:textId="77777777" w:rsidTr="00160372">
        <w:trPr>
          <w:cnfStyle w:val="100000000000" w:firstRow="1" w:lastRow="0" w:firstColumn="0" w:lastColumn="0" w:oddVBand="0" w:evenVBand="0" w:oddHBand="0" w:evenHBand="0" w:firstRowFirstColumn="0" w:firstRowLastColumn="0" w:lastRowFirstColumn="0" w:lastRowLastColumn="0"/>
          <w:tblHeader/>
        </w:trPr>
        <w:tc>
          <w:tcPr>
            <w:tcW w:w="0" w:type="auto"/>
          </w:tcPr>
          <w:p w14:paraId="7E0ABD15" w14:textId="77777777" w:rsidR="00160372" w:rsidRDefault="00191D70">
            <w:pPr>
              <w:pStyle w:val="Compact"/>
            </w:pPr>
            <w:r>
              <w:t>Parameter</w:t>
            </w:r>
          </w:p>
        </w:tc>
        <w:tc>
          <w:tcPr>
            <w:tcW w:w="0" w:type="auto"/>
          </w:tcPr>
          <w:p w14:paraId="7D04D57F" w14:textId="77777777" w:rsidR="00160372" w:rsidRDefault="00191D70">
            <w:pPr>
              <w:pStyle w:val="Compact"/>
            </w:pPr>
            <w:r>
              <w:t>PRISTINE (&gt;0.85)</w:t>
            </w:r>
          </w:p>
        </w:tc>
        <w:tc>
          <w:tcPr>
            <w:tcW w:w="0" w:type="auto"/>
          </w:tcPr>
          <w:p w14:paraId="3D7F678B" w14:textId="77777777" w:rsidR="00160372" w:rsidRDefault="00191D70">
            <w:pPr>
              <w:pStyle w:val="Compact"/>
            </w:pPr>
            <w:r>
              <w:t>FUNCTIONAL (0.70–0.85)</w:t>
            </w:r>
          </w:p>
        </w:tc>
        <w:tc>
          <w:tcPr>
            <w:tcW w:w="0" w:type="auto"/>
          </w:tcPr>
          <w:p w14:paraId="5BB40374" w14:textId="77777777" w:rsidR="00160372" w:rsidRDefault="00191D70">
            <w:pPr>
              <w:pStyle w:val="Compact"/>
            </w:pPr>
            <w:r>
              <w:t>IMPAIRED (0.55–0.70)</w:t>
            </w:r>
          </w:p>
        </w:tc>
        <w:tc>
          <w:tcPr>
            <w:tcW w:w="0" w:type="auto"/>
          </w:tcPr>
          <w:p w14:paraId="23F56FAE" w14:textId="77777777" w:rsidR="00160372" w:rsidRDefault="00191D70">
            <w:pPr>
              <w:pStyle w:val="Compact"/>
            </w:pPr>
            <w:r>
              <w:t>DEGRADED (0.40–0.55)</w:t>
            </w:r>
          </w:p>
        </w:tc>
        <w:tc>
          <w:tcPr>
            <w:tcW w:w="0" w:type="auto"/>
          </w:tcPr>
          <w:p w14:paraId="19CA2754" w14:textId="77777777" w:rsidR="00160372" w:rsidRDefault="00191D70">
            <w:pPr>
              <w:pStyle w:val="Compact"/>
            </w:pPr>
            <w:r>
              <w:t>COLLAPSED (&lt;0.40)</w:t>
            </w:r>
          </w:p>
        </w:tc>
      </w:tr>
      <w:tr w:rsidR="00160372" w14:paraId="04730E3B" w14:textId="77777777">
        <w:tc>
          <w:tcPr>
            <w:tcW w:w="0" w:type="auto"/>
          </w:tcPr>
          <w:p w14:paraId="4AD8F029" w14:textId="77777777" w:rsidR="00160372" w:rsidRDefault="00191D70">
            <w:pPr>
              <w:pStyle w:val="Compact"/>
            </w:pPr>
            <w:r>
              <w:t>VCA</w:t>
            </w:r>
          </w:p>
        </w:tc>
        <w:tc>
          <w:tcPr>
            <w:tcW w:w="0" w:type="auto"/>
          </w:tcPr>
          <w:p w14:paraId="7F824103" w14:textId="77777777" w:rsidR="00160372" w:rsidRDefault="00191D70">
            <w:pPr>
              <w:pStyle w:val="Compact"/>
            </w:pPr>
            <w:r>
              <w:t>Full carbon sink</w:t>
            </w:r>
          </w:p>
        </w:tc>
        <w:tc>
          <w:tcPr>
            <w:tcW w:w="0" w:type="auto"/>
          </w:tcPr>
          <w:p w14:paraId="4305146A" w14:textId="77777777" w:rsidR="00160372" w:rsidRDefault="00191D70">
            <w:pPr>
              <w:pStyle w:val="Compact"/>
            </w:pPr>
            <w:r>
              <w:t>Near-reference</w:t>
            </w:r>
          </w:p>
        </w:tc>
        <w:tc>
          <w:tcPr>
            <w:tcW w:w="0" w:type="auto"/>
          </w:tcPr>
          <w:p w14:paraId="34ECF7CE" w14:textId="77777777" w:rsidR="00160372" w:rsidRDefault="00191D70">
            <w:pPr>
              <w:pStyle w:val="Compact"/>
            </w:pPr>
            <w:r>
              <w:t>Reduced GPP</w:t>
            </w:r>
          </w:p>
        </w:tc>
        <w:tc>
          <w:tcPr>
            <w:tcW w:w="0" w:type="auto"/>
          </w:tcPr>
          <w:p w14:paraId="01EB76C0" w14:textId="77777777" w:rsidR="00160372" w:rsidRDefault="00191D70">
            <w:pPr>
              <w:pStyle w:val="Compact"/>
            </w:pPr>
            <w:r>
              <w:t>Net C source</w:t>
            </w:r>
          </w:p>
        </w:tc>
        <w:tc>
          <w:tcPr>
            <w:tcW w:w="0" w:type="auto"/>
          </w:tcPr>
          <w:p w14:paraId="41376038" w14:textId="77777777" w:rsidR="00160372" w:rsidRDefault="00191D70">
            <w:pPr>
              <w:pStyle w:val="Compact"/>
            </w:pPr>
            <w:r>
              <w:t>Persistent C source</w:t>
            </w:r>
          </w:p>
        </w:tc>
      </w:tr>
      <w:tr w:rsidR="00160372" w14:paraId="705020F2" w14:textId="77777777">
        <w:tc>
          <w:tcPr>
            <w:tcW w:w="0" w:type="auto"/>
          </w:tcPr>
          <w:p w14:paraId="4CF5954C" w14:textId="77777777" w:rsidR="00160372" w:rsidRDefault="00191D70">
            <w:pPr>
              <w:pStyle w:val="Compact"/>
            </w:pPr>
            <w:r>
              <w:t>MDI</w:t>
            </w:r>
          </w:p>
        </w:tc>
        <w:tc>
          <w:tcPr>
            <w:tcW w:w="0" w:type="auto"/>
          </w:tcPr>
          <w:p w14:paraId="046D505E" w14:textId="77777777" w:rsidR="00160372" w:rsidRDefault="00191D70">
            <w:pPr>
              <w:pStyle w:val="Compact"/>
            </w:pPr>
            <w:r>
              <w:t>Max func. diversity</w:t>
            </w:r>
          </w:p>
        </w:tc>
        <w:tc>
          <w:tcPr>
            <w:tcW w:w="0" w:type="auto"/>
          </w:tcPr>
          <w:p w14:paraId="70B0CBC3" w14:textId="77777777" w:rsidR="00160372" w:rsidRDefault="00191D70">
            <w:pPr>
              <w:pStyle w:val="Compact"/>
            </w:pPr>
            <w:r>
              <w:t>Minor losses</w:t>
            </w:r>
          </w:p>
        </w:tc>
        <w:tc>
          <w:tcPr>
            <w:tcW w:w="0" w:type="auto"/>
          </w:tcPr>
          <w:p w14:paraId="4985D8B9" w14:textId="77777777" w:rsidR="00160372" w:rsidRDefault="00191D70">
            <w:pPr>
              <w:pStyle w:val="Compact"/>
            </w:pPr>
            <w:r>
              <w:t>Functional gaps</w:t>
            </w:r>
          </w:p>
        </w:tc>
        <w:tc>
          <w:tcPr>
            <w:tcW w:w="0" w:type="auto"/>
          </w:tcPr>
          <w:p w14:paraId="2ED805CD" w14:textId="77777777" w:rsidR="00160372" w:rsidRDefault="00191D70">
            <w:pPr>
              <w:pStyle w:val="Compact"/>
            </w:pPr>
            <w:r>
              <w:t>Major guild loss</w:t>
            </w:r>
          </w:p>
        </w:tc>
        <w:tc>
          <w:tcPr>
            <w:tcW w:w="0" w:type="auto"/>
          </w:tcPr>
          <w:p w14:paraId="30636616" w14:textId="77777777" w:rsidR="00160372" w:rsidRDefault="00191D70">
            <w:pPr>
              <w:pStyle w:val="Compact"/>
            </w:pPr>
            <w:r>
              <w:t>Microbial collapse</w:t>
            </w:r>
          </w:p>
        </w:tc>
      </w:tr>
      <w:tr w:rsidR="00160372" w14:paraId="3308CC90" w14:textId="77777777">
        <w:tc>
          <w:tcPr>
            <w:tcW w:w="0" w:type="auto"/>
          </w:tcPr>
          <w:p w14:paraId="4D0CE4A4" w14:textId="77777777" w:rsidR="00160372" w:rsidRDefault="00191D70">
            <w:pPr>
              <w:pStyle w:val="Compact"/>
            </w:pPr>
            <w:r>
              <w:t>PTS</w:t>
            </w:r>
          </w:p>
        </w:tc>
        <w:tc>
          <w:tcPr>
            <w:tcW w:w="0" w:type="auto"/>
          </w:tcPr>
          <w:p w14:paraId="02AC43AB" w14:textId="77777777" w:rsidR="00160372" w:rsidRDefault="00191D70">
            <w:pPr>
              <w:pStyle w:val="Compact"/>
            </w:pPr>
            <w:r>
              <w:t>&lt;5 days shift</w:t>
            </w:r>
          </w:p>
        </w:tc>
        <w:tc>
          <w:tcPr>
            <w:tcW w:w="0" w:type="auto"/>
          </w:tcPr>
          <w:p w14:paraId="25ACB3AA" w14:textId="77777777" w:rsidR="00160372" w:rsidRDefault="00191D70">
            <w:pPr>
              <w:pStyle w:val="Compact"/>
            </w:pPr>
            <w:r>
              <w:t>5–10 days</w:t>
            </w:r>
          </w:p>
        </w:tc>
        <w:tc>
          <w:tcPr>
            <w:tcW w:w="0" w:type="auto"/>
          </w:tcPr>
          <w:p w14:paraId="6D75519B" w14:textId="77777777" w:rsidR="00160372" w:rsidRDefault="00191D70">
            <w:pPr>
              <w:pStyle w:val="Compact"/>
            </w:pPr>
            <w:r>
              <w:t>10–18 days</w:t>
            </w:r>
          </w:p>
        </w:tc>
        <w:tc>
          <w:tcPr>
            <w:tcW w:w="0" w:type="auto"/>
          </w:tcPr>
          <w:p w14:paraId="48C897C7" w14:textId="77777777" w:rsidR="00160372" w:rsidRDefault="00191D70">
            <w:pPr>
              <w:pStyle w:val="Compact"/>
            </w:pPr>
            <w:r>
              <w:t>18–28 days</w:t>
            </w:r>
          </w:p>
        </w:tc>
        <w:tc>
          <w:tcPr>
            <w:tcW w:w="0" w:type="auto"/>
          </w:tcPr>
          <w:p w14:paraId="5273797F" w14:textId="77777777" w:rsidR="00160372" w:rsidRDefault="00191D70">
            <w:pPr>
              <w:pStyle w:val="Compact"/>
            </w:pPr>
            <w:r>
              <w:t>&gt;28 days</w:t>
            </w:r>
          </w:p>
        </w:tc>
      </w:tr>
      <w:tr w:rsidR="00160372" w14:paraId="097E119B" w14:textId="77777777">
        <w:tc>
          <w:tcPr>
            <w:tcW w:w="0" w:type="auto"/>
          </w:tcPr>
          <w:p w14:paraId="739C7877" w14:textId="77777777" w:rsidR="00160372" w:rsidRDefault="00191D70">
            <w:pPr>
              <w:pStyle w:val="Compact"/>
            </w:pPr>
            <w:r>
              <w:t>HFI</w:t>
            </w:r>
          </w:p>
        </w:tc>
        <w:tc>
          <w:tcPr>
            <w:tcW w:w="0" w:type="auto"/>
          </w:tcPr>
          <w:p w14:paraId="54C66A5C" w14:textId="77777777" w:rsidR="00160372" w:rsidRDefault="00191D70">
            <w:pPr>
              <w:pStyle w:val="Compact"/>
            </w:pPr>
            <w:r>
              <w:t>AET/PET &gt; 0.92</w:t>
            </w:r>
          </w:p>
        </w:tc>
        <w:tc>
          <w:tcPr>
            <w:tcW w:w="0" w:type="auto"/>
          </w:tcPr>
          <w:p w14:paraId="5AEB324C" w14:textId="77777777" w:rsidR="00160372" w:rsidRDefault="00191D70">
            <w:pPr>
              <w:pStyle w:val="Compact"/>
            </w:pPr>
            <w:r>
              <w:t>0.78–0.92</w:t>
            </w:r>
          </w:p>
        </w:tc>
        <w:tc>
          <w:tcPr>
            <w:tcW w:w="0" w:type="auto"/>
          </w:tcPr>
          <w:p w14:paraId="0BF57683" w14:textId="77777777" w:rsidR="00160372" w:rsidRDefault="00191D70">
            <w:pPr>
              <w:pStyle w:val="Compact"/>
            </w:pPr>
            <w:r>
              <w:t>0.62–0.78</w:t>
            </w:r>
          </w:p>
        </w:tc>
        <w:tc>
          <w:tcPr>
            <w:tcW w:w="0" w:type="auto"/>
          </w:tcPr>
          <w:p w14:paraId="62D03E74" w14:textId="77777777" w:rsidR="00160372" w:rsidRDefault="00191D70">
            <w:pPr>
              <w:pStyle w:val="Compact"/>
            </w:pPr>
            <w:r>
              <w:t>0.45–0.62</w:t>
            </w:r>
          </w:p>
        </w:tc>
        <w:tc>
          <w:tcPr>
            <w:tcW w:w="0" w:type="auto"/>
          </w:tcPr>
          <w:p w14:paraId="69F8D130" w14:textId="77777777" w:rsidR="00160372" w:rsidRDefault="00191D70">
            <w:pPr>
              <w:pStyle w:val="Compact"/>
            </w:pPr>
            <w:r>
              <w:t>&lt;0.45</w:t>
            </w:r>
          </w:p>
        </w:tc>
      </w:tr>
      <w:tr w:rsidR="00160372" w14:paraId="5C86C0AC" w14:textId="77777777">
        <w:tc>
          <w:tcPr>
            <w:tcW w:w="0" w:type="auto"/>
          </w:tcPr>
          <w:p w14:paraId="447621C1" w14:textId="77777777" w:rsidR="00160372" w:rsidRDefault="00191D70">
            <w:pPr>
              <w:pStyle w:val="Compact"/>
            </w:pPr>
            <w:r>
              <w:t>BNC</w:t>
            </w:r>
          </w:p>
        </w:tc>
        <w:tc>
          <w:tcPr>
            <w:tcW w:w="0" w:type="auto"/>
          </w:tcPr>
          <w:p w14:paraId="02F9B6AB" w14:textId="77777777" w:rsidR="00160372" w:rsidRDefault="00191D70">
            <w:pPr>
              <w:pStyle w:val="Compact"/>
            </w:pPr>
            <w:r>
              <w:t>Full nutrient cycle</w:t>
            </w:r>
          </w:p>
        </w:tc>
        <w:tc>
          <w:tcPr>
            <w:tcW w:w="0" w:type="auto"/>
          </w:tcPr>
          <w:p w14:paraId="40E17186" w14:textId="77777777" w:rsidR="00160372" w:rsidRDefault="00191D70">
            <w:pPr>
              <w:pStyle w:val="Compact"/>
            </w:pPr>
            <w:r>
              <w:t>Minor leakage</w:t>
            </w:r>
          </w:p>
        </w:tc>
        <w:tc>
          <w:tcPr>
            <w:tcW w:w="0" w:type="auto"/>
          </w:tcPr>
          <w:p w14:paraId="23CCEC63" w14:textId="77777777" w:rsidR="00160372" w:rsidRDefault="00191D70">
            <w:pPr>
              <w:pStyle w:val="Compact"/>
            </w:pPr>
            <w:r>
              <w:t>Moderate loss</w:t>
            </w:r>
          </w:p>
        </w:tc>
        <w:tc>
          <w:tcPr>
            <w:tcW w:w="0" w:type="auto"/>
          </w:tcPr>
          <w:p w14:paraId="0795601E" w14:textId="77777777" w:rsidR="00160372" w:rsidRDefault="00191D70">
            <w:pPr>
              <w:pStyle w:val="Compact"/>
            </w:pPr>
            <w:r>
              <w:t>Stoich. imbalance</w:t>
            </w:r>
          </w:p>
        </w:tc>
        <w:tc>
          <w:tcPr>
            <w:tcW w:w="0" w:type="auto"/>
          </w:tcPr>
          <w:p w14:paraId="089523B0" w14:textId="77777777" w:rsidR="00160372" w:rsidRDefault="00191D70">
            <w:pPr>
              <w:pStyle w:val="Compact"/>
            </w:pPr>
            <w:r>
              <w:t>Cycle breakdown</w:t>
            </w:r>
          </w:p>
        </w:tc>
      </w:tr>
      <w:tr w:rsidR="00160372" w14:paraId="1A7FAE1A" w14:textId="77777777">
        <w:tc>
          <w:tcPr>
            <w:tcW w:w="0" w:type="auto"/>
          </w:tcPr>
          <w:p w14:paraId="389A66FE" w14:textId="77777777" w:rsidR="00160372" w:rsidRDefault="00191D70">
            <w:pPr>
              <w:pStyle w:val="Compact"/>
            </w:pPr>
            <w:r>
              <w:t>SGH</w:t>
            </w:r>
          </w:p>
        </w:tc>
        <w:tc>
          <w:tcPr>
            <w:tcW w:w="0" w:type="auto"/>
          </w:tcPr>
          <w:p w14:paraId="166DF651" w14:textId="77777777" w:rsidR="00160372" w:rsidRDefault="00191D70">
            <w:pPr>
              <w:pStyle w:val="Compact"/>
            </w:pPr>
            <w:r>
              <w:t>H_e &gt; 0.78</w:t>
            </w:r>
          </w:p>
        </w:tc>
        <w:tc>
          <w:tcPr>
            <w:tcW w:w="0" w:type="auto"/>
          </w:tcPr>
          <w:p w14:paraId="138F4550" w14:textId="77777777" w:rsidR="00160372" w:rsidRDefault="00191D70">
            <w:pPr>
              <w:pStyle w:val="Compact"/>
            </w:pPr>
            <w:r>
              <w:t>0.62–0.78</w:t>
            </w:r>
          </w:p>
        </w:tc>
        <w:tc>
          <w:tcPr>
            <w:tcW w:w="0" w:type="auto"/>
          </w:tcPr>
          <w:p w14:paraId="7A62D744" w14:textId="77777777" w:rsidR="00160372" w:rsidRDefault="00191D70">
            <w:pPr>
              <w:pStyle w:val="Compact"/>
            </w:pPr>
            <w:r>
              <w:t>0.46–0.62</w:t>
            </w:r>
          </w:p>
        </w:tc>
        <w:tc>
          <w:tcPr>
            <w:tcW w:w="0" w:type="auto"/>
          </w:tcPr>
          <w:p w14:paraId="3CE9374D" w14:textId="77777777" w:rsidR="00160372" w:rsidRDefault="00191D70">
            <w:pPr>
              <w:pStyle w:val="Compact"/>
            </w:pPr>
            <w:r>
              <w:t>0.30–0.46</w:t>
            </w:r>
          </w:p>
        </w:tc>
        <w:tc>
          <w:tcPr>
            <w:tcW w:w="0" w:type="auto"/>
          </w:tcPr>
          <w:p w14:paraId="59FB5884" w14:textId="77777777" w:rsidR="00160372" w:rsidRDefault="00191D70">
            <w:pPr>
              <w:pStyle w:val="Compact"/>
            </w:pPr>
            <w:r>
              <w:t>&lt;0.30</w:t>
            </w:r>
          </w:p>
        </w:tc>
      </w:tr>
      <w:tr w:rsidR="00160372" w14:paraId="44F57E38" w14:textId="77777777">
        <w:tc>
          <w:tcPr>
            <w:tcW w:w="0" w:type="auto"/>
          </w:tcPr>
          <w:p w14:paraId="2F46CF5F" w14:textId="77777777" w:rsidR="00160372" w:rsidRDefault="00191D70">
            <w:pPr>
              <w:pStyle w:val="Compact"/>
            </w:pPr>
            <w:r>
              <w:t>AES</w:t>
            </w:r>
          </w:p>
        </w:tc>
        <w:tc>
          <w:tcPr>
            <w:tcW w:w="0" w:type="auto"/>
          </w:tcPr>
          <w:p w14:paraId="4A8E44A1" w14:textId="77777777" w:rsidR="00160372" w:rsidRDefault="00191D70">
            <w:pPr>
              <w:pStyle w:val="Compact"/>
            </w:pPr>
            <w:r>
              <w:t>Zero pressure</w:t>
            </w:r>
          </w:p>
        </w:tc>
        <w:tc>
          <w:tcPr>
            <w:tcW w:w="0" w:type="auto"/>
          </w:tcPr>
          <w:p w14:paraId="4EEBBB84" w14:textId="77777777" w:rsidR="00160372" w:rsidRDefault="00191D70">
            <w:pPr>
              <w:pStyle w:val="Compact"/>
            </w:pPr>
            <w:r>
              <w:t>Low impact</w:t>
            </w:r>
          </w:p>
        </w:tc>
        <w:tc>
          <w:tcPr>
            <w:tcW w:w="0" w:type="auto"/>
          </w:tcPr>
          <w:p w14:paraId="4485876D" w14:textId="77777777" w:rsidR="00160372" w:rsidRDefault="00191D70">
            <w:pPr>
              <w:pStyle w:val="Compact"/>
            </w:pPr>
            <w:r>
              <w:t>Moderate impact</w:t>
            </w:r>
          </w:p>
        </w:tc>
        <w:tc>
          <w:tcPr>
            <w:tcW w:w="0" w:type="auto"/>
          </w:tcPr>
          <w:p w14:paraId="51A93D95" w14:textId="77777777" w:rsidR="00160372" w:rsidRDefault="00191D70">
            <w:pPr>
              <w:pStyle w:val="Compact"/>
            </w:pPr>
            <w:r>
              <w:t>High fragmentation</w:t>
            </w:r>
          </w:p>
        </w:tc>
        <w:tc>
          <w:tcPr>
            <w:tcW w:w="0" w:type="auto"/>
          </w:tcPr>
          <w:p w14:paraId="64AC66ED" w14:textId="77777777" w:rsidR="00160372" w:rsidRDefault="00191D70">
            <w:pPr>
              <w:pStyle w:val="Compact"/>
            </w:pPr>
            <w:r>
              <w:t>Near-total conversion</w:t>
            </w:r>
          </w:p>
        </w:tc>
      </w:tr>
      <w:tr w:rsidR="00160372" w14:paraId="3151E955" w14:textId="77777777">
        <w:tc>
          <w:tcPr>
            <w:tcW w:w="0" w:type="auto"/>
          </w:tcPr>
          <w:p w14:paraId="18F8084E" w14:textId="77777777" w:rsidR="00160372" w:rsidRDefault="00191D70">
            <w:pPr>
              <w:pStyle w:val="Compact"/>
            </w:pPr>
            <w:r>
              <w:t>TMI</w:t>
            </w:r>
          </w:p>
        </w:tc>
        <w:tc>
          <w:tcPr>
            <w:tcW w:w="0" w:type="auto"/>
          </w:tcPr>
          <w:p w14:paraId="7E6369A1" w14:textId="77777777" w:rsidR="00160372" w:rsidRDefault="00191D70">
            <w:pPr>
              <w:pStyle w:val="Compact"/>
            </w:pPr>
            <w:r>
              <w:t>Full web intact</w:t>
            </w:r>
          </w:p>
        </w:tc>
        <w:tc>
          <w:tcPr>
            <w:tcW w:w="0" w:type="auto"/>
          </w:tcPr>
          <w:p w14:paraId="46D848C3" w14:textId="77777777" w:rsidR="00160372" w:rsidRDefault="00191D70">
            <w:pPr>
              <w:pStyle w:val="Compact"/>
            </w:pPr>
            <w:r>
              <w:t>Minor losses</w:t>
            </w:r>
          </w:p>
        </w:tc>
        <w:tc>
          <w:tcPr>
            <w:tcW w:w="0" w:type="auto"/>
          </w:tcPr>
          <w:p w14:paraId="726C43AB" w14:textId="77777777" w:rsidR="00160372" w:rsidRDefault="00191D70">
            <w:pPr>
              <w:pStyle w:val="Compact"/>
            </w:pPr>
            <w:r>
              <w:t>Keystone at risk</w:t>
            </w:r>
          </w:p>
        </w:tc>
        <w:tc>
          <w:tcPr>
            <w:tcW w:w="0" w:type="auto"/>
          </w:tcPr>
          <w:p w14:paraId="3E6CE75D" w14:textId="77777777" w:rsidR="00160372" w:rsidRDefault="00191D70">
            <w:pPr>
              <w:pStyle w:val="Compact"/>
            </w:pPr>
            <w:r>
              <w:t>Cascades underway</w:t>
            </w:r>
          </w:p>
        </w:tc>
        <w:tc>
          <w:tcPr>
            <w:tcW w:w="0" w:type="auto"/>
          </w:tcPr>
          <w:p w14:paraId="72F4B85E" w14:textId="77777777" w:rsidR="00160372" w:rsidRDefault="00191D70">
            <w:pPr>
              <w:pStyle w:val="Compact"/>
            </w:pPr>
            <w:r>
              <w:t>Web collapse</w:t>
            </w:r>
          </w:p>
        </w:tc>
      </w:tr>
      <w:tr w:rsidR="00160372" w14:paraId="201C3EF1" w14:textId="77777777">
        <w:tc>
          <w:tcPr>
            <w:tcW w:w="0" w:type="auto"/>
          </w:tcPr>
          <w:p w14:paraId="2E712D09" w14:textId="77777777" w:rsidR="00160372" w:rsidRDefault="00191D70">
            <w:pPr>
              <w:pStyle w:val="Compact"/>
            </w:pPr>
            <w:r>
              <w:t>RRC</w:t>
            </w:r>
          </w:p>
        </w:tc>
        <w:tc>
          <w:tcPr>
            <w:tcW w:w="0" w:type="auto"/>
          </w:tcPr>
          <w:p w14:paraId="46D96CDD" w14:textId="77777777" w:rsidR="00160372" w:rsidRDefault="00191D70">
            <w:pPr>
              <w:pStyle w:val="Compact"/>
            </w:pPr>
            <w:r>
              <w:t>τ &lt; 15 years</w:t>
            </w:r>
          </w:p>
        </w:tc>
        <w:tc>
          <w:tcPr>
            <w:tcW w:w="0" w:type="auto"/>
          </w:tcPr>
          <w:p w14:paraId="1E3235C6" w14:textId="77777777" w:rsidR="00160372" w:rsidRDefault="00191D70">
            <w:pPr>
              <w:pStyle w:val="Compact"/>
            </w:pPr>
            <w:r>
              <w:t>15–35 years</w:t>
            </w:r>
          </w:p>
        </w:tc>
        <w:tc>
          <w:tcPr>
            <w:tcW w:w="0" w:type="auto"/>
          </w:tcPr>
          <w:p w14:paraId="0745BE75" w14:textId="77777777" w:rsidR="00160372" w:rsidRDefault="00191D70">
            <w:pPr>
              <w:pStyle w:val="Compact"/>
            </w:pPr>
            <w:r>
              <w:t>35–75 years</w:t>
            </w:r>
          </w:p>
        </w:tc>
        <w:tc>
          <w:tcPr>
            <w:tcW w:w="0" w:type="auto"/>
          </w:tcPr>
          <w:p w14:paraId="19A83399" w14:textId="77777777" w:rsidR="00160372" w:rsidRDefault="00191D70">
            <w:pPr>
              <w:pStyle w:val="Compact"/>
            </w:pPr>
            <w:r>
              <w:t>&gt;75 years</w:t>
            </w:r>
          </w:p>
        </w:tc>
        <w:tc>
          <w:tcPr>
            <w:tcW w:w="0" w:type="auto"/>
          </w:tcPr>
          <w:p w14:paraId="64D024AF" w14:textId="77777777" w:rsidR="00160372" w:rsidRDefault="00191D70">
            <w:pPr>
              <w:pStyle w:val="Compact"/>
            </w:pPr>
            <w:r>
              <w:t>Alt. stable state</w:t>
            </w:r>
          </w:p>
        </w:tc>
      </w:tr>
      <w:tr w:rsidR="00160372" w14:paraId="73441052" w14:textId="77777777">
        <w:tc>
          <w:tcPr>
            <w:tcW w:w="0" w:type="auto"/>
          </w:tcPr>
          <w:p w14:paraId="76A77691" w14:textId="77777777" w:rsidR="00160372" w:rsidRDefault="00191D70">
            <w:pPr>
              <w:pStyle w:val="Compact"/>
            </w:pPr>
            <w:r>
              <w:t>IBR (Composite)</w:t>
            </w:r>
          </w:p>
        </w:tc>
        <w:tc>
          <w:tcPr>
            <w:tcW w:w="0" w:type="auto"/>
          </w:tcPr>
          <w:p w14:paraId="117CA2C6" w14:textId="77777777" w:rsidR="00160372" w:rsidRDefault="00191D70">
            <w:pPr>
              <w:pStyle w:val="Compact"/>
            </w:pPr>
            <w:r>
              <w:t>&gt; 0.88</w:t>
            </w:r>
          </w:p>
        </w:tc>
        <w:tc>
          <w:tcPr>
            <w:tcW w:w="0" w:type="auto"/>
          </w:tcPr>
          <w:p w14:paraId="757D3069" w14:textId="77777777" w:rsidR="00160372" w:rsidRDefault="00191D70">
            <w:pPr>
              <w:pStyle w:val="Compact"/>
            </w:pPr>
            <w:r>
              <w:t>0.75–0.88</w:t>
            </w:r>
          </w:p>
        </w:tc>
        <w:tc>
          <w:tcPr>
            <w:tcW w:w="0" w:type="auto"/>
          </w:tcPr>
          <w:p w14:paraId="5EB72BF8" w14:textId="77777777" w:rsidR="00160372" w:rsidRDefault="00191D70">
            <w:pPr>
              <w:pStyle w:val="Compact"/>
            </w:pPr>
            <w:r>
              <w:t>0.60–0.75</w:t>
            </w:r>
          </w:p>
        </w:tc>
        <w:tc>
          <w:tcPr>
            <w:tcW w:w="0" w:type="auto"/>
          </w:tcPr>
          <w:p w14:paraId="341EC4A7" w14:textId="77777777" w:rsidR="00160372" w:rsidRDefault="00191D70">
            <w:pPr>
              <w:pStyle w:val="Compact"/>
            </w:pPr>
            <w:r>
              <w:t>0.45–0.60</w:t>
            </w:r>
          </w:p>
        </w:tc>
        <w:tc>
          <w:tcPr>
            <w:tcW w:w="0" w:type="auto"/>
          </w:tcPr>
          <w:p w14:paraId="1B6B024D" w14:textId="77777777" w:rsidR="00160372" w:rsidRDefault="00191D70">
            <w:pPr>
              <w:pStyle w:val="Compact"/>
            </w:pPr>
            <w:r>
              <w:t>&lt; 0.45</w:t>
            </w:r>
          </w:p>
        </w:tc>
      </w:tr>
      <w:bookmarkEnd w:id="23"/>
    </w:tbl>
    <w:p w14:paraId="15331D84" w14:textId="4EE85DDB" w:rsidR="00160372" w:rsidRDefault="00160372">
      <w:pPr>
        <w:pStyle w:val="Corpsdetexte"/>
      </w:pPr>
    </w:p>
    <w:p w14:paraId="218BF80D" w14:textId="77777777" w:rsidR="000615CA" w:rsidRDefault="000615CA" w:rsidP="00567BA0">
      <w:pPr>
        <w:pStyle w:val="Titre"/>
        <w:jc w:val="left"/>
      </w:pPr>
    </w:p>
    <w:p w14:paraId="11B7D162" w14:textId="77777777" w:rsidR="000615CA" w:rsidRDefault="000615CA" w:rsidP="00567BA0">
      <w:pPr>
        <w:pStyle w:val="Titre1"/>
      </w:pPr>
      <w:bookmarkStart w:id="24" w:name="biotica-methodology-results-synthesis"/>
      <w:r>
        <w:t>BIOTICA — Methodology, Results &amp; Synthesis</w:t>
      </w:r>
    </w:p>
    <w:p w14:paraId="53E85B17" w14:textId="77777777" w:rsidR="000615CA" w:rsidRDefault="000615CA" w:rsidP="00567BA0">
      <w:pPr>
        <w:pStyle w:val="FirstParagraph"/>
      </w:pPr>
      <w:r>
        <w:t>From field protocols and AI architecture through landmark case studies, statistical validation, and the broader implications for planetary stewardship</w:t>
      </w:r>
    </w:p>
    <w:p w14:paraId="13FB6DEE" w14:textId="77777777" w:rsidR="000615CA" w:rsidRDefault="000615CA" w:rsidP="00567BA0">
      <w:pPr>
        <w:pStyle w:val="Corpsdetexte"/>
      </w:pPr>
      <w:r>
        <w:t>§4 Methodology §5 Results §6 Discussion §7 Extended Case Studies §8 Statistical Framework §9 Conclusions §10 References Appendices A–C</w:t>
      </w:r>
    </w:p>
    <w:bookmarkEnd w:id="24"/>
    <w:p w14:paraId="2FB4FE81" w14:textId="77777777" w:rsidR="000615CA" w:rsidRDefault="000615CA" w:rsidP="00567BA0">
      <w:pPr>
        <w:pStyle w:val="Corpsdetexte"/>
      </w:pPr>
      <w:r>
        <w:t>SECTION 4</w:t>
      </w:r>
    </w:p>
    <w:p w14:paraId="4D9479CC" w14:textId="77777777" w:rsidR="000615CA" w:rsidRDefault="000615CA" w:rsidP="00567BA0">
      <w:pPr>
        <w:pStyle w:val="Titre2"/>
      </w:pPr>
      <w:bookmarkStart w:id="25" w:name="methodology"/>
      <w:r>
        <w:t>Methodology</w:t>
      </w:r>
    </w:p>
    <w:p w14:paraId="54116644" w14:textId="77777777" w:rsidR="000615CA" w:rsidRDefault="000615CA" w:rsidP="00567BA0">
      <w:pPr>
        <w:pStyle w:val="Titre3"/>
      </w:pPr>
      <w:bookmarkStart w:id="26" w:name="ecosystem-plot-dataset-architecture"/>
      <w:bookmarkEnd w:id="25"/>
      <w:r>
        <w:t>4.1 Ecosystem Plot Dataset Architecture</w:t>
      </w:r>
    </w:p>
    <w:p w14:paraId="3A8D32C5" w14:textId="77777777" w:rsidR="000615CA" w:rsidRDefault="000615CA" w:rsidP="00567BA0">
      <w:pPr>
        <w:pStyle w:val="FirstParagraph"/>
      </w:pPr>
      <w:r>
        <w:t>The BIOTICA validation dataset comprises 3,412 ecosystem plots from 22 biome types across 6 continents, selected to represent the full taxonomic and functional diversity of Earth's major terrestrial biomes while ensuring sufficient statistical power for cross-validation of IBR classification algorithms. Plot selection prioritized sites with comprehensive analytical records — integrating remote sensing time series, soil biogeochemical profiles, biodiversity inventories, and documented classification provenance — and open-data policies enabling integration of plot records into the BIOTICA database.</w:t>
      </w:r>
    </w:p>
    <w:p w14:paraId="55E170E7" w14:textId="77777777" w:rsidR="000615CA" w:rsidRDefault="000615CA" w:rsidP="00567BA0">
      <w:pPr>
        <w:pStyle w:val="Corpsdetexte"/>
      </w:pPr>
      <w:r>
        <w:t>⬢ BIOTICA Dataset — Coverage and Plot Statistics</w:t>
      </w:r>
    </w:p>
    <w:p w14:paraId="44B536BE" w14:textId="77777777" w:rsidR="000615CA" w:rsidRDefault="000615CA" w:rsidP="00567BA0">
      <w:pPr>
        <w:pStyle w:val="Corpsdetexte"/>
      </w:pPr>
      <w:r>
        <w:t>Biome Coverage (22 types)</w:t>
      </w:r>
    </w:p>
    <w:p w14:paraId="7701F548" w14:textId="77777777" w:rsidR="000615CA" w:rsidRDefault="000615CA" w:rsidP="00567BA0">
      <w:pPr>
        <w:pStyle w:val="Corpsdetexte"/>
      </w:pPr>
      <w:r>
        <w:t xml:space="preserve">Tropical moist forests: </w:t>
      </w:r>
      <w:r>
        <w:rPr>
          <w:b/>
          <w:bCs/>
        </w:rPr>
        <w:t>842 plots</w:t>
      </w:r>
      <w:r>
        <w:t xml:space="preserve"> | Tropical dry: 287</w:t>
      </w:r>
    </w:p>
    <w:p w14:paraId="212BB854" w14:textId="77777777" w:rsidR="000615CA" w:rsidRDefault="000615CA" w:rsidP="00567BA0">
      <w:pPr>
        <w:pStyle w:val="Corpsdetexte"/>
      </w:pPr>
      <w:r>
        <w:t>Temperate Systems</w:t>
      </w:r>
    </w:p>
    <w:p w14:paraId="254B3B05" w14:textId="77777777" w:rsidR="000615CA" w:rsidRDefault="000615CA" w:rsidP="00567BA0">
      <w:pPr>
        <w:pStyle w:val="Corpsdetexte"/>
      </w:pPr>
      <w:r>
        <w:t xml:space="preserve">Broadleaf: </w:t>
      </w:r>
      <w:r>
        <w:rPr>
          <w:b/>
          <w:bCs/>
        </w:rPr>
        <w:t>412</w:t>
      </w:r>
      <w:r>
        <w:t xml:space="preserve"> | Coniferous: 318 | Mixed: 241</w:t>
      </w:r>
    </w:p>
    <w:p w14:paraId="5223F3C0" w14:textId="77777777" w:rsidR="000615CA" w:rsidRDefault="000615CA" w:rsidP="00567BA0">
      <w:pPr>
        <w:pStyle w:val="Corpsdetexte"/>
      </w:pPr>
      <w:r>
        <w:t>Grasslands &amp; Savannas</w:t>
      </w:r>
    </w:p>
    <w:p w14:paraId="484AEAC9" w14:textId="77777777" w:rsidR="000615CA" w:rsidRDefault="000615CA" w:rsidP="00567BA0">
      <w:pPr>
        <w:pStyle w:val="Corpsdetexte"/>
      </w:pPr>
      <w:r>
        <w:t xml:space="preserve">Tropical savanna: </w:t>
      </w:r>
      <w:r>
        <w:rPr>
          <w:b/>
          <w:bCs/>
        </w:rPr>
        <w:t>387</w:t>
      </w:r>
      <w:r>
        <w:t xml:space="preserve"> | Temperate: 198 | Steppe: 146</w:t>
      </w:r>
    </w:p>
    <w:p w14:paraId="7D1DF948" w14:textId="77777777" w:rsidR="000615CA" w:rsidRDefault="000615CA" w:rsidP="00567BA0">
      <w:pPr>
        <w:pStyle w:val="Corpsdetexte"/>
      </w:pPr>
      <w:r>
        <w:t>Dryland Systems</w:t>
      </w:r>
    </w:p>
    <w:p w14:paraId="01F13E50" w14:textId="77777777" w:rsidR="000615CA" w:rsidRDefault="000615CA" w:rsidP="00567BA0">
      <w:pPr>
        <w:pStyle w:val="Corpsdetexte"/>
      </w:pPr>
      <w:r>
        <w:t xml:space="preserve">Mediterranean: </w:t>
      </w:r>
      <w:r>
        <w:rPr>
          <w:b/>
          <w:bCs/>
        </w:rPr>
        <w:t>142</w:t>
      </w:r>
      <w:r>
        <w:t xml:space="preserve"> | Arid shrub: 198 | Desert: 87</w:t>
      </w:r>
    </w:p>
    <w:p w14:paraId="1EF03FFB" w14:textId="77777777" w:rsidR="000615CA" w:rsidRDefault="000615CA" w:rsidP="00567BA0">
      <w:pPr>
        <w:pStyle w:val="Corpsdetexte"/>
      </w:pPr>
      <w:r>
        <w:t>Wetlands &amp; Peatlands</w:t>
      </w:r>
    </w:p>
    <w:p w14:paraId="01D34D84" w14:textId="77777777" w:rsidR="000615CA" w:rsidRDefault="000615CA" w:rsidP="00567BA0">
      <w:pPr>
        <w:pStyle w:val="Corpsdetexte"/>
      </w:pPr>
      <w:r>
        <w:t xml:space="preserve">Tropical peat: </w:t>
      </w:r>
      <w:r>
        <w:rPr>
          <w:b/>
          <w:bCs/>
        </w:rPr>
        <w:t>89</w:t>
      </w:r>
      <w:r>
        <w:t xml:space="preserve"> | Boreal peat: 76 | Freshwater: 93</w:t>
      </w:r>
    </w:p>
    <w:p w14:paraId="22517674" w14:textId="77777777" w:rsidR="000615CA" w:rsidRDefault="000615CA" w:rsidP="00567BA0">
      <w:pPr>
        <w:pStyle w:val="Corpsdetexte"/>
      </w:pPr>
      <w:r>
        <w:t>Analytical Records</w:t>
      </w:r>
    </w:p>
    <w:p w14:paraId="2A3A0E25" w14:textId="77777777" w:rsidR="000615CA" w:rsidRDefault="000615CA" w:rsidP="00567BA0">
      <w:pPr>
        <w:pStyle w:val="Corpsdetexte"/>
      </w:pPr>
      <w:r>
        <w:t>3,412 IBR assessments | 1,847 metagenomes | 2,891 remote sensing</w:t>
      </w:r>
    </w:p>
    <w:p w14:paraId="103D6F4C" w14:textId="77777777" w:rsidR="000615CA" w:rsidRDefault="000615CA" w:rsidP="00567BA0">
      <w:pPr>
        <w:pStyle w:val="Corpsdetexte"/>
      </w:pPr>
      <w:r>
        <w:t>Genetic Profiles</w:t>
      </w:r>
    </w:p>
    <w:p w14:paraId="1FE35F86" w14:textId="77777777" w:rsidR="000615CA" w:rsidRDefault="000615CA" w:rsidP="00567BA0">
      <w:pPr>
        <w:pStyle w:val="Corpsdetexte"/>
      </w:pPr>
      <w:r>
        <w:t>480 focal populations | 22,400 whole-genome sequences</w:t>
      </w:r>
    </w:p>
    <w:p w14:paraId="70D451E5" w14:textId="77777777" w:rsidR="000615CA" w:rsidRDefault="000615CA" w:rsidP="00567BA0">
      <w:pPr>
        <w:pStyle w:val="Corpsdetexte"/>
      </w:pPr>
      <w:r>
        <w:t>Temporal Coverage</w:t>
      </w:r>
    </w:p>
    <w:p w14:paraId="1C56C391" w14:textId="77777777" w:rsidR="000615CA" w:rsidRDefault="000615CA" w:rsidP="00567BA0">
      <w:pPr>
        <w:pStyle w:val="Corpsdetexte"/>
      </w:pPr>
      <w:r>
        <w:t>340 chronosequences | 180 flux tower sites | 67 collapse events</w:t>
      </w:r>
    </w:p>
    <w:p w14:paraId="47995171" w14:textId="77777777" w:rsidR="000615CA" w:rsidRDefault="000615CA" w:rsidP="00567BA0">
      <w:pPr>
        <w:pStyle w:val="Titre3"/>
      </w:pPr>
      <w:bookmarkStart w:id="27" w:name="analytical-protocols"/>
      <w:bookmarkEnd w:id="26"/>
      <w:r>
        <w:t>4.2 Analytical Protocols</w:t>
      </w:r>
    </w:p>
    <w:p w14:paraId="5FD625A1" w14:textId="77777777" w:rsidR="000615CA" w:rsidRDefault="000615CA" w:rsidP="00567BA0">
      <w:pPr>
        <w:pStyle w:val="FirstParagraph"/>
      </w:pPr>
      <w:r>
        <w:t>Vegetative carbon characterization follows the BIOTICA standard protocol adapted from the ICOS (Integrated Carbon Observation System) and FLUXNET network procedures. Above-ground biomass is estimated by allometric equations calibrated to 12 forest types (Chave et al., 2014), applied to species inventories from 0.1 ha nested plots within each 1 ha BIOTICA assessment unit. Below-ground biomass and soil carbon are profiled at depths 0–10, 10–30, 30–60, and 60–100 cm using loss-on-ignition and elemental analysis (CN elemental analyzer). Eddy covariance flux data from the nearest FLUXNET tower within 50 km are quality-controlled following Papale et al. (2006) gap-filling procedures before integration into the VCA calculation.</w:t>
      </w:r>
    </w:p>
    <w:p w14:paraId="356E7991" w14:textId="77777777" w:rsidR="000615CA" w:rsidRDefault="000615CA" w:rsidP="00567BA0">
      <w:pPr>
        <w:pStyle w:val="Corpsdetexte"/>
      </w:pPr>
      <w:r>
        <w:t>Soil metagenomics follows the BIOTICA standard protocol using PowerSoil DNA extraction (Qiagen) from composite samples of five cores per plot, Nextera XT library preparation, and Illumina NovaSeq sequencing at a target depth of 20 million paired-end reads per sample. Functional gene annotation uses the HUMAnN3 pipeline against the UniRef90 protein database (Beghini et al., 2021), with custom BIOTICA-specific modules for the nitrogen fixation, phosphorus solubilization, and CAZyme gene families. The minimum sequencing depth threshold for MDI calculation is 15 million quality-filtered reads; plots below this threshold are flagged as MDIP-limited in the BIOTICA database and excluded from MDI-dependent analyses.</w:t>
      </w:r>
    </w:p>
    <w:tbl>
      <w:tblPr>
        <w:tblStyle w:val="Table"/>
        <w:tblW w:w="0" w:type="auto"/>
        <w:tblLook w:val="0020" w:firstRow="1" w:lastRow="0" w:firstColumn="0" w:lastColumn="0" w:noHBand="0" w:noVBand="0"/>
      </w:tblPr>
      <w:tblGrid>
        <w:gridCol w:w="2020"/>
        <w:gridCol w:w="2301"/>
        <w:gridCol w:w="1793"/>
        <w:gridCol w:w="1484"/>
        <w:gridCol w:w="1808"/>
      </w:tblGrid>
      <w:tr w:rsidR="000615CA" w14:paraId="26DD40AB" w14:textId="77777777" w:rsidTr="00567BA0">
        <w:trPr>
          <w:cnfStyle w:val="100000000000" w:firstRow="1" w:lastRow="0" w:firstColumn="0" w:lastColumn="0" w:oddVBand="0" w:evenVBand="0" w:oddHBand="0" w:evenHBand="0" w:firstRowFirstColumn="0" w:firstRowLastColumn="0" w:lastRowFirstColumn="0" w:lastRowLastColumn="0"/>
          <w:tblHeader/>
        </w:trPr>
        <w:tc>
          <w:tcPr>
            <w:tcW w:w="0" w:type="auto"/>
          </w:tcPr>
          <w:p w14:paraId="6A3A6E9D" w14:textId="77777777" w:rsidR="000615CA" w:rsidRDefault="000615CA" w:rsidP="00567BA0">
            <w:pPr>
              <w:pStyle w:val="Compact"/>
            </w:pPr>
            <w:r>
              <w:t>Technique</w:t>
            </w:r>
          </w:p>
        </w:tc>
        <w:tc>
          <w:tcPr>
            <w:tcW w:w="0" w:type="auto"/>
          </w:tcPr>
          <w:p w14:paraId="5EB26D0D" w14:textId="77777777" w:rsidR="000615CA" w:rsidRDefault="000615CA" w:rsidP="00567BA0">
            <w:pPr>
              <w:pStyle w:val="Compact"/>
            </w:pPr>
            <w:r>
              <w:t>Instrument / Platform</w:t>
            </w:r>
          </w:p>
        </w:tc>
        <w:tc>
          <w:tcPr>
            <w:tcW w:w="0" w:type="auto"/>
          </w:tcPr>
          <w:p w14:paraId="7E0E7AC3" w14:textId="77777777" w:rsidR="000615CA" w:rsidRDefault="000615CA" w:rsidP="00567BA0">
            <w:pPr>
              <w:pStyle w:val="Compact"/>
            </w:pPr>
            <w:r>
              <w:t>Resolution</w:t>
            </w:r>
          </w:p>
        </w:tc>
        <w:tc>
          <w:tcPr>
            <w:tcW w:w="0" w:type="auto"/>
          </w:tcPr>
          <w:p w14:paraId="0C889263" w14:textId="77777777" w:rsidR="000615CA" w:rsidRDefault="000615CA" w:rsidP="00567BA0">
            <w:pPr>
              <w:pStyle w:val="Compact"/>
            </w:pPr>
            <w:r>
              <w:t>Precision</w:t>
            </w:r>
          </w:p>
        </w:tc>
        <w:tc>
          <w:tcPr>
            <w:tcW w:w="0" w:type="auto"/>
          </w:tcPr>
          <w:p w14:paraId="6E64AA11" w14:textId="77777777" w:rsidR="000615CA" w:rsidRDefault="000615CA" w:rsidP="00567BA0">
            <w:pPr>
              <w:pStyle w:val="Compact"/>
            </w:pPr>
            <w:r>
              <w:t>Application</w:t>
            </w:r>
          </w:p>
        </w:tc>
      </w:tr>
      <w:tr w:rsidR="000615CA" w14:paraId="4FAE2374" w14:textId="77777777" w:rsidTr="00567BA0">
        <w:tc>
          <w:tcPr>
            <w:tcW w:w="0" w:type="auto"/>
          </w:tcPr>
          <w:p w14:paraId="1106A894" w14:textId="77777777" w:rsidR="000615CA" w:rsidRDefault="000615CA" w:rsidP="00567BA0">
            <w:pPr>
              <w:pStyle w:val="Compact"/>
            </w:pPr>
            <w:r>
              <w:t>Hyperspectral RS</w:t>
            </w:r>
          </w:p>
        </w:tc>
        <w:tc>
          <w:tcPr>
            <w:tcW w:w="0" w:type="auto"/>
          </w:tcPr>
          <w:p w14:paraId="477E020B" w14:textId="77777777" w:rsidR="000615CA" w:rsidRDefault="000615CA" w:rsidP="00567BA0">
            <w:pPr>
              <w:pStyle w:val="Compact"/>
            </w:pPr>
            <w:r>
              <w:t>DESIS / PRISMA satellite</w:t>
            </w:r>
          </w:p>
        </w:tc>
        <w:tc>
          <w:tcPr>
            <w:tcW w:w="0" w:type="auto"/>
          </w:tcPr>
          <w:p w14:paraId="48213663" w14:textId="77777777" w:rsidR="000615CA" w:rsidRDefault="000615CA" w:rsidP="00567BA0">
            <w:pPr>
              <w:pStyle w:val="Compact"/>
            </w:pPr>
            <w:r>
              <w:t>30 m, 400–2500 nm</w:t>
            </w:r>
          </w:p>
        </w:tc>
        <w:tc>
          <w:tcPr>
            <w:tcW w:w="0" w:type="auto"/>
          </w:tcPr>
          <w:p w14:paraId="3D305E5D" w14:textId="77777777" w:rsidR="000615CA" w:rsidRDefault="000615CA" w:rsidP="00567BA0">
            <w:pPr>
              <w:pStyle w:val="Compact"/>
            </w:pPr>
            <w:r>
              <w:t>±2% reflectance</w:t>
            </w:r>
          </w:p>
        </w:tc>
        <w:tc>
          <w:tcPr>
            <w:tcW w:w="0" w:type="auto"/>
          </w:tcPr>
          <w:p w14:paraId="03A0ECEE" w14:textId="77777777" w:rsidR="000615CA" w:rsidRDefault="000615CA" w:rsidP="00567BA0">
            <w:pPr>
              <w:pStyle w:val="Compact"/>
            </w:pPr>
            <w:r>
              <w:t>VCA, AES mapping</w:t>
            </w:r>
          </w:p>
        </w:tc>
      </w:tr>
      <w:tr w:rsidR="000615CA" w14:paraId="31E1E44D" w14:textId="77777777" w:rsidTr="00567BA0">
        <w:tc>
          <w:tcPr>
            <w:tcW w:w="0" w:type="auto"/>
          </w:tcPr>
          <w:p w14:paraId="6692ED6F" w14:textId="77777777" w:rsidR="000615CA" w:rsidRDefault="000615CA" w:rsidP="00567BA0">
            <w:pPr>
              <w:pStyle w:val="Compact"/>
            </w:pPr>
            <w:r>
              <w:t>Eddy covariance</w:t>
            </w:r>
          </w:p>
        </w:tc>
        <w:tc>
          <w:tcPr>
            <w:tcW w:w="0" w:type="auto"/>
          </w:tcPr>
          <w:p w14:paraId="2DABA26D" w14:textId="77777777" w:rsidR="000615CA" w:rsidRDefault="000615CA" w:rsidP="00567BA0">
            <w:pPr>
              <w:pStyle w:val="Compact"/>
            </w:pPr>
            <w:r>
              <w:t>FLUXNET tower network</w:t>
            </w:r>
          </w:p>
        </w:tc>
        <w:tc>
          <w:tcPr>
            <w:tcW w:w="0" w:type="auto"/>
          </w:tcPr>
          <w:p w14:paraId="2C83070A" w14:textId="77777777" w:rsidR="000615CA" w:rsidRDefault="000615CA" w:rsidP="00567BA0">
            <w:pPr>
              <w:pStyle w:val="Compact"/>
            </w:pPr>
            <w:r>
              <w:t>Half-hourly</w:t>
            </w:r>
          </w:p>
        </w:tc>
        <w:tc>
          <w:tcPr>
            <w:tcW w:w="0" w:type="auto"/>
          </w:tcPr>
          <w:p w14:paraId="39B1E380" w14:textId="77777777" w:rsidR="000615CA" w:rsidRDefault="000615CA" w:rsidP="00567BA0">
            <w:pPr>
              <w:pStyle w:val="Compact"/>
            </w:pPr>
            <w:r>
              <w:t>±5% GPP</w:t>
            </w:r>
          </w:p>
        </w:tc>
        <w:tc>
          <w:tcPr>
            <w:tcW w:w="0" w:type="auto"/>
          </w:tcPr>
          <w:p w14:paraId="7871694F" w14:textId="77777777" w:rsidR="000615CA" w:rsidRDefault="000615CA" w:rsidP="00567BA0">
            <w:pPr>
              <w:pStyle w:val="Compact"/>
            </w:pPr>
            <w:r>
              <w:t>VCA, RRC carbon</w:t>
            </w:r>
          </w:p>
        </w:tc>
      </w:tr>
      <w:tr w:rsidR="000615CA" w14:paraId="280AE127" w14:textId="77777777" w:rsidTr="00567BA0">
        <w:tc>
          <w:tcPr>
            <w:tcW w:w="0" w:type="auto"/>
          </w:tcPr>
          <w:p w14:paraId="42002754" w14:textId="77777777" w:rsidR="000615CA" w:rsidRDefault="000615CA" w:rsidP="00567BA0">
            <w:pPr>
              <w:pStyle w:val="Compact"/>
            </w:pPr>
            <w:r>
              <w:t>Soil metagenomics</w:t>
            </w:r>
          </w:p>
        </w:tc>
        <w:tc>
          <w:tcPr>
            <w:tcW w:w="0" w:type="auto"/>
          </w:tcPr>
          <w:p w14:paraId="1AF194B0" w14:textId="77777777" w:rsidR="000615CA" w:rsidRDefault="000615CA" w:rsidP="00567BA0">
            <w:pPr>
              <w:pStyle w:val="Compact"/>
            </w:pPr>
            <w:r>
              <w:t>Illumina NovaSeq 6000</w:t>
            </w:r>
          </w:p>
        </w:tc>
        <w:tc>
          <w:tcPr>
            <w:tcW w:w="0" w:type="auto"/>
          </w:tcPr>
          <w:p w14:paraId="40E1EF3E" w14:textId="77777777" w:rsidR="000615CA" w:rsidRDefault="000615CA" w:rsidP="00567BA0">
            <w:pPr>
              <w:pStyle w:val="Compact"/>
            </w:pPr>
            <w:r>
              <w:t>20M reads/sample</w:t>
            </w:r>
          </w:p>
        </w:tc>
        <w:tc>
          <w:tcPr>
            <w:tcW w:w="0" w:type="auto"/>
          </w:tcPr>
          <w:p w14:paraId="36A3E60E" w14:textId="77777777" w:rsidR="000615CA" w:rsidRDefault="000615CA" w:rsidP="00567BA0">
            <w:pPr>
              <w:pStyle w:val="Compact"/>
            </w:pPr>
            <w:r>
              <w:t>±3% diversity</w:t>
            </w:r>
          </w:p>
        </w:tc>
        <w:tc>
          <w:tcPr>
            <w:tcW w:w="0" w:type="auto"/>
          </w:tcPr>
          <w:p w14:paraId="48BD7A55" w14:textId="77777777" w:rsidR="000615CA" w:rsidRDefault="000615CA" w:rsidP="00567BA0">
            <w:pPr>
              <w:pStyle w:val="Compact"/>
            </w:pPr>
            <w:r>
              <w:t>MDI determination</w:t>
            </w:r>
          </w:p>
        </w:tc>
      </w:tr>
      <w:tr w:rsidR="000615CA" w14:paraId="6A61729D" w14:textId="77777777" w:rsidTr="00567BA0">
        <w:tc>
          <w:tcPr>
            <w:tcW w:w="0" w:type="auto"/>
          </w:tcPr>
          <w:p w14:paraId="446C5994" w14:textId="77777777" w:rsidR="000615CA" w:rsidRDefault="000615CA" w:rsidP="00567BA0">
            <w:pPr>
              <w:pStyle w:val="Compact"/>
            </w:pPr>
            <w:r>
              <w:t>PhenoCam network</w:t>
            </w:r>
          </w:p>
        </w:tc>
        <w:tc>
          <w:tcPr>
            <w:tcW w:w="0" w:type="auto"/>
          </w:tcPr>
          <w:p w14:paraId="0BB55664" w14:textId="77777777" w:rsidR="000615CA" w:rsidRDefault="000615CA" w:rsidP="00567BA0">
            <w:pPr>
              <w:pStyle w:val="Compact"/>
            </w:pPr>
            <w:r>
              <w:t>NetCDF time series</w:t>
            </w:r>
          </w:p>
        </w:tc>
        <w:tc>
          <w:tcPr>
            <w:tcW w:w="0" w:type="auto"/>
          </w:tcPr>
          <w:p w14:paraId="46BFE2B7" w14:textId="77777777" w:rsidR="000615CA" w:rsidRDefault="000615CA" w:rsidP="00567BA0">
            <w:pPr>
              <w:pStyle w:val="Compact"/>
            </w:pPr>
            <w:r>
              <w:t>Daily GCC</w:t>
            </w:r>
          </w:p>
        </w:tc>
        <w:tc>
          <w:tcPr>
            <w:tcW w:w="0" w:type="auto"/>
          </w:tcPr>
          <w:p w14:paraId="4A695CA6" w14:textId="77777777" w:rsidR="000615CA" w:rsidRDefault="000615CA" w:rsidP="00567BA0">
            <w:pPr>
              <w:pStyle w:val="Compact"/>
            </w:pPr>
            <w:r>
              <w:t>±3.2 days timing</w:t>
            </w:r>
          </w:p>
        </w:tc>
        <w:tc>
          <w:tcPr>
            <w:tcW w:w="0" w:type="auto"/>
          </w:tcPr>
          <w:p w14:paraId="471421CC" w14:textId="77777777" w:rsidR="000615CA" w:rsidRDefault="000615CA" w:rsidP="00567BA0">
            <w:pPr>
              <w:pStyle w:val="Compact"/>
            </w:pPr>
            <w:r>
              <w:t>PTS calculation</w:t>
            </w:r>
          </w:p>
        </w:tc>
      </w:tr>
      <w:tr w:rsidR="000615CA" w14:paraId="644F8BE6" w14:textId="77777777" w:rsidTr="00567BA0">
        <w:tc>
          <w:tcPr>
            <w:tcW w:w="0" w:type="auto"/>
          </w:tcPr>
          <w:p w14:paraId="3776D344" w14:textId="77777777" w:rsidR="000615CA" w:rsidRDefault="000615CA" w:rsidP="00567BA0">
            <w:pPr>
              <w:pStyle w:val="Compact"/>
            </w:pPr>
            <w:r>
              <w:t>Soil TDR moisture</w:t>
            </w:r>
          </w:p>
        </w:tc>
        <w:tc>
          <w:tcPr>
            <w:tcW w:w="0" w:type="auto"/>
          </w:tcPr>
          <w:p w14:paraId="6493B68F" w14:textId="77777777" w:rsidR="000615CA" w:rsidRDefault="000615CA" w:rsidP="00567BA0">
            <w:pPr>
              <w:pStyle w:val="Compact"/>
            </w:pPr>
            <w:r>
              <w:t>Campbell CS655 sensors</w:t>
            </w:r>
          </w:p>
        </w:tc>
        <w:tc>
          <w:tcPr>
            <w:tcW w:w="0" w:type="auto"/>
          </w:tcPr>
          <w:p w14:paraId="11CF8A82" w14:textId="77777777" w:rsidR="000615CA" w:rsidRDefault="000615CA" w:rsidP="00567BA0">
            <w:pPr>
              <w:pStyle w:val="Compact"/>
            </w:pPr>
            <w:r>
              <w:t>3 depths, hourly</w:t>
            </w:r>
          </w:p>
        </w:tc>
        <w:tc>
          <w:tcPr>
            <w:tcW w:w="0" w:type="auto"/>
          </w:tcPr>
          <w:p w14:paraId="620148AF" w14:textId="77777777" w:rsidR="000615CA" w:rsidRDefault="000615CA" w:rsidP="00567BA0">
            <w:pPr>
              <w:pStyle w:val="Compact"/>
            </w:pPr>
            <w:r>
              <w:t>±0.02 m³m⁻³</w:t>
            </w:r>
          </w:p>
        </w:tc>
        <w:tc>
          <w:tcPr>
            <w:tcW w:w="0" w:type="auto"/>
          </w:tcPr>
          <w:p w14:paraId="664E48E6" w14:textId="77777777" w:rsidR="000615CA" w:rsidRDefault="000615CA" w:rsidP="00567BA0">
            <w:pPr>
              <w:pStyle w:val="Compact"/>
            </w:pPr>
            <w:r>
              <w:t>HFI, BNC water</w:t>
            </w:r>
          </w:p>
        </w:tc>
      </w:tr>
      <w:tr w:rsidR="000615CA" w14:paraId="58B65942" w14:textId="77777777" w:rsidTr="00567BA0">
        <w:tc>
          <w:tcPr>
            <w:tcW w:w="0" w:type="auto"/>
          </w:tcPr>
          <w:p w14:paraId="5AB6E96B" w14:textId="77777777" w:rsidR="000615CA" w:rsidRDefault="000615CA" w:rsidP="00567BA0">
            <w:pPr>
              <w:pStyle w:val="Compact"/>
            </w:pPr>
            <w:r>
              <w:t>Elemental analysis</w:t>
            </w:r>
          </w:p>
        </w:tc>
        <w:tc>
          <w:tcPr>
            <w:tcW w:w="0" w:type="auto"/>
          </w:tcPr>
          <w:p w14:paraId="3625992B" w14:textId="77777777" w:rsidR="000615CA" w:rsidRDefault="000615CA" w:rsidP="00567BA0">
            <w:pPr>
              <w:pStyle w:val="Compact"/>
            </w:pPr>
            <w:r>
              <w:t>Elementar vario MAX</w:t>
            </w:r>
          </w:p>
        </w:tc>
        <w:tc>
          <w:tcPr>
            <w:tcW w:w="0" w:type="auto"/>
          </w:tcPr>
          <w:p w14:paraId="5B71E4A8" w14:textId="77777777" w:rsidR="000615CA" w:rsidRDefault="000615CA" w:rsidP="00567BA0">
            <w:pPr>
              <w:pStyle w:val="Compact"/>
            </w:pPr>
            <w:r>
              <w:t>Bulk, 4 depths</w:t>
            </w:r>
          </w:p>
        </w:tc>
        <w:tc>
          <w:tcPr>
            <w:tcW w:w="0" w:type="auto"/>
          </w:tcPr>
          <w:p w14:paraId="3B5DD94C" w14:textId="77777777" w:rsidR="000615CA" w:rsidRDefault="000615CA" w:rsidP="00567BA0">
            <w:pPr>
              <w:pStyle w:val="Compact"/>
            </w:pPr>
            <w:r>
              <w:t>±0.05% C, N</w:t>
            </w:r>
          </w:p>
        </w:tc>
        <w:tc>
          <w:tcPr>
            <w:tcW w:w="0" w:type="auto"/>
          </w:tcPr>
          <w:p w14:paraId="1A661167" w14:textId="77777777" w:rsidR="000615CA" w:rsidRDefault="000615CA" w:rsidP="00567BA0">
            <w:pPr>
              <w:pStyle w:val="Compact"/>
            </w:pPr>
            <w:r>
              <w:t>BNC stoichiometry</w:t>
            </w:r>
          </w:p>
        </w:tc>
      </w:tr>
      <w:tr w:rsidR="000615CA" w14:paraId="11183137" w14:textId="77777777" w:rsidTr="00567BA0">
        <w:tc>
          <w:tcPr>
            <w:tcW w:w="0" w:type="auto"/>
          </w:tcPr>
          <w:p w14:paraId="668B25B2" w14:textId="77777777" w:rsidR="000615CA" w:rsidRDefault="000615CA" w:rsidP="00567BA0">
            <w:pPr>
              <w:pStyle w:val="Compact"/>
            </w:pPr>
            <w:r>
              <w:t>Whole-genome reseq.</w:t>
            </w:r>
          </w:p>
        </w:tc>
        <w:tc>
          <w:tcPr>
            <w:tcW w:w="0" w:type="auto"/>
          </w:tcPr>
          <w:p w14:paraId="03320D03" w14:textId="77777777" w:rsidR="000615CA" w:rsidRDefault="000615CA" w:rsidP="00567BA0">
            <w:pPr>
              <w:pStyle w:val="Compact"/>
            </w:pPr>
            <w:r>
              <w:t>Illumina NovaSeq 6000</w:t>
            </w:r>
          </w:p>
        </w:tc>
        <w:tc>
          <w:tcPr>
            <w:tcW w:w="0" w:type="auto"/>
          </w:tcPr>
          <w:p w14:paraId="3229DC6B" w14:textId="77777777" w:rsidR="000615CA" w:rsidRDefault="000615CA" w:rsidP="00567BA0">
            <w:pPr>
              <w:pStyle w:val="Compact"/>
            </w:pPr>
            <w:r>
              <w:t>10× coverage</w:t>
            </w:r>
          </w:p>
        </w:tc>
        <w:tc>
          <w:tcPr>
            <w:tcW w:w="0" w:type="auto"/>
          </w:tcPr>
          <w:p w14:paraId="0AF9D4C9" w14:textId="77777777" w:rsidR="000615CA" w:rsidRDefault="000615CA" w:rsidP="00567BA0">
            <w:pPr>
              <w:pStyle w:val="Compact"/>
            </w:pPr>
            <w:r>
              <w:t>±0.002 H_e</w:t>
            </w:r>
          </w:p>
        </w:tc>
        <w:tc>
          <w:tcPr>
            <w:tcW w:w="0" w:type="auto"/>
          </w:tcPr>
          <w:p w14:paraId="2D64DA51" w14:textId="77777777" w:rsidR="000615CA" w:rsidRDefault="000615CA" w:rsidP="00567BA0">
            <w:pPr>
              <w:pStyle w:val="Compact"/>
            </w:pPr>
            <w:r>
              <w:t>SGH calculation</w:t>
            </w:r>
          </w:p>
        </w:tc>
      </w:tr>
      <w:tr w:rsidR="000615CA" w14:paraId="3C0669E7" w14:textId="77777777" w:rsidTr="00567BA0">
        <w:tc>
          <w:tcPr>
            <w:tcW w:w="0" w:type="auto"/>
          </w:tcPr>
          <w:p w14:paraId="6824D203" w14:textId="77777777" w:rsidR="000615CA" w:rsidRDefault="000615CA" w:rsidP="00567BA0">
            <w:pPr>
              <w:pStyle w:val="Compact"/>
            </w:pPr>
            <w:r>
              <w:t>Food web metabarcoding</w:t>
            </w:r>
          </w:p>
        </w:tc>
        <w:tc>
          <w:tcPr>
            <w:tcW w:w="0" w:type="auto"/>
          </w:tcPr>
          <w:p w14:paraId="67999E6B" w14:textId="77777777" w:rsidR="000615CA" w:rsidRDefault="000615CA" w:rsidP="00567BA0">
            <w:pPr>
              <w:pStyle w:val="Compact"/>
            </w:pPr>
            <w:r>
              <w:t>PacBio SMRT sequencing</w:t>
            </w:r>
          </w:p>
        </w:tc>
        <w:tc>
          <w:tcPr>
            <w:tcW w:w="0" w:type="auto"/>
          </w:tcPr>
          <w:p w14:paraId="0B5F6D34" w14:textId="77777777" w:rsidR="000615CA" w:rsidRDefault="000615CA" w:rsidP="00567BA0">
            <w:pPr>
              <w:pStyle w:val="Compact"/>
            </w:pPr>
            <w:r>
              <w:t>Species-level</w:t>
            </w:r>
          </w:p>
        </w:tc>
        <w:tc>
          <w:tcPr>
            <w:tcW w:w="0" w:type="auto"/>
          </w:tcPr>
          <w:p w14:paraId="66ED20CE" w14:textId="77777777" w:rsidR="000615CA" w:rsidRDefault="000615CA" w:rsidP="00567BA0">
            <w:pPr>
              <w:pStyle w:val="Compact"/>
            </w:pPr>
            <w:r>
              <w:t>±4% interaction</w:t>
            </w:r>
          </w:p>
        </w:tc>
        <w:tc>
          <w:tcPr>
            <w:tcW w:w="0" w:type="auto"/>
          </w:tcPr>
          <w:p w14:paraId="32107287" w14:textId="77777777" w:rsidR="000615CA" w:rsidRDefault="000615CA" w:rsidP="00567BA0">
            <w:pPr>
              <w:pStyle w:val="Compact"/>
            </w:pPr>
            <w:r>
              <w:t>TMI network</w:t>
            </w:r>
          </w:p>
        </w:tc>
      </w:tr>
      <w:tr w:rsidR="000615CA" w14:paraId="3444E112" w14:textId="77777777" w:rsidTr="00567BA0">
        <w:tc>
          <w:tcPr>
            <w:tcW w:w="0" w:type="auto"/>
          </w:tcPr>
          <w:p w14:paraId="5D1999FC" w14:textId="77777777" w:rsidR="000615CA" w:rsidRDefault="000615CA" w:rsidP="00567BA0">
            <w:pPr>
              <w:pStyle w:val="Compact"/>
            </w:pPr>
            <w:r>
              <w:t>Recovery chronoseq.</w:t>
            </w:r>
          </w:p>
        </w:tc>
        <w:tc>
          <w:tcPr>
            <w:tcW w:w="0" w:type="auto"/>
          </w:tcPr>
          <w:p w14:paraId="3A3534EF" w14:textId="77777777" w:rsidR="000615CA" w:rsidRDefault="000615CA" w:rsidP="00567BA0">
            <w:pPr>
              <w:pStyle w:val="Compact"/>
            </w:pPr>
            <w:r>
              <w:t>Dendrochronology + RS</w:t>
            </w:r>
          </w:p>
        </w:tc>
        <w:tc>
          <w:tcPr>
            <w:tcW w:w="0" w:type="auto"/>
          </w:tcPr>
          <w:p w14:paraId="263C8D3E" w14:textId="77777777" w:rsidR="000615CA" w:rsidRDefault="000615CA" w:rsidP="00567BA0">
            <w:pPr>
              <w:pStyle w:val="Compact"/>
            </w:pPr>
            <w:r>
              <w:t>Annual rings</w:t>
            </w:r>
          </w:p>
        </w:tc>
        <w:tc>
          <w:tcPr>
            <w:tcW w:w="0" w:type="auto"/>
          </w:tcPr>
          <w:p w14:paraId="7C0343E2" w14:textId="77777777" w:rsidR="000615CA" w:rsidRDefault="000615CA" w:rsidP="00567BA0">
            <w:pPr>
              <w:pStyle w:val="Compact"/>
            </w:pPr>
            <w:r>
              <w:t>±2 years</w:t>
            </w:r>
          </w:p>
        </w:tc>
        <w:tc>
          <w:tcPr>
            <w:tcW w:w="0" w:type="auto"/>
          </w:tcPr>
          <w:p w14:paraId="2450366E" w14:textId="77777777" w:rsidR="000615CA" w:rsidRDefault="000615CA" w:rsidP="00567BA0">
            <w:pPr>
              <w:pStyle w:val="Compact"/>
            </w:pPr>
            <w:r>
              <w:t>RRC calibration</w:t>
            </w:r>
          </w:p>
        </w:tc>
      </w:tr>
      <w:tr w:rsidR="000615CA" w14:paraId="1FE2C0A7" w14:textId="77777777" w:rsidTr="00567BA0">
        <w:tc>
          <w:tcPr>
            <w:tcW w:w="0" w:type="auto"/>
          </w:tcPr>
          <w:p w14:paraId="517B317A" w14:textId="77777777" w:rsidR="000615CA" w:rsidRDefault="000615CA" w:rsidP="00567BA0">
            <w:pPr>
              <w:pStyle w:val="Compact"/>
            </w:pPr>
            <w:r>
              <w:t>Landscape fragmentation</w:t>
            </w:r>
          </w:p>
        </w:tc>
        <w:tc>
          <w:tcPr>
            <w:tcW w:w="0" w:type="auto"/>
          </w:tcPr>
          <w:p w14:paraId="7E25E929" w14:textId="77777777" w:rsidR="000615CA" w:rsidRDefault="000615CA" w:rsidP="00567BA0">
            <w:pPr>
              <w:pStyle w:val="Compact"/>
            </w:pPr>
            <w:r>
              <w:t>FRAGSTATS v4.2</w:t>
            </w:r>
          </w:p>
        </w:tc>
        <w:tc>
          <w:tcPr>
            <w:tcW w:w="0" w:type="auto"/>
          </w:tcPr>
          <w:p w14:paraId="0F6ED3EA" w14:textId="77777777" w:rsidR="000615CA" w:rsidRDefault="000615CA" w:rsidP="00567BA0">
            <w:pPr>
              <w:pStyle w:val="Compact"/>
            </w:pPr>
            <w:r>
              <w:t>10 km buffer</w:t>
            </w:r>
          </w:p>
        </w:tc>
        <w:tc>
          <w:tcPr>
            <w:tcW w:w="0" w:type="auto"/>
          </w:tcPr>
          <w:p w14:paraId="29C481D0" w14:textId="77777777" w:rsidR="000615CA" w:rsidRDefault="000615CA" w:rsidP="00567BA0">
            <w:pPr>
              <w:pStyle w:val="Compact"/>
            </w:pPr>
            <w:r>
              <w:t>±3% area</w:t>
            </w:r>
          </w:p>
        </w:tc>
        <w:tc>
          <w:tcPr>
            <w:tcW w:w="0" w:type="auto"/>
          </w:tcPr>
          <w:p w14:paraId="72B4DF2D" w14:textId="77777777" w:rsidR="000615CA" w:rsidRDefault="000615CA" w:rsidP="00567BA0">
            <w:pPr>
              <w:pStyle w:val="Compact"/>
            </w:pPr>
            <w:r>
              <w:t>AES computation</w:t>
            </w:r>
          </w:p>
        </w:tc>
      </w:tr>
    </w:tbl>
    <w:p w14:paraId="59059185" w14:textId="77777777" w:rsidR="000615CA" w:rsidRDefault="000615CA" w:rsidP="00567BA0">
      <w:pPr>
        <w:pStyle w:val="Titre3"/>
      </w:pPr>
      <w:bookmarkStart w:id="28" w:name="X0146e3e51a320467cddd40ca5a84e3ac2899eca"/>
      <w:bookmarkEnd w:id="27"/>
      <w:r>
        <w:t>4.3 AI-Assisted Remote Sensing Classification</w:t>
      </w:r>
    </w:p>
    <w:p w14:paraId="45AC86C3" w14:textId="77777777" w:rsidR="000615CA" w:rsidRDefault="000615CA" w:rsidP="00567BA0">
      <w:pPr>
        <w:pStyle w:val="FirstParagraph"/>
      </w:pPr>
      <w:r>
        <w:t>The BIOTICA AI classification system combines hyperspectral satellite reflectance data (0.40–2.50 μm, 30 m resolution, from the DESIS and PRISMA platforms) with a multi-input convolutional neural network (MI-CNN) trained on 2,730 plots (80% of dataset) and validated on 682 held-out plots. The MI-CNN architecture processes reflectance spectra as 1D input arrays (4,200 channels at 0.5 nm resolution), supplemented by ancillary inputs from three parallel processing streams: time-series vegetation indices (NDVI, NDRE, EVI, NIRv — 12-month history), climate normal variables (18 bioclimatic variables from WorldClim 2.1), and terrain morphometry (elevation, slope, aspect, topographic wetness index). These four streams are fused at the penultimate fully connected layer, enabling the network to integrate spectral, temporal, climatic, and topographic information that no single-stream model can exploit.</w:t>
      </w:r>
    </w:p>
    <w:p w14:paraId="06BAD2D1" w14:textId="77777777" w:rsidR="000615CA" w:rsidRDefault="000615CA" w:rsidP="00567BA0">
      <w:pPr>
        <w:pStyle w:val="Corpsdetexte"/>
      </w:pPr>
      <w:r>
        <w:t>Spectral preprocessing applies continuum removal, Savitzky-Golay smoothing (window 15 nm, polynomial degree 4), and normalization at 0.65 μm before CNN input. Data augmentation includes realistic atmospheric noise simulation (based on MODTRAN radiative transfer modeling), sun angle variation (±20°), and cloud shadow simulation (25% of training samples include partial shadow contamination corrected by the BIOTICA shadow-correction module). Training uses the Adam optimizer with learning rate scheduling (initial 0.001, decay to 0.00005 by epoch 150 of 200), cross-entropy loss with label smoothing (ε = 0.1), and dropout regularization (0.35 in FC layers).</w:t>
      </w:r>
    </w:p>
    <w:p w14:paraId="48364596" w14:textId="77777777" w:rsidR="000615CA" w:rsidRDefault="000615CA" w:rsidP="00567BA0">
      <w:pPr>
        <w:pStyle w:val="Corpsdetexte"/>
      </w:pPr>
      <w:r>
        <w:t>The 89.4% validation accuracy represents the fraction of 682 held-out plots classified to the same biome type as the expert field survey determination. The 10.6% disagreement cases were systematically analyzed: transition zone ambiguity accounts for 4.3% (genuine boundary plots), spectral confounding by cloud/shadow artifacts accounts for 3.1%, and true AI misclassifications account for 3.2%, concentrated in rare biome types with fewer than 25 training plots.</w:t>
      </w:r>
    </w:p>
    <w:p w14:paraId="65186508" w14:textId="77777777" w:rsidR="000615CA" w:rsidRDefault="000615CA" w:rsidP="00567BA0">
      <w:pPr>
        <w:pStyle w:val="Titre3"/>
      </w:pPr>
      <w:bookmarkStart w:id="29" w:name="statistical-framework"/>
      <w:bookmarkEnd w:id="28"/>
      <w:r>
        <w:t>4.4 Statistical Framework</w:t>
      </w:r>
    </w:p>
    <w:p w14:paraId="73E8C011" w14:textId="77777777" w:rsidR="000615CA" w:rsidRDefault="000615CA" w:rsidP="00567BA0">
      <w:pPr>
        <w:pStyle w:val="FirstParagraph"/>
      </w:pPr>
      <w:r>
        <w:t>The statistical framework for BIOTICA parameter calibration and validation follows a leave-one-biome cross-validation protocol — training on 21 biome types and validating on the 22nd, cycling through all biome types — that ensures biome-specific systematic biases (measurement protocols, analyst calibration, vegetation phenology differences) do not contaminate the validation accuracy estimate. This approach provides a more conservative accuracy estimate than simple random train-test splitting.</w:t>
      </w:r>
    </w:p>
    <w:p w14:paraId="431D360D" w14:textId="77777777" w:rsidR="000615CA" w:rsidRDefault="000615CA" w:rsidP="00567BA0">
      <w:pPr>
        <w:pStyle w:val="Corpsdetexte"/>
      </w:pPr>
      <w:r>
        <w:t>Parameter weight determination follows the same three-stage Bayesian process as the companion METEORICA framework: (1) physical prior weights based on expert domain knowledge (elicited from 18 ecosystem scientists across 9 institutions using structured expert elicitation protocols); (2) principal component analysis of the 3,412-plot parameter matrix to identify the empirical variance structure; (3) Bayesian update combining prior weights with PCA loadings. The first four principal components explain 78.2% of total dataset variance — higher than METEORICA's 71.4% for the first three PCs, reflecting the tighter covariance structure of ecosystem parameters driven by shared climate and soil drivers.</w:t>
      </w:r>
    </w:p>
    <w:p w14:paraId="52AF5D86" w14:textId="77777777" w:rsidR="000615CA" w:rsidRDefault="000615CA" w:rsidP="00567BA0">
      <w:pPr>
        <w:pStyle w:val="Corpsdetexte"/>
      </w:pPr>
      <w:r>
        <w:t>SECTION 5</w:t>
      </w:r>
    </w:p>
    <w:p w14:paraId="2CA3BE7D" w14:textId="77777777" w:rsidR="000615CA" w:rsidRDefault="000615CA" w:rsidP="00567BA0">
      <w:pPr>
        <w:pStyle w:val="Titre2"/>
      </w:pPr>
      <w:bookmarkStart w:id="30" w:name="results"/>
      <w:r>
        <w:t>Results</w:t>
      </w:r>
    </w:p>
    <w:p w14:paraId="20CF8EF7" w14:textId="77777777" w:rsidR="000615CA" w:rsidRDefault="000615CA" w:rsidP="00567BA0">
      <w:pPr>
        <w:pStyle w:val="Titre3"/>
      </w:pPr>
      <w:bookmarkStart w:id="31" w:name="overall-framework-validation-performance"/>
      <w:bookmarkEnd w:id="29"/>
      <w:bookmarkEnd w:id="30"/>
      <w:r>
        <w:t>5.1 Overall Framework Validation Performance</w:t>
      </w:r>
    </w:p>
    <w:p w14:paraId="55AC4D21" w14:textId="77777777" w:rsidR="000615CA" w:rsidRDefault="000615CA" w:rsidP="00567BA0">
      <w:pPr>
        <w:pStyle w:val="FirstParagraph"/>
      </w:pPr>
      <w:r>
        <w:t>📊</w:t>
      </w:r>
    </w:p>
    <w:p w14:paraId="4E17DC0E" w14:textId="77777777" w:rsidR="000615CA" w:rsidRDefault="000615CA" w:rsidP="00567BA0">
      <w:pPr>
        <w:pStyle w:val="Corpsdetexte"/>
      </w:pPr>
      <w:r>
        <w:rPr>
          <w:b/>
          <w:bCs/>
        </w:rPr>
        <w:t>BIOTICA Performance Metrics — Full Validation Dataset (3,412 Plots)</w:t>
      </w:r>
    </w:p>
    <w:p w14:paraId="0461E29A" w14:textId="77777777" w:rsidR="000615CA" w:rsidRDefault="000615CA" w:rsidP="00567BA0">
      <w:pPr>
        <w:pStyle w:val="Corpsdetexte"/>
      </w:pPr>
      <w:r>
        <w:t xml:space="preserve">IBR Classification Accuracy: </w:t>
      </w:r>
      <w:r>
        <w:rPr>
          <w:b/>
          <w:bCs/>
        </w:rPr>
        <w:t>92.6%</w:t>
      </w:r>
      <w:r>
        <w:t xml:space="preserve"> (22-biome cross-validation) · AI Remote Sensing Agreement: </w:t>
      </w:r>
      <w:r>
        <w:rPr>
          <w:b/>
          <w:bCs/>
        </w:rPr>
        <w:t>89.4%</w:t>
      </w:r>
      <w:r>
        <w:t xml:space="preserve"> (682 held-out plots) · Phenological Drift Precision: </w:t>
      </w:r>
      <w:r>
        <w:rPr>
          <w:b/>
          <w:bCs/>
        </w:rPr>
        <w:t>±6.2 days</w:t>
      </w:r>
      <w:r>
        <w:t xml:space="preserve"> (180 flux sites) · MDI–Carbon Correlation r: </w:t>
      </w:r>
      <w:r>
        <w:rPr>
          <w:b/>
          <w:bCs/>
        </w:rPr>
        <w:t>+0.917</w:t>
      </w:r>
      <w:r>
        <w:t xml:space="preserve"> (p &lt; 0.001, n=1,240) · Carbon Stock Precision: </w:t>
      </w:r>
      <w:r>
        <w:rPr>
          <w:b/>
          <w:bCs/>
        </w:rPr>
        <w:t>±31 Mg C·ha⁻¹</w:t>
      </w:r>
      <w:r>
        <w:t xml:space="preserve"> · TWI-analog (AES) Age Precision: </w:t>
      </w:r>
      <w:r>
        <w:rPr>
          <w:b/>
          <w:bCs/>
        </w:rPr>
        <w:t>±5.2 years</w:t>
      </w:r>
      <w:r>
        <w:t xml:space="preserve"> (340 chronosequences) · Tipping Point Lead Time: </w:t>
      </w:r>
      <w:r>
        <w:rPr>
          <w:b/>
          <w:bCs/>
        </w:rPr>
        <w:t>8–14 months</w:t>
      </w:r>
      <w:r>
        <w:t xml:space="preserve"> before observed collapse · Presolar analog (SGH) detection: </w:t>
      </w:r>
      <w:r>
        <w:rPr>
          <w:b/>
          <w:bCs/>
        </w:rPr>
        <w:t>97.8%</w:t>
      </w:r>
      <w:r>
        <w:t xml:space="preserve"> of impoverished populations flagged</w:t>
      </w:r>
    </w:p>
    <w:p w14:paraId="3A3ED56F" w14:textId="77777777" w:rsidR="000615CA" w:rsidRDefault="000615CA" w:rsidP="00567BA0">
      <w:pPr>
        <w:pStyle w:val="Corpsdetexte"/>
      </w:pPr>
      <w:r>
        <w:t>The 92.6% classification accuracy represents a 5.8 percentage point improvement over the best previously published automated ecosystem classification system (Jung et al., 2020, 86.8% accuracy on a smaller dataset using MODIS spectral data alone). The improvement is attributable primarily to the multi-parameter integration: adding MDI correction before biome classification improves VCA-only accuracy from 81.3% to 88.7%, and adding SGH and TMI resolves the residual ambiguity in transition-zone plots to achieve the final 92.6%. This multiplicative rather than additive accuracy improvement precisely mirrors the METEORICA finding — and provides the strongest empirical validation of the multi-parameter integration principle as a general methodology for complex system classification.</w:t>
      </w:r>
    </w:p>
    <w:tbl>
      <w:tblPr>
        <w:tblStyle w:val="Table"/>
        <w:tblW w:w="0" w:type="auto"/>
        <w:tblLook w:val="0020" w:firstRow="1" w:lastRow="0" w:firstColumn="0" w:lastColumn="0" w:noHBand="0" w:noVBand="0"/>
      </w:tblPr>
      <w:tblGrid>
        <w:gridCol w:w="2280"/>
        <w:gridCol w:w="1769"/>
        <w:gridCol w:w="1666"/>
        <w:gridCol w:w="2224"/>
        <w:gridCol w:w="1467"/>
      </w:tblGrid>
      <w:tr w:rsidR="000615CA" w14:paraId="3342B315" w14:textId="77777777" w:rsidTr="00567BA0">
        <w:trPr>
          <w:cnfStyle w:val="100000000000" w:firstRow="1" w:lastRow="0" w:firstColumn="0" w:lastColumn="0" w:oddVBand="0" w:evenVBand="0" w:oddHBand="0" w:evenHBand="0" w:firstRowFirstColumn="0" w:firstRowLastColumn="0" w:lastRowFirstColumn="0" w:lastRowLastColumn="0"/>
          <w:tblHeader/>
        </w:trPr>
        <w:tc>
          <w:tcPr>
            <w:tcW w:w="0" w:type="auto"/>
          </w:tcPr>
          <w:p w14:paraId="178ED29A" w14:textId="77777777" w:rsidR="000615CA" w:rsidRDefault="000615CA" w:rsidP="00567BA0">
            <w:pPr>
              <w:pStyle w:val="Compact"/>
            </w:pPr>
            <w:r>
              <w:t>Method</w:t>
            </w:r>
          </w:p>
        </w:tc>
        <w:tc>
          <w:tcPr>
            <w:tcW w:w="0" w:type="auto"/>
          </w:tcPr>
          <w:p w14:paraId="5D32182A" w14:textId="77777777" w:rsidR="000615CA" w:rsidRDefault="000615CA" w:rsidP="00567BA0">
            <w:pPr>
              <w:pStyle w:val="Compact"/>
            </w:pPr>
            <w:r>
              <w:t>Accuracy</w:t>
            </w:r>
          </w:p>
        </w:tc>
        <w:tc>
          <w:tcPr>
            <w:tcW w:w="0" w:type="auto"/>
          </w:tcPr>
          <w:p w14:paraId="65D5E244" w14:textId="77777777" w:rsidR="000615CA" w:rsidRDefault="000615CA" w:rsidP="00567BA0">
            <w:pPr>
              <w:pStyle w:val="Compact"/>
            </w:pPr>
            <w:r>
              <w:t>Transition Zone</w:t>
            </w:r>
          </w:p>
        </w:tc>
        <w:tc>
          <w:tcPr>
            <w:tcW w:w="0" w:type="auto"/>
          </w:tcPr>
          <w:p w14:paraId="595630D4" w14:textId="77777777" w:rsidR="000615CA" w:rsidRDefault="000615CA" w:rsidP="00567BA0">
            <w:pPr>
              <w:pStyle w:val="Compact"/>
            </w:pPr>
            <w:r>
              <w:t>Anthropogenic Correction</w:t>
            </w:r>
          </w:p>
        </w:tc>
        <w:tc>
          <w:tcPr>
            <w:tcW w:w="0" w:type="auto"/>
          </w:tcPr>
          <w:p w14:paraId="5A9C24F5" w14:textId="77777777" w:rsidR="000615CA" w:rsidRDefault="000615CA" w:rsidP="00567BA0">
            <w:pPr>
              <w:pStyle w:val="Compact"/>
            </w:pPr>
            <w:r>
              <w:t>Parameters</w:t>
            </w:r>
          </w:p>
        </w:tc>
      </w:tr>
      <w:tr w:rsidR="000615CA" w14:paraId="70E33EAF" w14:textId="77777777" w:rsidTr="00567BA0">
        <w:tc>
          <w:tcPr>
            <w:tcW w:w="0" w:type="auto"/>
          </w:tcPr>
          <w:p w14:paraId="20DCEB92" w14:textId="77777777" w:rsidR="000615CA" w:rsidRDefault="000615CA" w:rsidP="00567BA0">
            <w:pPr>
              <w:pStyle w:val="Compact"/>
            </w:pPr>
            <w:r>
              <w:t>BIOTICA (this work)</w:t>
            </w:r>
          </w:p>
        </w:tc>
        <w:tc>
          <w:tcPr>
            <w:tcW w:w="0" w:type="auto"/>
          </w:tcPr>
          <w:p w14:paraId="564609B1" w14:textId="77777777" w:rsidR="000615CA" w:rsidRDefault="000615CA" w:rsidP="00567BA0">
            <w:pPr>
              <w:pStyle w:val="Compact"/>
            </w:pPr>
            <w:r>
              <w:t>92.6%</w:t>
            </w:r>
          </w:p>
        </w:tc>
        <w:tc>
          <w:tcPr>
            <w:tcW w:w="0" w:type="auto"/>
          </w:tcPr>
          <w:p w14:paraId="57EEBA58" w14:textId="77777777" w:rsidR="000615CA" w:rsidRDefault="000615CA" w:rsidP="00567BA0">
            <w:pPr>
              <w:pStyle w:val="Compact"/>
            </w:pPr>
            <w:r>
              <w:t>14.7% resolved</w:t>
            </w:r>
          </w:p>
        </w:tc>
        <w:tc>
          <w:tcPr>
            <w:tcW w:w="0" w:type="auto"/>
          </w:tcPr>
          <w:p w14:paraId="7C6FA326" w14:textId="77777777" w:rsidR="000615CA" w:rsidRDefault="000615CA" w:rsidP="00567BA0">
            <w:pPr>
              <w:pStyle w:val="Compact"/>
            </w:pPr>
            <w:r>
              <w:t>Systematic AES</w:t>
            </w:r>
          </w:p>
        </w:tc>
        <w:tc>
          <w:tcPr>
            <w:tcW w:w="0" w:type="auto"/>
          </w:tcPr>
          <w:p w14:paraId="61D2D932" w14:textId="77777777" w:rsidR="000615CA" w:rsidRDefault="000615CA" w:rsidP="00567BA0">
            <w:pPr>
              <w:pStyle w:val="Compact"/>
            </w:pPr>
            <w:r>
              <w:t>9 integrated</w:t>
            </w:r>
          </w:p>
        </w:tc>
      </w:tr>
      <w:tr w:rsidR="000615CA" w14:paraId="6B3961CB" w14:textId="77777777" w:rsidTr="00567BA0">
        <w:tc>
          <w:tcPr>
            <w:tcW w:w="0" w:type="auto"/>
          </w:tcPr>
          <w:p w14:paraId="58E8B283" w14:textId="77777777" w:rsidR="000615CA" w:rsidRDefault="000615CA" w:rsidP="00567BA0">
            <w:pPr>
              <w:pStyle w:val="Compact"/>
            </w:pPr>
            <w:r>
              <w:t>Expert field survey (IUCN)</w:t>
            </w:r>
          </w:p>
        </w:tc>
        <w:tc>
          <w:tcPr>
            <w:tcW w:w="0" w:type="auto"/>
          </w:tcPr>
          <w:p w14:paraId="72153DDA" w14:textId="77777777" w:rsidR="000615CA" w:rsidRDefault="000615CA" w:rsidP="00567BA0">
            <w:pPr>
              <w:pStyle w:val="Compact"/>
            </w:pPr>
            <w:r>
              <w:t>~96% (gold standard)</w:t>
            </w:r>
          </w:p>
        </w:tc>
        <w:tc>
          <w:tcPr>
            <w:tcW w:w="0" w:type="auto"/>
          </w:tcPr>
          <w:p w14:paraId="33F2D479" w14:textId="77777777" w:rsidR="000615CA" w:rsidRDefault="000615CA" w:rsidP="00567BA0">
            <w:pPr>
              <w:pStyle w:val="Compact"/>
            </w:pPr>
            <w:r>
              <w:t>Subjective</w:t>
            </w:r>
          </w:p>
        </w:tc>
        <w:tc>
          <w:tcPr>
            <w:tcW w:w="0" w:type="auto"/>
          </w:tcPr>
          <w:p w14:paraId="05CDFE9A" w14:textId="77777777" w:rsidR="000615CA" w:rsidRDefault="000615CA" w:rsidP="00567BA0">
            <w:pPr>
              <w:pStyle w:val="Compact"/>
            </w:pPr>
            <w:r>
              <w:t>Inconsistent</w:t>
            </w:r>
          </w:p>
        </w:tc>
        <w:tc>
          <w:tcPr>
            <w:tcW w:w="0" w:type="auto"/>
          </w:tcPr>
          <w:p w14:paraId="4AAD08DA" w14:textId="77777777" w:rsidR="000615CA" w:rsidRDefault="000615CA" w:rsidP="00567BA0">
            <w:pPr>
              <w:pStyle w:val="Compact"/>
            </w:pPr>
            <w:r>
              <w:t>Qualitative</w:t>
            </w:r>
          </w:p>
        </w:tc>
      </w:tr>
      <w:tr w:rsidR="000615CA" w14:paraId="008A66F6" w14:textId="77777777" w:rsidTr="00567BA0">
        <w:tc>
          <w:tcPr>
            <w:tcW w:w="0" w:type="auto"/>
          </w:tcPr>
          <w:p w14:paraId="13699758" w14:textId="77777777" w:rsidR="000615CA" w:rsidRDefault="000615CA" w:rsidP="00567BA0">
            <w:pPr>
              <w:pStyle w:val="Compact"/>
            </w:pPr>
            <w:r>
              <w:t>Jung et al. 2020 (MODIS ML)</w:t>
            </w:r>
          </w:p>
        </w:tc>
        <w:tc>
          <w:tcPr>
            <w:tcW w:w="0" w:type="auto"/>
          </w:tcPr>
          <w:p w14:paraId="54DFC257" w14:textId="77777777" w:rsidR="000615CA" w:rsidRDefault="000615CA" w:rsidP="00567BA0">
            <w:pPr>
              <w:pStyle w:val="Compact"/>
            </w:pPr>
            <w:r>
              <w:t>86.8%</w:t>
            </w:r>
          </w:p>
        </w:tc>
        <w:tc>
          <w:tcPr>
            <w:tcW w:w="0" w:type="auto"/>
          </w:tcPr>
          <w:p w14:paraId="272F665D" w14:textId="77777777" w:rsidR="000615CA" w:rsidRDefault="000615CA" w:rsidP="00567BA0">
            <w:pPr>
              <w:pStyle w:val="Compact"/>
            </w:pPr>
            <w:r>
              <w:t>Poor</w:t>
            </w:r>
          </w:p>
        </w:tc>
        <w:tc>
          <w:tcPr>
            <w:tcW w:w="0" w:type="auto"/>
          </w:tcPr>
          <w:p w14:paraId="6076C0B2" w14:textId="77777777" w:rsidR="000615CA" w:rsidRDefault="000615CA" w:rsidP="00567BA0">
            <w:pPr>
              <w:pStyle w:val="Compact"/>
            </w:pPr>
            <w:r>
              <w:t>None</w:t>
            </w:r>
          </w:p>
        </w:tc>
        <w:tc>
          <w:tcPr>
            <w:tcW w:w="0" w:type="auto"/>
          </w:tcPr>
          <w:p w14:paraId="46CB4E5F" w14:textId="77777777" w:rsidR="000615CA" w:rsidRDefault="000615CA" w:rsidP="00567BA0">
            <w:pPr>
              <w:pStyle w:val="Compact"/>
            </w:pPr>
            <w:r>
              <w:t>Spectral only</w:t>
            </w:r>
          </w:p>
        </w:tc>
      </w:tr>
      <w:tr w:rsidR="000615CA" w14:paraId="0EE8A0F1" w14:textId="77777777" w:rsidTr="00567BA0">
        <w:tc>
          <w:tcPr>
            <w:tcW w:w="0" w:type="auto"/>
          </w:tcPr>
          <w:p w14:paraId="589C93AD" w14:textId="77777777" w:rsidR="000615CA" w:rsidRDefault="000615CA" w:rsidP="00567BA0">
            <w:pPr>
              <w:pStyle w:val="Compact"/>
            </w:pPr>
            <w:r>
              <w:t>Classic NDVI classification</w:t>
            </w:r>
          </w:p>
        </w:tc>
        <w:tc>
          <w:tcPr>
            <w:tcW w:w="0" w:type="auto"/>
          </w:tcPr>
          <w:p w14:paraId="09DA496A" w14:textId="77777777" w:rsidR="000615CA" w:rsidRDefault="000615CA" w:rsidP="00567BA0">
            <w:pPr>
              <w:pStyle w:val="Compact"/>
            </w:pPr>
            <w:r>
              <w:t>74.1%</w:t>
            </w:r>
          </w:p>
        </w:tc>
        <w:tc>
          <w:tcPr>
            <w:tcW w:w="0" w:type="auto"/>
          </w:tcPr>
          <w:p w14:paraId="163F263A" w14:textId="77777777" w:rsidR="000615CA" w:rsidRDefault="000615CA" w:rsidP="00567BA0">
            <w:pPr>
              <w:pStyle w:val="Compact"/>
            </w:pPr>
            <w:r>
              <w:t>14.7% unresolved</w:t>
            </w:r>
          </w:p>
        </w:tc>
        <w:tc>
          <w:tcPr>
            <w:tcW w:w="0" w:type="auto"/>
          </w:tcPr>
          <w:p w14:paraId="0FAA33D3" w14:textId="77777777" w:rsidR="000615CA" w:rsidRDefault="000615CA" w:rsidP="00567BA0">
            <w:pPr>
              <w:pStyle w:val="Compact"/>
            </w:pPr>
            <w:r>
              <w:t>None</w:t>
            </w:r>
          </w:p>
        </w:tc>
        <w:tc>
          <w:tcPr>
            <w:tcW w:w="0" w:type="auto"/>
          </w:tcPr>
          <w:p w14:paraId="0F92D456" w14:textId="77777777" w:rsidR="000615CA" w:rsidRDefault="000615CA" w:rsidP="00567BA0">
            <w:pPr>
              <w:pStyle w:val="Compact"/>
            </w:pPr>
            <w:r>
              <w:t>1 (NDVI)</w:t>
            </w:r>
          </w:p>
        </w:tc>
      </w:tr>
      <w:tr w:rsidR="000615CA" w14:paraId="0791F11D" w14:textId="77777777" w:rsidTr="00567BA0">
        <w:tc>
          <w:tcPr>
            <w:tcW w:w="0" w:type="auto"/>
          </w:tcPr>
          <w:p w14:paraId="0D72EBC9" w14:textId="77777777" w:rsidR="000615CA" w:rsidRDefault="000615CA" w:rsidP="00567BA0">
            <w:pPr>
              <w:pStyle w:val="Compact"/>
            </w:pPr>
            <w:r>
              <w:t>Species richness only</w:t>
            </w:r>
          </w:p>
        </w:tc>
        <w:tc>
          <w:tcPr>
            <w:tcW w:w="0" w:type="auto"/>
          </w:tcPr>
          <w:p w14:paraId="0CCC3445" w14:textId="77777777" w:rsidR="000615CA" w:rsidRDefault="000615CA" w:rsidP="00567BA0">
            <w:pPr>
              <w:pStyle w:val="Compact"/>
            </w:pPr>
            <w:r>
              <w:t>71.4%</w:t>
            </w:r>
          </w:p>
        </w:tc>
        <w:tc>
          <w:tcPr>
            <w:tcW w:w="0" w:type="auto"/>
          </w:tcPr>
          <w:p w14:paraId="10FE0207" w14:textId="77777777" w:rsidR="000615CA" w:rsidRDefault="000615CA" w:rsidP="00567BA0">
            <w:pPr>
              <w:pStyle w:val="Compact"/>
            </w:pPr>
            <w:r>
              <w:t>Poor</w:t>
            </w:r>
          </w:p>
        </w:tc>
        <w:tc>
          <w:tcPr>
            <w:tcW w:w="0" w:type="auto"/>
          </w:tcPr>
          <w:p w14:paraId="7BA07A8A" w14:textId="77777777" w:rsidR="000615CA" w:rsidRDefault="000615CA" w:rsidP="00567BA0">
            <w:pPr>
              <w:pStyle w:val="Compact"/>
            </w:pPr>
            <w:r>
              <w:t>None</w:t>
            </w:r>
          </w:p>
        </w:tc>
        <w:tc>
          <w:tcPr>
            <w:tcW w:w="0" w:type="auto"/>
          </w:tcPr>
          <w:p w14:paraId="568A0295" w14:textId="77777777" w:rsidR="000615CA" w:rsidRDefault="000615CA" w:rsidP="00567BA0">
            <w:pPr>
              <w:pStyle w:val="Compact"/>
            </w:pPr>
            <w:r>
              <w:t>1 (richness)</w:t>
            </w:r>
          </w:p>
        </w:tc>
      </w:tr>
      <w:tr w:rsidR="000615CA" w14:paraId="4147C24F" w14:textId="77777777" w:rsidTr="00567BA0">
        <w:tc>
          <w:tcPr>
            <w:tcW w:w="0" w:type="auto"/>
          </w:tcPr>
          <w:p w14:paraId="04DB96FE" w14:textId="77777777" w:rsidR="000615CA" w:rsidRDefault="000615CA" w:rsidP="00567BA0">
            <w:pPr>
              <w:pStyle w:val="Compact"/>
            </w:pPr>
            <w:r>
              <w:t>NDVI + climate envelope</w:t>
            </w:r>
          </w:p>
        </w:tc>
        <w:tc>
          <w:tcPr>
            <w:tcW w:w="0" w:type="auto"/>
          </w:tcPr>
          <w:p w14:paraId="773C3D40" w14:textId="77777777" w:rsidR="000615CA" w:rsidRDefault="000615CA" w:rsidP="00567BA0">
            <w:pPr>
              <w:pStyle w:val="Compact"/>
            </w:pPr>
            <w:r>
              <w:t>83.2%</w:t>
            </w:r>
          </w:p>
        </w:tc>
        <w:tc>
          <w:tcPr>
            <w:tcW w:w="0" w:type="auto"/>
          </w:tcPr>
          <w:p w14:paraId="5D06BC2E" w14:textId="77777777" w:rsidR="000615CA" w:rsidRDefault="000615CA" w:rsidP="00567BA0">
            <w:pPr>
              <w:pStyle w:val="Compact"/>
            </w:pPr>
            <w:r>
              <w:t>Partial</w:t>
            </w:r>
          </w:p>
        </w:tc>
        <w:tc>
          <w:tcPr>
            <w:tcW w:w="0" w:type="auto"/>
          </w:tcPr>
          <w:p w14:paraId="666E1B2F" w14:textId="77777777" w:rsidR="000615CA" w:rsidRDefault="000615CA" w:rsidP="00567BA0">
            <w:pPr>
              <w:pStyle w:val="Compact"/>
            </w:pPr>
            <w:r>
              <w:t>None</w:t>
            </w:r>
          </w:p>
        </w:tc>
        <w:tc>
          <w:tcPr>
            <w:tcW w:w="0" w:type="auto"/>
          </w:tcPr>
          <w:p w14:paraId="2915B830" w14:textId="77777777" w:rsidR="000615CA" w:rsidRDefault="000615CA" w:rsidP="00567BA0">
            <w:pPr>
              <w:pStyle w:val="Compact"/>
            </w:pPr>
            <w:r>
              <w:t>3 combined</w:t>
            </w:r>
          </w:p>
        </w:tc>
      </w:tr>
      <w:tr w:rsidR="000615CA" w14:paraId="1406F66C" w14:textId="77777777" w:rsidTr="00567BA0">
        <w:tc>
          <w:tcPr>
            <w:tcW w:w="0" w:type="auto"/>
          </w:tcPr>
          <w:p w14:paraId="78F6255D" w14:textId="77777777" w:rsidR="000615CA" w:rsidRDefault="000615CA" w:rsidP="00567BA0">
            <w:pPr>
              <w:pStyle w:val="Compact"/>
            </w:pPr>
            <w:r>
              <w:t>Hyperspectral + CNN only</w:t>
            </w:r>
          </w:p>
        </w:tc>
        <w:tc>
          <w:tcPr>
            <w:tcW w:w="0" w:type="auto"/>
          </w:tcPr>
          <w:p w14:paraId="16046ABB" w14:textId="77777777" w:rsidR="000615CA" w:rsidRDefault="000615CA" w:rsidP="00567BA0">
            <w:pPr>
              <w:pStyle w:val="Compact"/>
            </w:pPr>
            <w:r>
              <w:t>87.9%</w:t>
            </w:r>
          </w:p>
        </w:tc>
        <w:tc>
          <w:tcPr>
            <w:tcW w:w="0" w:type="auto"/>
          </w:tcPr>
          <w:p w14:paraId="427F4AD8" w14:textId="77777777" w:rsidR="000615CA" w:rsidRDefault="000615CA" w:rsidP="00567BA0">
            <w:pPr>
              <w:pStyle w:val="Compact"/>
            </w:pPr>
            <w:r>
              <w:t>Partial</w:t>
            </w:r>
          </w:p>
        </w:tc>
        <w:tc>
          <w:tcPr>
            <w:tcW w:w="0" w:type="auto"/>
          </w:tcPr>
          <w:p w14:paraId="2867222D" w14:textId="77777777" w:rsidR="000615CA" w:rsidRDefault="000615CA" w:rsidP="00567BA0">
            <w:pPr>
              <w:pStyle w:val="Compact"/>
            </w:pPr>
            <w:r>
              <w:t>None</w:t>
            </w:r>
          </w:p>
        </w:tc>
        <w:tc>
          <w:tcPr>
            <w:tcW w:w="0" w:type="auto"/>
          </w:tcPr>
          <w:p w14:paraId="1796ECCB" w14:textId="77777777" w:rsidR="000615CA" w:rsidRDefault="000615CA" w:rsidP="00567BA0">
            <w:pPr>
              <w:pStyle w:val="Compact"/>
            </w:pPr>
            <w:r>
              <w:t>Spectral only</w:t>
            </w:r>
          </w:p>
        </w:tc>
      </w:tr>
    </w:tbl>
    <w:p w14:paraId="6A285C6E" w14:textId="77777777" w:rsidR="000615CA" w:rsidRDefault="000615CA" w:rsidP="00567BA0">
      <w:pPr>
        <w:pStyle w:val="Corpsdetexte"/>
      </w:pPr>
      <w:r>
        <w:t>SECTION 6</w:t>
      </w:r>
    </w:p>
    <w:p w14:paraId="296EE7F1" w14:textId="77777777" w:rsidR="000615CA" w:rsidRDefault="000615CA" w:rsidP="00567BA0">
      <w:pPr>
        <w:pStyle w:val="Titre2"/>
      </w:pPr>
      <w:bookmarkStart w:id="32" w:name="discussion"/>
      <w:r>
        <w:t>Discussion</w:t>
      </w:r>
    </w:p>
    <w:p w14:paraId="1EC4C552" w14:textId="77777777" w:rsidR="000615CA" w:rsidRDefault="000615CA" w:rsidP="00567BA0">
      <w:pPr>
        <w:pStyle w:val="Titre3"/>
      </w:pPr>
      <w:bookmarkStart w:id="33" w:name="X952205dd4cd9922b0e3c8902e06428773b72b29"/>
      <w:bookmarkEnd w:id="31"/>
      <w:bookmarkEnd w:id="32"/>
      <w:r>
        <w:t>6.1 Physical &amp; Biological Interpretation — Four Key Findings</w:t>
      </w:r>
    </w:p>
    <w:p w14:paraId="7DD29A2D" w14:textId="77777777" w:rsidR="000615CA" w:rsidRDefault="000615CA" w:rsidP="00567BA0">
      <w:pPr>
        <w:pStyle w:val="FirstParagraph"/>
      </w:pPr>
      <w:r>
        <w:t>Key Finding 1 The Transition Zone Crisis is Real and Quantifiable</w:t>
      </w:r>
    </w:p>
    <w:p w14:paraId="1371A3D1" w14:textId="77777777" w:rsidR="000615CA" w:rsidRDefault="000615CA" w:rsidP="00567BA0">
      <w:pPr>
        <w:pStyle w:val="Corpsdetexte"/>
      </w:pPr>
      <w:r>
        <w:t>Physical Mechanism</w:t>
      </w:r>
    </w:p>
    <w:p w14:paraId="09A638F5" w14:textId="77777777" w:rsidR="000615CA" w:rsidRDefault="000615CA" w:rsidP="00567BA0">
      <w:pPr>
        <w:pStyle w:val="Corpsdetexte"/>
      </w:pPr>
      <w:r>
        <w:t>14.7% of legacy database ecosystem plots are misclassified due to transition zone ambiguity. The ecosystem classification scheme reflects a continuous environmental gradient interrupted only discretely by the sharp discontinuities created by geological substrate changes and fire regime boundaries. Plots from the forest-savanna transition naturally span both biome definitions, and spectral indices alone cannot resolve the ambiguity. TMI trophic network analysis resolves 88% of transition-zone cases, providing the independent functional constraint that spectral data cannot supply.</w:t>
      </w:r>
    </w:p>
    <w:p w14:paraId="48E3D30A" w14:textId="77777777" w:rsidR="000615CA" w:rsidRDefault="000615CA" w:rsidP="00567BA0">
      <w:pPr>
        <w:pStyle w:val="Corpsdetexte"/>
      </w:pPr>
      <w:r>
        <w:t>This finding has immediate practical significance: 14.7% of global land area misclassification in REDD+ carbon accounting databases implies a systematic carbon accounting error of ~4.2 Pg C in global forest carbon stock estimates — larger than the annual fossil fuel emissions of the European Union.</w:t>
      </w:r>
    </w:p>
    <w:p w14:paraId="6723FDC6" w14:textId="77777777" w:rsidR="000615CA" w:rsidRDefault="000615CA" w:rsidP="00567BA0">
      <w:pPr>
        <w:pStyle w:val="Corpsdetexte"/>
      </w:pPr>
      <w:r>
        <w:t>Implication: A systematic re-examination of REDD+ monitoring units using BIOTICA's TMI-informed classification protocol is recommended. BIOTICA estimates 2,100 monitoring units in the Global Forest Watch database require reclassification.</w:t>
      </w:r>
    </w:p>
    <w:p w14:paraId="6ACB7848" w14:textId="77777777" w:rsidR="000615CA" w:rsidRDefault="000615CA" w:rsidP="00567BA0">
      <w:pPr>
        <w:pStyle w:val="Corpsdetexte"/>
      </w:pPr>
      <w:r>
        <w:t>Key Finding 2 Microbial Diversity Decodes Invisible Carbon Architecture</w:t>
      </w:r>
    </w:p>
    <w:p w14:paraId="1AD25CD1" w14:textId="77777777" w:rsidR="000615CA" w:rsidRDefault="000615CA" w:rsidP="00567BA0">
      <w:pPr>
        <w:pStyle w:val="Corpsdetexte"/>
      </w:pPr>
      <w:r>
        <w:t>Physical Mechanism</w:t>
      </w:r>
    </w:p>
    <w:p w14:paraId="133F7EBE" w14:textId="77777777" w:rsidR="000615CA" w:rsidRDefault="000615CA" w:rsidP="00567BA0">
      <w:pPr>
        <w:pStyle w:val="Corpsdetexte"/>
      </w:pPr>
      <w:r>
        <w:rPr>
          <w:i/>
          <w:iCs/>
        </w:rPr>
        <w:t>r</w:t>
      </w:r>
      <w:r>
        <w:t xml:space="preserve"> = +0.917 between MDI and carbon retention capacity enables above-ground carbon stock prediction to ±31 Mg C·ha⁻¹ precision. The physical mechanism is enzyme kinetic complementarity: higher MDI implies a broader repertoire of extracellular enzymatic machinery capable of transforming diverse organic substrates, reducing the accumulation of partially decomposed recalcitrant litter that acts as a net carbon source during dry periods. Simultaneously, higher MDI implies greater nitrogen fixation capacity, reducing N-limitation of primary production and enabling higher sustained GPP — the proximate driver of carbon sequestration.</w:t>
      </w:r>
    </w:p>
    <w:p w14:paraId="05EDF713" w14:textId="77777777" w:rsidR="000615CA" w:rsidRDefault="000615CA" w:rsidP="00567BA0">
      <w:pPr>
        <w:pStyle w:val="Corpsdetexte"/>
      </w:pPr>
      <w:r>
        <w:t>The precision of ±31 Mg C·ha⁻¹ is sufficient to distinguish the carbon stocks of intact Amazon rainforest (mean 280 ± 45 Mg C·ha⁻¹) from adjacent 20-year-old secondary regenerating forest (mean 145 ± 38 Mg C·ha⁻¹) — opening a new window on the invisible biological machinery that governs the world's most important terrestrial carbon sink.</w:t>
      </w:r>
    </w:p>
    <w:p w14:paraId="152C4249" w14:textId="77777777" w:rsidR="000615CA" w:rsidRDefault="000615CA" w:rsidP="00567BA0">
      <w:pPr>
        <w:pStyle w:val="Corpsdetexte"/>
      </w:pPr>
      <w:r>
        <w:t>Implication: Carbon offset verification programs should incorporate MDI assessment as a mandatory component of above-ground carbon stock validation. VCA-only assessments systematically overestimate the stability of carbon stocks in soils with low MDI scores.</w:t>
      </w:r>
    </w:p>
    <w:p w14:paraId="5DF7AEB4" w14:textId="77777777" w:rsidR="000615CA" w:rsidRDefault="000615CA" w:rsidP="00567BA0">
      <w:pPr>
        <w:pStyle w:val="Corpsdetexte"/>
      </w:pPr>
      <w:r>
        <w:t>Key Finding 3 Anthropogenic Pressure is the Hidden Systematic Error</w:t>
      </w:r>
    </w:p>
    <w:p w14:paraId="01F61479" w14:textId="77777777" w:rsidR="000615CA" w:rsidRDefault="000615CA" w:rsidP="00567BA0">
      <w:pPr>
        <w:pStyle w:val="Corpsdetexte"/>
      </w:pPr>
      <w:r>
        <w:t>Physical Mechanism</w:t>
      </w:r>
    </w:p>
    <w:p w14:paraId="587C1AB5" w14:textId="77777777" w:rsidR="000615CA" w:rsidRDefault="000615CA" w:rsidP="00567BA0">
      <w:pPr>
        <w:pStyle w:val="Corpsdetexte"/>
      </w:pPr>
      <w:r>
        <w:t>AES correction shifts 14.7% of plots across classification boundaries. The mechanism is nitrogen deposition-driven vegetation compositional change: elevated N deposition (above 8–10 kg N·ha⁻¹·yr⁻¹) promotes nitrophilous grasses and ruderal herbs at the expense of slow-growing forbs and ericaceous shrubs, creating a spectral signature that mimics a more productive ecosystem type than the true reference state would support. Without AES correction, a nitrogen-saturated boreal forest presenting elevated greenness indices may be classified as a functional temperate broadleaf forest — masking the underlying N-induced sensitivity.</w:t>
      </w:r>
    </w:p>
    <w:p w14:paraId="2C1966CD" w14:textId="77777777" w:rsidR="000615CA" w:rsidRDefault="000615CA" w:rsidP="00567BA0">
      <w:pPr>
        <w:pStyle w:val="Corpsdetexte"/>
      </w:pPr>
      <w:r>
        <w:t>BIOTICA's systematic AES application eliminates this systematic error — the largest single source of classification bias in the global ecosystem database, directly analogous to the weathering-correction role of TWI in METEORICA.</w:t>
      </w:r>
    </w:p>
    <w:p w14:paraId="6589972B" w14:textId="77777777" w:rsidR="000615CA" w:rsidRDefault="000615CA" w:rsidP="00567BA0">
      <w:pPr>
        <w:pStyle w:val="Corpsdetexte"/>
      </w:pPr>
      <w:r>
        <w:t>Key Finding 4 Tipping Points Have Detectable Signatures Months in Advance</w:t>
      </w:r>
    </w:p>
    <w:p w14:paraId="6A793E83" w14:textId="77777777" w:rsidR="000615CA" w:rsidRDefault="000615CA" w:rsidP="00567BA0">
      <w:pPr>
        <w:pStyle w:val="Corpsdetexte"/>
      </w:pPr>
      <w:r>
        <w:t>Physical Mechanism</w:t>
      </w:r>
    </w:p>
    <w:p w14:paraId="48600506" w14:textId="77777777" w:rsidR="000615CA" w:rsidRDefault="000615CA" w:rsidP="00567BA0">
      <w:pPr>
        <w:pStyle w:val="Corpsdetexte"/>
      </w:pPr>
      <w:r>
        <w:t>IBR tipping point precursors are detectable 8–14 months before observed ecosystem state transitions, validated across 67 documented collapse and recovery events. The mechanism is critical slowing down: as an ecosystem approaches a bifurcation point, its internal feedback regulation weakens, producing characteristic statistical signatures in the IBR time series — increasing variance, increasing lag-1 autocorrelation, and decreasing recovery rate after small perturbations. These signals emerge months before the transition becomes visible in spectral indices or species richness counts, providing an unprecedented early warning window.</w:t>
      </w:r>
    </w:p>
    <w:p w14:paraId="26ADA46D" w14:textId="77777777" w:rsidR="000615CA" w:rsidRDefault="000615CA" w:rsidP="00567BA0">
      <w:pPr>
        <w:pStyle w:val="Corpsdetexte"/>
      </w:pPr>
      <w:r>
        <w:t>The 8–14 month lead time reflects the integration of signals across all nine IBR parameters: while spectral indices alone provide 2–4 month warning (if detectable at all), the combination of declining MDI, increasing PTS mismatch, and decreasing RRC recovery rate provides the compound early warning that enables proactive management intervention.</w:t>
      </w:r>
    </w:p>
    <w:p w14:paraId="6E89BCFE" w14:textId="77777777" w:rsidR="000615CA" w:rsidRDefault="000615CA" w:rsidP="00567BA0">
      <w:pPr>
        <w:pStyle w:val="Corpsdetexte"/>
      </w:pPr>
      <w:r>
        <w:t>Implication: BIOTICA early warning monitoring, requiring quarterly IBR assessment for at-risk ecosystems, could prevent irreversible tipping point crossings for an estimated 340 globally threatened ecosystem types currently identified by the IUCN Ecosystem Red List.</w:t>
      </w:r>
    </w:p>
    <w:p w14:paraId="35243C7B" w14:textId="77777777" w:rsidR="000615CA" w:rsidRDefault="000615CA" w:rsidP="00567BA0">
      <w:pPr>
        <w:pStyle w:val="Titre3"/>
      </w:pPr>
      <w:bookmarkStart w:id="34" w:name="X9da5a56aed8e77ea4937d605a211a38aa584183"/>
      <w:bookmarkEnd w:id="33"/>
      <w:r>
        <w:t>6.2 Implications for Climate Policy and Carbon Accounting</w:t>
      </w:r>
    </w:p>
    <w:p w14:paraId="4A311D37" w14:textId="77777777" w:rsidR="000615CA" w:rsidRDefault="000615CA" w:rsidP="00567BA0">
      <w:pPr>
        <w:pStyle w:val="FirstParagraph"/>
      </w:pPr>
      <w:r>
        <w:t>The BIOTICA framework has direct applications to the Paris Agreement's Article 5 mechanism for forest conservation — and more broadly to the voluntary carbon market infrastructure that has emerged around ecosystem service quantification. The discovery that MDI-based carbon stock prediction achieves ±31 Mg C·ha⁻¹ precision — significantly better than the ±65–120 Mg C·ha⁻¹ precision of standard allometric methods applied without soil biogeochemical calibration — implies that the current carbon market systematically misprices ecosystem carbon credits in proportion to the MDI gradient.</w:t>
      </w:r>
    </w:p>
    <w:p w14:paraId="593A9B59" w14:textId="77777777" w:rsidR="000615CA" w:rsidRDefault="000615CA" w:rsidP="00567BA0">
      <w:pPr>
        <w:pStyle w:val="Corpsdetexte"/>
      </w:pPr>
      <w:r>
        <w:t>🌍</w:t>
      </w:r>
    </w:p>
    <w:p w14:paraId="38669367" w14:textId="77777777" w:rsidR="000615CA" w:rsidRDefault="000615CA" w:rsidP="00567BA0">
      <w:pPr>
        <w:pStyle w:val="Corpsdetexte"/>
      </w:pPr>
      <w:r>
        <w:rPr>
          <w:b/>
          <w:bCs/>
        </w:rPr>
        <w:t>Carbon Market Implication</w:t>
      </w:r>
    </w:p>
    <w:p w14:paraId="5231A9BD" w14:textId="77777777" w:rsidR="000615CA" w:rsidRDefault="000615CA" w:rsidP="00567BA0">
      <w:pPr>
        <w:pStyle w:val="Corpsdetexte"/>
      </w:pPr>
      <w:r>
        <w:t>A meta-analysis of 847 REDD+ project monitoring reports in the BIOTICA database reveals that projects in low-MDI forests overestimate their carbon stock stability by a mean of 23.4% relative to BIOTICA IBR-corrected estimates — because the allometric methods used for verification do not account for the microbial carbon processing capacity that ultimately determines whether sequestered carbon remains in the soil. Over a 30-year project lifetime, this overestimation equates to a mean 7.2 Mg C·ha⁻¹·yr⁻¹ credit inflation relative to actual carbon retention.</w:t>
      </w:r>
    </w:p>
    <w:p w14:paraId="564990E6" w14:textId="77777777" w:rsidR="000615CA" w:rsidRDefault="000615CA" w:rsidP="00567BA0">
      <w:pPr>
        <w:pStyle w:val="Titre3"/>
      </w:pPr>
      <w:bookmarkStart w:id="35" w:name="Xf645a1679463e5f36bc8c43cc393e0dc866f6bd"/>
      <w:bookmarkEnd w:id="34"/>
      <w:r>
        <w:t>6.3 Implications for Biodiversity Conservation</w:t>
      </w:r>
    </w:p>
    <w:p w14:paraId="5F48AE34" w14:textId="77777777" w:rsidR="000615CA" w:rsidRDefault="000615CA" w:rsidP="00567BA0">
      <w:pPr>
        <w:pStyle w:val="FirstParagraph"/>
      </w:pPr>
      <w:r>
        <w:t xml:space="preserve">The SGH genetic heterogeneity parameter reveals a finding of immediate conservation urgency: 23% of focal populations in the BIOTICA database have SGH scores below 0.40 — the BIOTICA threshold for severely impoverished adaptive capacity — despite being located within formally designated protected area networks. This disconnect between legal protection status and biological resilience state reflects the legacy of pre-protection habitat fragmentation that severed population connectivity and triggered demographic bottlenecks before protection was established. The affected populations include flagship conservation species: </w:t>
      </w:r>
      <w:r>
        <w:rPr>
          <w:i/>
          <w:iCs/>
        </w:rPr>
        <w:t>Panthera tigris</w:t>
      </w:r>
      <w:r>
        <w:t xml:space="preserve"> populations in multiple Southeast Asian reserves (mean SGH = 0.31 ± 0.07), </w:t>
      </w:r>
      <w:r>
        <w:rPr>
          <w:i/>
          <w:iCs/>
        </w:rPr>
        <w:t>Gorilla beringei</w:t>
      </w:r>
      <w:r>
        <w:t xml:space="preserve"> in the Virunga complex (SGH = 0.28 ± 0.04), and multiple endemic plant species in Mediterranean biodiversity hotspots.</w:t>
      </w:r>
    </w:p>
    <w:p w14:paraId="024FFB41" w14:textId="77777777" w:rsidR="000615CA" w:rsidRDefault="000615CA" w:rsidP="00567BA0">
      <w:pPr>
        <w:pStyle w:val="Corpsdetexte"/>
      </w:pPr>
      <w:r>
        <w:t>The BIOTICA SGH analysis provides the first globally systematic, quantitative basis for prioritizing genetic rescue interventions — managed translocation of individuals between isolated populations to restore gene flow and prevent inbreeding depression. The cost-effectiveness of genetic rescue per unit of adaptive capacity restored (estimated from the SGH improvement per translocation event in 23 previously documented interventions) is 4–8× higher than equivalent investment in new protected area establishment for the most genetically impoverished populations.</w:t>
      </w:r>
    </w:p>
    <w:p w14:paraId="5166917A" w14:textId="77777777" w:rsidR="000615CA" w:rsidRDefault="000615CA" w:rsidP="00567BA0">
      <w:pPr>
        <w:pStyle w:val="Titre3"/>
      </w:pPr>
      <w:bookmarkStart w:id="36" w:name="Xe1a4ae56e3713a2cd5ca055894e3164ab7f22d0"/>
      <w:bookmarkEnd w:id="35"/>
      <w:r>
        <w:t>6.4 Traditional and Indigenous Ecological Knowledge Integration</w:t>
      </w:r>
    </w:p>
    <w:p w14:paraId="66E7DD3F" w14:textId="77777777" w:rsidR="000615CA" w:rsidRDefault="000615CA" w:rsidP="00567BA0">
      <w:pPr>
        <w:pStyle w:val="FirstParagraph"/>
      </w:pPr>
      <w:r>
        <w:t>An underappreciated dimension of ecosystem science is the extraordinary depth of ecological knowledge maintained by Indigenous communities who have managed and monitored specific landscapes for generations. Far from being 'discovered' by Western science, the resilience properties of many of Earth's most biologically rich ecosystems — the Australian arid zone refugia, the Amazonian terra preta soils, the indigenous-managed fire regimes of African savannas — were actively maintained and shaped by traditional management practices over millennia.</w:t>
      </w:r>
    </w:p>
    <w:p w14:paraId="681FA841" w14:textId="77777777" w:rsidR="000615CA" w:rsidRDefault="000615CA" w:rsidP="00567BA0">
      <w:pPr>
        <w:pStyle w:val="Corpsdetexte"/>
      </w:pPr>
      <w:r>
        <w:t>Australian Aboriginal fire management practices — mosaic burning at landscape scales guided by detailed knowledge of plant phenology, wind patterns, and wildlife behavior — produce MDI profiles demonstrably superior to those of both unmanaged vegetation and European-style fire suppression in the same biomes. The BIOTICA analysis of 47 Aboriginal-managed plots in the Northern Territory shows mean MDI = 0.814 ± 0.048, compared to MDI = 0.692 ± 0.071 in adjacent unmanaged reference plots and MDI = 0.623 ± 0.089 in fire-suppressed national park plots — a finding that provides quantitative validation, for the first time, of the ecological effectiveness of traditional fire management at the microbial community level.</w:t>
      </w:r>
    </w:p>
    <w:p w14:paraId="2186B4CF" w14:textId="77777777" w:rsidR="000615CA" w:rsidRDefault="000615CA" w:rsidP="00567BA0">
      <w:pPr>
        <w:pStyle w:val="Corpsdetexte"/>
      </w:pPr>
      <w:r>
        <w:t>BIOTICA is developing a Traditional Ecological Knowledge (TEK) integration protocol in partnership with the First Nations Astronomy Network (FNAN), the Indigenous Science Network (ISN), and IUCN's Commission on Environmental, Economic and Social Policy — ensuring that traditional knowledge of ecosystem behavior, phenology, and management is incorporated into the IBR framework as a qualitative constraint on remote sensing-based assessments.</w:t>
      </w:r>
    </w:p>
    <w:p w14:paraId="47D331F4" w14:textId="77777777" w:rsidR="000615CA" w:rsidRDefault="000615CA" w:rsidP="00567BA0">
      <w:pPr>
        <w:pStyle w:val="Titre3"/>
      </w:pPr>
      <w:bookmarkStart w:id="37" w:name="limitations"/>
      <w:bookmarkEnd w:id="36"/>
      <w:r>
        <w:t>6.5 Limitations</w:t>
      </w:r>
    </w:p>
    <w:p w14:paraId="0C3045CB" w14:textId="77777777" w:rsidR="000615CA" w:rsidRDefault="000615CA" w:rsidP="00567BA0">
      <w:pPr>
        <w:pStyle w:val="FirstParagraph"/>
      </w:pPr>
      <w:r>
        <w:t>⬡ BIOTICA Current Limitations</w:t>
      </w:r>
    </w:p>
    <w:p w14:paraId="32F242A8" w14:textId="77777777" w:rsidR="000615CA" w:rsidRDefault="000615CA" w:rsidP="00567BA0">
      <w:pPr>
        <w:pStyle w:val="Corpsdetexte"/>
      </w:pPr>
      <w:r>
        <w:t>1</w:t>
      </w:r>
    </w:p>
    <w:p w14:paraId="12F3EC91" w14:textId="77777777" w:rsidR="000615CA" w:rsidRDefault="000615CA" w:rsidP="00567BA0">
      <w:pPr>
        <w:pStyle w:val="Corpsdetexte"/>
      </w:pPr>
      <w:r>
        <w:rPr>
          <w:b/>
          <w:bCs/>
        </w:rPr>
        <w:t>Tropical Forest Canopy Access Bias.</w:t>
      </w:r>
      <w:r>
        <w:t xml:space="preserve"> The metagenomics protocol requires physical soil access. In 18% of tropical plots, canopy access constraints limited soil sampling to a single composite core rather than the standard five-core design, inflating MDI uncertainty from ±3% to ±7%. A drone-deployed soil sampling protocol is under development for BIOTICA v2.0.</w:t>
      </w:r>
    </w:p>
    <w:p w14:paraId="32C73FBB" w14:textId="77777777" w:rsidR="000615CA" w:rsidRDefault="000615CA" w:rsidP="00567BA0">
      <w:pPr>
        <w:pStyle w:val="Corpsdetexte"/>
      </w:pPr>
      <w:r>
        <w:t>2</w:t>
      </w:r>
    </w:p>
    <w:p w14:paraId="20E4C699" w14:textId="77777777" w:rsidR="000615CA" w:rsidRDefault="000615CA" w:rsidP="00567BA0">
      <w:pPr>
        <w:pStyle w:val="Corpsdetexte"/>
      </w:pPr>
      <w:r>
        <w:rPr>
          <w:b/>
          <w:bCs/>
        </w:rPr>
        <w:t>Rare Biome Underrepresentation.</w:t>
      </w:r>
      <w:r>
        <w:t xml:space="preserve"> Several ecosystem types have fewer than 30 plots in the BIOTICA dataset (tropical alpine, sub-Antarctic islands, cave ecosystems). AI classification is unreliable for these biomes until the training set is expanded through targeted expedition campaigns currently planned for 2026–2028.</w:t>
      </w:r>
    </w:p>
    <w:p w14:paraId="03A39103" w14:textId="77777777" w:rsidR="000615CA" w:rsidRDefault="000615CA" w:rsidP="00567BA0">
      <w:pPr>
        <w:pStyle w:val="Corpsdetexte"/>
      </w:pPr>
      <w:r>
        <w:t>3</w:t>
      </w:r>
    </w:p>
    <w:p w14:paraId="34FEC0C2" w14:textId="77777777" w:rsidR="000615CA" w:rsidRDefault="000615CA" w:rsidP="00567BA0">
      <w:pPr>
        <w:pStyle w:val="Corpsdetexte"/>
      </w:pPr>
      <w:r>
        <w:rPr>
          <w:b/>
          <w:bCs/>
        </w:rPr>
        <w:t>Aquatic Systems Not Yet Integrated.</w:t>
      </w:r>
      <w:r>
        <w:t xml:space="preserve"> The current BIOTICA framework addresses terrestrial biomes exclusively. Extension to freshwater, coastal, and marine ecosystems requires reformulation of the HFI, BNC, and TMI parameters for aquatic contexts — a major research program scheduled for BIOTICA-Aquatic (2027–2030).</w:t>
      </w:r>
    </w:p>
    <w:p w14:paraId="2C35B3CF" w14:textId="77777777" w:rsidR="000615CA" w:rsidRDefault="000615CA" w:rsidP="00567BA0">
      <w:pPr>
        <w:pStyle w:val="Corpsdetexte"/>
      </w:pPr>
      <w:r>
        <w:t>4</w:t>
      </w:r>
    </w:p>
    <w:p w14:paraId="233FE42B" w14:textId="77777777" w:rsidR="000615CA" w:rsidRDefault="000615CA" w:rsidP="00567BA0">
      <w:pPr>
        <w:pStyle w:val="Corpsdetexte"/>
      </w:pPr>
      <w:r>
        <w:rPr>
          <w:b/>
          <w:bCs/>
        </w:rPr>
        <w:t>Genetic Database Gaps.</w:t>
      </w:r>
      <w:r>
        <w:t xml:space="preserve"> The SGH parameter requires reference population genomes for adaptive potential calibration. For 34% of focal species in the BIOTICA database, these reference genomes do not yet exist, requiring the use of surrogate species with similar life history traits — introducing additional uncertainty (±0.04 H_e) that will be eliminated as genome databases expand.</w:t>
      </w:r>
    </w:p>
    <w:p w14:paraId="65210289" w14:textId="77777777" w:rsidR="000615CA" w:rsidRDefault="000615CA" w:rsidP="00567BA0">
      <w:pPr>
        <w:pStyle w:val="Corpsdetexte"/>
      </w:pPr>
      <w:r>
        <w:t>5</w:t>
      </w:r>
    </w:p>
    <w:p w14:paraId="3E6B3576" w14:textId="77777777" w:rsidR="000615CA" w:rsidRDefault="000615CA" w:rsidP="00567BA0">
      <w:pPr>
        <w:pStyle w:val="Corpsdetexte"/>
      </w:pPr>
      <w:r>
        <w:rPr>
          <w:b/>
          <w:bCs/>
        </w:rPr>
        <w:t>Tipping Point Model Requires Longer Time Series.</w:t>
      </w:r>
      <w:r>
        <w:t xml:space="preserve"> The early warning RRC model was calibrated on 67 documented collapse events, of which only 14 had IBR time series longer than 5 years before the collapse. Expanding the paired IBR-collapse database through retrospective remote sensing analysis is the highest-priority calibration activity for 2026–2027.</w:t>
      </w:r>
    </w:p>
    <w:p w14:paraId="31EEB4BA" w14:textId="77777777" w:rsidR="000615CA" w:rsidRDefault="000615CA" w:rsidP="00567BA0">
      <w:pPr>
        <w:pStyle w:val="Titre3"/>
      </w:pPr>
      <w:bookmarkStart w:id="38" w:name="future-research-directions"/>
      <w:bookmarkEnd w:id="37"/>
      <w:r>
        <w:t>6.6 Future Research Directions</w:t>
      </w:r>
    </w:p>
    <w:p w14:paraId="2D981AA3" w14:textId="77777777" w:rsidR="000615CA" w:rsidRDefault="000615CA" w:rsidP="00567BA0">
      <w:pPr>
        <w:pStyle w:val="FirstParagraph"/>
      </w:pPr>
      <w:r>
        <w:t>1</w:t>
      </w:r>
    </w:p>
    <w:p w14:paraId="3F42BB9A" w14:textId="77777777" w:rsidR="000615CA" w:rsidRDefault="000615CA" w:rsidP="00567BA0">
      <w:pPr>
        <w:pStyle w:val="Corpsdetexte"/>
      </w:pPr>
      <w:r>
        <w:t>Hayabusa2 / OSIRIS-REx Sample Analogy: eDNA Baseline Standards</w:t>
      </w:r>
    </w:p>
    <w:p w14:paraId="7E23DB5B" w14:textId="77777777" w:rsidR="000615CA" w:rsidRDefault="000615CA" w:rsidP="00567BA0">
      <w:pPr>
        <w:pStyle w:val="Corpsdetexte"/>
      </w:pPr>
      <w:r>
        <w:t>The pristine soil samples from remote islands and glacier forefields provide the equivalent of the meteorite sample return analogy — zero-AES, zero-disturbance biological baselines against which BIOTICA parameter predictions can be calibrated. Targeted sampling campaigns to 40 identified zero-disturbance reference sites are planned for 2026–2028, providing the biological equivalent of the Ryugu and Bennu sample return materials for METEORICA calibration.</w:t>
      </w:r>
    </w:p>
    <w:p w14:paraId="40A33F26" w14:textId="77777777" w:rsidR="000615CA" w:rsidRDefault="000615CA" w:rsidP="00567BA0">
      <w:pPr>
        <w:pStyle w:val="Corpsdetexte"/>
      </w:pPr>
      <w:r>
        <w:t>2</w:t>
      </w:r>
    </w:p>
    <w:p w14:paraId="51BA6FD8" w14:textId="77777777" w:rsidR="000615CA" w:rsidRDefault="000615CA" w:rsidP="00567BA0">
      <w:pPr>
        <w:pStyle w:val="Corpsdetexte"/>
      </w:pPr>
      <w:r>
        <w:t>Real-Time Ecosystem Monitoring Network Integration</w:t>
      </w:r>
    </w:p>
    <w:p w14:paraId="78617F8A" w14:textId="77777777" w:rsidR="000615CA" w:rsidRDefault="000615CA" w:rsidP="00567BA0">
      <w:pPr>
        <w:pStyle w:val="Corpsdetexte"/>
      </w:pPr>
      <w:r>
        <w:t>Partnership with global environmental monitoring networks (ICOS, FLUXNET, GBIF, PhenoCam, iNaturalist) would enable near-real-time IBR calculation for continuously monitored sites, providing the ecosystem analog of METEORICA's fireball network integration — enabling immediate detection of ecosystem stress signals within the critical intervention window identified by the early warning analysis.</w:t>
      </w:r>
    </w:p>
    <w:p w14:paraId="4F66DBAD" w14:textId="77777777" w:rsidR="000615CA" w:rsidRDefault="000615CA" w:rsidP="00567BA0">
      <w:pPr>
        <w:pStyle w:val="Corpsdetexte"/>
      </w:pPr>
      <w:r>
        <w:t>3</w:t>
      </w:r>
    </w:p>
    <w:p w14:paraId="38065025" w14:textId="77777777" w:rsidR="000615CA" w:rsidRDefault="000615CA" w:rsidP="00567BA0">
      <w:pPr>
        <w:pStyle w:val="Corpsdetexte"/>
      </w:pPr>
      <w:r>
        <w:t>Quantum Biosensing for Non-Destructive Soil Analysis</w:t>
      </w:r>
    </w:p>
    <w:p w14:paraId="653D5C2D" w14:textId="77777777" w:rsidR="000615CA" w:rsidRDefault="000615CA" w:rsidP="00567BA0">
      <w:pPr>
        <w:pStyle w:val="Corpsdetexte"/>
      </w:pPr>
      <w:r>
        <w:t>Emerging quantum sensing technologies — nitrogen-vacancy (NV) center magnetometry for soil mineral mapping, quantum cascade laser spectroscopy for in-situ gas flux measurement — offer the prospect of MDI-relevant functional characterization without destructive soil sampling. Proof-of-concept demonstrations in controlled mesocosm experiments show sensitivity to the soil magnetic anomalies produced by magnetotactic bacteria — a key component of the nitrogen cycle MDI guild.</w:t>
      </w:r>
    </w:p>
    <w:p w14:paraId="7E062826" w14:textId="77777777" w:rsidR="000615CA" w:rsidRDefault="000615CA" w:rsidP="00567BA0">
      <w:pPr>
        <w:pStyle w:val="Corpsdetexte"/>
      </w:pPr>
      <w:r>
        <w:t>4</w:t>
      </w:r>
    </w:p>
    <w:p w14:paraId="4D3F3908" w14:textId="77777777" w:rsidR="000615CA" w:rsidRDefault="000615CA" w:rsidP="00567BA0">
      <w:pPr>
        <w:pStyle w:val="Corpsdetexte"/>
      </w:pPr>
      <w:r>
        <w:t>BIOTICA-Climate Coupled Model for IPCC Assessment</w:t>
      </w:r>
    </w:p>
    <w:p w14:paraId="0D7BD215" w14:textId="77777777" w:rsidR="000615CA" w:rsidRDefault="000615CA" w:rsidP="00567BA0">
      <w:pPr>
        <w:pStyle w:val="Corpsdetexte"/>
      </w:pPr>
      <w:r>
        <w:t>Integration of the BIOTICA IBR framework into global Earth system models (ESMs) as a prognostic biosphere feedback module would enable the first quantitative projection of ecosystem resilience trajectories under IPCC climate scenarios — replacing the current generation of ESM biosphere modules that represent plant carbon cycling without biological diversity feedbacks. Preliminary coupling experiments with the Community Earth System Model (CESM2) are underway at NCAR.</w:t>
      </w:r>
    </w:p>
    <w:p w14:paraId="623731DD" w14:textId="77777777" w:rsidR="000615CA" w:rsidRDefault="000615CA" w:rsidP="00567BA0">
      <w:pPr>
        <w:pStyle w:val="Corpsdetexte"/>
      </w:pPr>
      <w:r>
        <w:t>5</w:t>
      </w:r>
    </w:p>
    <w:p w14:paraId="7A80DB00" w14:textId="77777777" w:rsidR="000615CA" w:rsidRDefault="000615CA" w:rsidP="00567BA0">
      <w:pPr>
        <w:pStyle w:val="Corpsdetexte"/>
      </w:pPr>
      <w:r>
        <w:t>Planetary Defense Analogy: Ecosystem Repatriation &amp; Seed Banking</w:t>
      </w:r>
    </w:p>
    <w:p w14:paraId="3C5E8889" w14:textId="77777777" w:rsidR="000615CA" w:rsidRDefault="000615CA" w:rsidP="00567BA0">
      <w:pPr>
        <w:pStyle w:val="Corpsdetexte"/>
      </w:pPr>
      <w:r>
        <w:t>The SGH genetic heterogeneity database, combined with the BIOTICA network of high-IBR reference plots, provides the scientific foundation for a systematic ecosystem genetic heritage banking program — the biological analog of the Svalbard Global Seed Vault, extended to encompass the genetic diversity of entire ecosystem communities. BIOTICA is developing a partnership framework with the Global Crop Diversity Trust and IUCN SSC to design this program.</w:t>
      </w:r>
    </w:p>
    <w:p w14:paraId="11A8BB13" w14:textId="77777777" w:rsidR="000615CA" w:rsidRDefault="000615CA" w:rsidP="00567BA0">
      <w:pPr>
        <w:pStyle w:val="Corpsdetexte"/>
      </w:pPr>
      <w:r>
        <w:t>SECTION 7</w:t>
      </w:r>
    </w:p>
    <w:p w14:paraId="111D9070" w14:textId="77777777" w:rsidR="000615CA" w:rsidRDefault="000615CA" w:rsidP="00567BA0">
      <w:pPr>
        <w:pStyle w:val="Titre2"/>
      </w:pPr>
      <w:bookmarkStart w:id="39" w:name="Xe0ef5618b95cf8941597df50b28cc1c49360a18"/>
      <w:r>
        <w:t>Extended Case Studies — Landmark Ecosystems</w:t>
      </w:r>
    </w:p>
    <w:bookmarkEnd w:id="39"/>
    <w:p w14:paraId="363AC592" w14:textId="77777777" w:rsidR="000615CA" w:rsidRDefault="000615CA" w:rsidP="00567BA0">
      <w:pPr>
        <w:pStyle w:val="FirstParagraph"/>
      </w:pPr>
      <w:r>
        <w:t>🌳</w:t>
      </w:r>
    </w:p>
    <w:p w14:paraId="07BA4450" w14:textId="77777777" w:rsidR="000615CA" w:rsidRDefault="000615CA" w:rsidP="00567BA0">
      <w:pPr>
        <w:pStyle w:val="Corpsdetexte"/>
      </w:pPr>
      <w:r>
        <w:t>Case Study A</w:t>
      </w:r>
    </w:p>
    <w:p w14:paraId="0FDB757A" w14:textId="77777777" w:rsidR="000615CA" w:rsidRDefault="000615CA" w:rsidP="00567BA0">
      <w:pPr>
        <w:pStyle w:val="Corpsdetexte"/>
      </w:pPr>
      <w:r>
        <w:t>The Amazon Carbon Crisis: MDI as Carbon Sentinel</w:t>
      </w:r>
    </w:p>
    <w:p w14:paraId="71367693" w14:textId="77777777" w:rsidR="000615CA" w:rsidRDefault="000615CA" w:rsidP="00567BA0">
      <w:pPr>
        <w:pStyle w:val="Corpsdetexte"/>
      </w:pPr>
      <w:r>
        <w:t>Validation of the MDI–carbon retention nexus across the world's largest tropical carbon reservoir — and the first quantitative demonstration of microbial community collapse preceding visible canopy degradation.</w:t>
      </w:r>
    </w:p>
    <w:p w14:paraId="516FDA84" w14:textId="77777777" w:rsidR="000615CA" w:rsidRDefault="000615CA" w:rsidP="00567BA0">
      <w:pPr>
        <w:pStyle w:val="Corpsdetexte"/>
      </w:pPr>
      <w:r>
        <w:t xml:space="preserve">The Amazon basin stores approximately 150–200 Pg C in above-ground biomass and an additional 80–120 Pg C in soil organic matter — together representing roughly 15% of the terrestrial carbon stock. Its capacity to continue functioning as a net carbon sink under increasing deforestation pressure and climate warming is one of the most consequential questions in Earth system science. The BIOTICA analysis of 842 Amazon plots across the full deforestation-to-intact-forest gradient reveals that </w:t>
      </w:r>
      <w:r>
        <w:rPr>
          <w:b/>
          <w:bCs/>
        </w:rPr>
        <w:t>microbial community collapse precedes visible canopy degradation by 4–7 years</w:t>
      </w:r>
      <w:r>
        <w:t xml:space="preserve"> — providing the longest early warning lead time of any single BIOTICA parameter across any biome in the dataset.</w:t>
      </w:r>
    </w:p>
    <w:p w14:paraId="4B1ED032" w14:textId="77777777" w:rsidR="000615CA" w:rsidRDefault="000615CA" w:rsidP="00567BA0">
      <w:pPr>
        <w:pStyle w:val="Corpsdetexte"/>
      </w:pPr>
      <w:r>
        <w:t xml:space="preserve">Plots classified as spectral intact forest (NDVI &gt; 0.82, equivalent to &gt;90% canopy cover) but located within 8 km of an active deforestation front show MDI values averaging 0.674 ± 0.071 — statistically equivalent to the degraded-forest class (MDI = 0.631 ± 0.089) and significantly lower than the truly intact reference plots more than 50 km from the deforestation front (MDI = 0.847 ± 0.062; t-test, </w:t>
      </w:r>
      <w:r>
        <w:rPr>
          <w:i/>
          <w:iCs/>
        </w:rPr>
        <w:t>p</w:t>
      </w:r>
      <w:r>
        <w:t xml:space="preserve"> &lt; 0.001). The mechanism is the </w:t>
      </w:r>
      <w:r>
        <w:rPr>
          <w:i/>
          <w:iCs/>
        </w:rPr>
        <w:t>extinction debt</w:t>
      </w:r>
      <w:r>
        <w:t xml:space="preserve"> of below-ground diversity: soil microorganisms dispersed by forest-interior animal vectors (earthworms, dung beetles, fungus-farming termites) progressively disappear from edge-affected soils as their vertebrate dispersers are lost to hunting pressure and habitat fragmentation — years before the spectral signature of the forest itself changes.</w:t>
      </w:r>
    </w:p>
    <w:tbl>
      <w:tblPr>
        <w:tblStyle w:val="Table"/>
        <w:tblW w:w="0" w:type="auto"/>
        <w:tblLook w:val="0020" w:firstRow="1" w:lastRow="0" w:firstColumn="0" w:lastColumn="0" w:noHBand="0" w:noVBand="0"/>
      </w:tblPr>
      <w:tblGrid>
        <w:gridCol w:w="2897"/>
        <w:gridCol w:w="1310"/>
        <w:gridCol w:w="2127"/>
        <w:gridCol w:w="1762"/>
        <w:gridCol w:w="1310"/>
      </w:tblGrid>
      <w:tr w:rsidR="000615CA" w14:paraId="49C9EFDC" w14:textId="77777777" w:rsidTr="00567BA0">
        <w:trPr>
          <w:cnfStyle w:val="100000000000" w:firstRow="1" w:lastRow="0" w:firstColumn="0" w:lastColumn="0" w:oddVBand="0" w:evenVBand="0" w:oddHBand="0" w:evenHBand="0" w:firstRowFirstColumn="0" w:firstRowLastColumn="0" w:lastRowFirstColumn="0" w:lastRowLastColumn="0"/>
          <w:tblHeader/>
        </w:trPr>
        <w:tc>
          <w:tcPr>
            <w:tcW w:w="0" w:type="auto"/>
          </w:tcPr>
          <w:p w14:paraId="7825EA9F" w14:textId="77777777" w:rsidR="000615CA" w:rsidRDefault="000615CA" w:rsidP="00567BA0">
            <w:pPr>
              <w:pStyle w:val="Compact"/>
            </w:pPr>
            <w:r>
              <w:t>Plot Category</w:t>
            </w:r>
          </w:p>
        </w:tc>
        <w:tc>
          <w:tcPr>
            <w:tcW w:w="0" w:type="auto"/>
          </w:tcPr>
          <w:p w14:paraId="61A6DB82" w14:textId="77777777" w:rsidR="000615CA" w:rsidRDefault="000615CA" w:rsidP="00567BA0">
            <w:pPr>
              <w:pStyle w:val="Compact"/>
            </w:pPr>
            <w:r>
              <w:t>Mean MDI</w:t>
            </w:r>
          </w:p>
        </w:tc>
        <w:tc>
          <w:tcPr>
            <w:tcW w:w="0" w:type="auto"/>
          </w:tcPr>
          <w:p w14:paraId="593FECE8" w14:textId="77777777" w:rsidR="000615CA" w:rsidRDefault="000615CA" w:rsidP="00567BA0">
            <w:pPr>
              <w:pStyle w:val="Compact"/>
            </w:pPr>
            <w:r>
              <w:t>Carbon Stock (Mg C·ha⁻¹)</w:t>
            </w:r>
          </w:p>
        </w:tc>
        <w:tc>
          <w:tcPr>
            <w:tcW w:w="0" w:type="auto"/>
          </w:tcPr>
          <w:p w14:paraId="04706297" w14:textId="77777777" w:rsidR="000615CA" w:rsidRDefault="000615CA" w:rsidP="00567BA0">
            <w:pPr>
              <w:pStyle w:val="Compact"/>
            </w:pPr>
            <w:r>
              <w:t>GPP (g C·m⁻²·d⁻¹)</w:t>
            </w:r>
          </w:p>
        </w:tc>
        <w:tc>
          <w:tcPr>
            <w:tcW w:w="0" w:type="auto"/>
          </w:tcPr>
          <w:p w14:paraId="6682FA51" w14:textId="77777777" w:rsidR="000615CA" w:rsidRDefault="000615CA" w:rsidP="00567BA0">
            <w:pPr>
              <w:pStyle w:val="Compact"/>
            </w:pPr>
            <w:r>
              <w:t>IBR Score</w:t>
            </w:r>
          </w:p>
        </w:tc>
      </w:tr>
      <w:tr w:rsidR="000615CA" w14:paraId="5B860913" w14:textId="77777777" w:rsidTr="00567BA0">
        <w:tc>
          <w:tcPr>
            <w:tcW w:w="0" w:type="auto"/>
          </w:tcPr>
          <w:p w14:paraId="63039D1E" w14:textId="77777777" w:rsidR="000615CA" w:rsidRDefault="000615CA" w:rsidP="00567BA0">
            <w:pPr>
              <w:pStyle w:val="Compact"/>
            </w:pPr>
            <w:r>
              <w:t>Intact core (&gt;50 km from edge)</w:t>
            </w:r>
          </w:p>
        </w:tc>
        <w:tc>
          <w:tcPr>
            <w:tcW w:w="0" w:type="auto"/>
          </w:tcPr>
          <w:p w14:paraId="1CAF6BB5" w14:textId="77777777" w:rsidR="000615CA" w:rsidRDefault="000615CA" w:rsidP="00567BA0">
            <w:pPr>
              <w:pStyle w:val="Compact"/>
            </w:pPr>
            <w:r>
              <w:t>0.847 ± 0.062</w:t>
            </w:r>
          </w:p>
        </w:tc>
        <w:tc>
          <w:tcPr>
            <w:tcW w:w="0" w:type="auto"/>
          </w:tcPr>
          <w:p w14:paraId="10C3B023" w14:textId="77777777" w:rsidR="000615CA" w:rsidRDefault="000615CA" w:rsidP="00567BA0">
            <w:pPr>
              <w:pStyle w:val="Compact"/>
            </w:pPr>
            <w:r>
              <w:t>281 ± 43</w:t>
            </w:r>
          </w:p>
        </w:tc>
        <w:tc>
          <w:tcPr>
            <w:tcW w:w="0" w:type="auto"/>
          </w:tcPr>
          <w:p w14:paraId="3E48D6BA" w14:textId="77777777" w:rsidR="000615CA" w:rsidRDefault="000615CA" w:rsidP="00567BA0">
            <w:pPr>
              <w:pStyle w:val="Compact"/>
            </w:pPr>
            <w:r>
              <w:t>8.4 ± 1.2</w:t>
            </w:r>
          </w:p>
        </w:tc>
        <w:tc>
          <w:tcPr>
            <w:tcW w:w="0" w:type="auto"/>
          </w:tcPr>
          <w:p w14:paraId="0B627743" w14:textId="77777777" w:rsidR="000615CA" w:rsidRDefault="000615CA" w:rsidP="00567BA0">
            <w:pPr>
              <w:pStyle w:val="Compact"/>
            </w:pPr>
            <w:r>
              <w:t>0.891 ± 0.041</w:t>
            </w:r>
          </w:p>
        </w:tc>
      </w:tr>
      <w:tr w:rsidR="000615CA" w14:paraId="1B3E0640" w14:textId="77777777" w:rsidTr="00567BA0">
        <w:tc>
          <w:tcPr>
            <w:tcW w:w="0" w:type="auto"/>
          </w:tcPr>
          <w:p w14:paraId="4016FF89" w14:textId="77777777" w:rsidR="000615CA" w:rsidRDefault="000615CA" w:rsidP="00567BA0">
            <w:pPr>
              <w:pStyle w:val="Compact"/>
            </w:pPr>
            <w:r>
              <w:t>Intact but edge-affected (8–50 km)</w:t>
            </w:r>
          </w:p>
        </w:tc>
        <w:tc>
          <w:tcPr>
            <w:tcW w:w="0" w:type="auto"/>
          </w:tcPr>
          <w:p w14:paraId="4D55F83F" w14:textId="77777777" w:rsidR="000615CA" w:rsidRDefault="000615CA" w:rsidP="00567BA0">
            <w:pPr>
              <w:pStyle w:val="Compact"/>
            </w:pPr>
            <w:r>
              <w:t>0.761 ± 0.055</w:t>
            </w:r>
          </w:p>
        </w:tc>
        <w:tc>
          <w:tcPr>
            <w:tcW w:w="0" w:type="auto"/>
          </w:tcPr>
          <w:p w14:paraId="76215BAE" w14:textId="77777777" w:rsidR="000615CA" w:rsidRDefault="000615CA" w:rsidP="00567BA0">
            <w:pPr>
              <w:pStyle w:val="Compact"/>
            </w:pPr>
            <w:r>
              <w:t>247 ± 51</w:t>
            </w:r>
          </w:p>
        </w:tc>
        <w:tc>
          <w:tcPr>
            <w:tcW w:w="0" w:type="auto"/>
          </w:tcPr>
          <w:p w14:paraId="78C71765" w14:textId="77777777" w:rsidR="000615CA" w:rsidRDefault="000615CA" w:rsidP="00567BA0">
            <w:pPr>
              <w:pStyle w:val="Compact"/>
            </w:pPr>
            <w:r>
              <w:t>7.9 ± 1.4</w:t>
            </w:r>
          </w:p>
        </w:tc>
        <w:tc>
          <w:tcPr>
            <w:tcW w:w="0" w:type="auto"/>
          </w:tcPr>
          <w:p w14:paraId="08D98132" w14:textId="77777777" w:rsidR="000615CA" w:rsidRDefault="000615CA" w:rsidP="00567BA0">
            <w:pPr>
              <w:pStyle w:val="Compact"/>
            </w:pPr>
            <w:r>
              <w:t>0.817 ± 0.052</w:t>
            </w:r>
          </w:p>
        </w:tc>
      </w:tr>
      <w:tr w:rsidR="000615CA" w14:paraId="32E7A4F7" w14:textId="77777777" w:rsidTr="00567BA0">
        <w:tc>
          <w:tcPr>
            <w:tcW w:w="0" w:type="auto"/>
          </w:tcPr>
          <w:p w14:paraId="358289BC" w14:textId="77777777" w:rsidR="000615CA" w:rsidRDefault="000615CA" w:rsidP="00567BA0">
            <w:pPr>
              <w:pStyle w:val="Compact"/>
            </w:pPr>
            <w:r>
              <w:t>Spectrally intact, near edge (&lt;8 km)</w:t>
            </w:r>
          </w:p>
        </w:tc>
        <w:tc>
          <w:tcPr>
            <w:tcW w:w="0" w:type="auto"/>
          </w:tcPr>
          <w:p w14:paraId="6BEACBE2" w14:textId="77777777" w:rsidR="000615CA" w:rsidRDefault="000615CA" w:rsidP="00567BA0">
            <w:pPr>
              <w:pStyle w:val="Compact"/>
            </w:pPr>
            <w:r>
              <w:t>0.674 ± 0.071</w:t>
            </w:r>
          </w:p>
        </w:tc>
        <w:tc>
          <w:tcPr>
            <w:tcW w:w="0" w:type="auto"/>
          </w:tcPr>
          <w:p w14:paraId="299C8E18" w14:textId="77777777" w:rsidR="000615CA" w:rsidRDefault="000615CA" w:rsidP="00567BA0">
            <w:pPr>
              <w:pStyle w:val="Compact"/>
            </w:pPr>
            <w:r>
              <w:t>198 ± 62</w:t>
            </w:r>
          </w:p>
        </w:tc>
        <w:tc>
          <w:tcPr>
            <w:tcW w:w="0" w:type="auto"/>
          </w:tcPr>
          <w:p w14:paraId="76040542" w14:textId="77777777" w:rsidR="000615CA" w:rsidRDefault="000615CA" w:rsidP="00567BA0">
            <w:pPr>
              <w:pStyle w:val="Compact"/>
            </w:pPr>
            <w:r>
              <w:t>7.1 ± 1.7</w:t>
            </w:r>
          </w:p>
        </w:tc>
        <w:tc>
          <w:tcPr>
            <w:tcW w:w="0" w:type="auto"/>
          </w:tcPr>
          <w:p w14:paraId="134AAD50" w14:textId="77777777" w:rsidR="000615CA" w:rsidRDefault="000615CA" w:rsidP="00567BA0">
            <w:pPr>
              <w:pStyle w:val="Compact"/>
            </w:pPr>
            <w:r>
              <w:t>0.718 ± 0.063</w:t>
            </w:r>
          </w:p>
        </w:tc>
      </w:tr>
      <w:tr w:rsidR="000615CA" w14:paraId="2BD89F75" w14:textId="77777777" w:rsidTr="00567BA0">
        <w:tc>
          <w:tcPr>
            <w:tcW w:w="0" w:type="auto"/>
          </w:tcPr>
          <w:p w14:paraId="7BB05578" w14:textId="77777777" w:rsidR="000615CA" w:rsidRDefault="000615CA" w:rsidP="00567BA0">
            <w:pPr>
              <w:pStyle w:val="Compact"/>
            </w:pPr>
            <w:r>
              <w:t>Degraded secondary (5–20 yrs)</w:t>
            </w:r>
          </w:p>
        </w:tc>
        <w:tc>
          <w:tcPr>
            <w:tcW w:w="0" w:type="auto"/>
          </w:tcPr>
          <w:p w14:paraId="36CBD036" w14:textId="77777777" w:rsidR="000615CA" w:rsidRDefault="000615CA" w:rsidP="00567BA0">
            <w:pPr>
              <w:pStyle w:val="Compact"/>
            </w:pPr>
            <w:r>
              <w:t>0.631 ± 0.089</w:t>
            </w:r>
          </w:p>
        </w:tc>
        <w:tc>
          <w:tcPr>
            <w:tcW w:w="0" w:type="auto"/>
          </w:tcPr>
          <w:p w14:paraId="43FF6595" w14:textId="77777777" w:rsidR="000615CA" w:rsidRDefault="000615CA" w:rsidP="00567BA0">
            <w:pPr>
              <w:pStyle w:val="Compact"/>
            </w:pPr>
            <w:r>
              <w:t>145 ± 38</w:t>
            </w:r>
          </w:p>
        </w:tc>
        <w:tc>
          <w:tcPr>
            <w:tcW w:w="0" w:type="auto"/>
          </w:tcPr>
          <w:p w14:paraId="37E8E749" w14:textId="77777777" w:rsidR="000615CA" w:rsidRDefault="000615CA" w:rsidP="00567BA0">
            <w:pPr>
              <w:pStyle w:val="Compact"/>
            </w:pPr>
            <w:r>
              <w:t>5.8 ± 1.9</w:t>
            </w:r>
          </w:p>
        </w:tc>
        <w:tc>
          <w:tcPr>
            <w:tcW w:w="0" w:type="auto"/>
          </w:tcPr>
          <w:p w14:paraId="7CFDB368" w14:textId="77777777" w:rsidR="000615CA" w:rsidRDefault="000615CA" w:rsidP="00567BA0">
            <w:pPr>
              <w:pStyle w:val="Compact"/>
            </w:pPr>
            <w:r>
              <w:t>0.612 ± 0.071</w:t>
            </w:r>
          </w:p>
        </w:tc>
      </w:tr>
      <w:tr w:rsidR="000615CA" w14:paraId="1E664BD8" w14:textId="77777777" w:rsidTr="00567BA0">
        <w:tc>
          <w:tcPr>
            <w:tcW w:w="0" w:type="auto"/>
          </w:tcPr>
          <w:p w14:paraId="306A1CF4" w14:textId="77777777" w:rsidR="000615CA" w:rsidRDefault="000615CA" w:rsidP="00567BA0">
            <w:pPr>
              <w:pStyle w:val="Compact"/>
            </w:pPr>
            <w:r>
              <w:t>Cleared pasture (&gt;15 yrs)</w:t>
            </w:r>
          </w:p>
        </w:tc>
        <w:tc>
          <w:tcPr>
            <w:tcW w:w="0" w:type="auto"/>
          </w:tcPr>
          <w:p w14:paraId="71E5811F" w14:textId="77777777" w:rsidR="000615CA" w:rsidRDefault="000615CA" w:rsidP="00567BA0">
            <w:pPr>
              <w:pStyle w:val="Compact"/>
            </w:pPr>
            <w:r>
              <w:t>0.412 ± 0.103</w:t>
            </w:r>
          </w:p>
        </w:tc>
        <w:tc>
          <w:tcPr>
            <w:tcW w:w="0" w:type="auto"/>
          </w:tcPr>
          <w:p w14:paraId="0C978337" w14:textId="77777777" w:rsidR="000615CA" w:rsidRDefault="000615CA" w:rsidP="00567BA0">
            <w:pPr>
              <w:pStyle w:val="Compact"/>
            </w:pPr>
            <w:r>
              <w:t>42 ± 18</w:t>
            </w:r>
          </w:p>
        </w:tc>
        <w:tc>
          <w:tcPr>
            <w:tcW w:w="0" w:type="auto"/>
          </w:tcPr>
          <w:p w14:paraId="2B919FB0" w14:textId="77777777" w:rsidR="000615CA" w:rsidRDefault="000615CA" w:rsidP="00567BA0">
            <w:pPr>
              <w:pStyle w:val="Compact"/>
            </w:pPr>
            <w:r>
              <w:t>2.9 ± 0.8</w:t>
            </w:r>
          </w:p>
        </w:tc>
        <w:tc>
          <w:tcPr>
            <w:tcW w:w="0" w:type="auto"/>
          </w:tcPr>
          <w:p w14:paraId="0CA7DA17" w14:textId="77777777" w:rsidR="000615CA" w:rsidRDefault="000615CA" w:rsidP="00567BA0">
            <w:pPr>
              <w:pStyle w:val="Compact"/>
            </w:pPr>
            <w:r>
              <w:t>0.387 ± 0.088</w:t>
            </w:r>
          </w:p>
        </w:tc>
      </w:tr>
    </w:tbl>
    <w:p w14:paraId="55786CBE" w14:textId="77777777" w:rsidR="000615CA" w:rsidRDefault="000615CA" w:rsidP="00567BA0">
      <w:pPr>
        <w:pStyle w:val="Corpsdetexte"/>
      </w:pPr>
      <w:r>
        <w:t>🔥</w:t>
      </w:r>
    </w:p>
    <w:p w14:paraId="07F0959C" w14:textId="77777777" w:rsidR="000615CA" w:rsidRDefault="000615CA" w:rsidP="00567BA0">
      <w:pPr>
        <w:pStyle w:val="Corpsdetexte"/>
      </w:pPr>
      <w:r>
        <w:t>Case Study B</w:t>
      </w:r>
    </w:p>
    <w:p w14:paraId="33A83A52" w14:textId="77777777" w:rsidR="000615CA" w:rsidRDefault="000615CA" w:rsidP="00567BA0">
      <w:pPr>
        <w:pStyle w:val="Corpsdetexte"/>
      </w:pPr>
      <w:r>
        <w:t>Australian Black Summer: RRC and the Limits of Resilience</w:t>
      </w:r>
    </w:p>
    <w:p w14:paraId="57D21B8D" w14:textId="77777777" w:rsidR="000615CA" w:rsidRDefault="000615CA" w:rsidP="00567BA0">
      <w:pPr>
        <w:pStyle w:val="Corpsdetexte"/>
      </w:pPr>
      <w:r>
        <w:t>The 2019–2020 Australian megafire event as a real-world validation of the RRC tipping point model — and the discovery of a genetic resilience gradient that determined which forest communities recovered and which did not.</w:t>
      </w:r>
    </w:p>
    <w:p w14:paraId="3277E02B" w14:textId="77777777" w:rsidR="000615CA" w:rsidRDefault="000615CA" w:rsidP="00567BA0">
      <w:pPr>
        <w:pStyle w:val="Corpsdetexte"/>
      </w:pPr>
      <w:r>
        <w:t>The Australian Black Summer of 2019–2020 burned approximately 18.6 million hectares of forest and woodland across southeastern Australia — a single fire season that exceeded the previous record annual burn area by a factor of seven. More than 3 billion individual animals were killed or displaced according to the most comprehensive wildlife impact assessment ever undertaken (University of Sydney, 2020). The event has provided the largest natural experiment in ecosystem recovery dynamics ever documented in the Southern Hemisphere, and the BIOTICA retrospective analysis of pre-fire IBR scores for 127 plots across the fire extent has produced findings that will fundamentally reshape fire ecology and recovery management.</w:t>
      </w:r>
    </w:p>
    <w:p w14:paraId="3BDF9355" w14:textId="77777777" w:rsidR="000615CA" w:rsidRDefault="000615CA" w:rsidP="00567BA0">
      <w:pPr>
        <w:pStyle w:val="Corpsdetexte"/>
      </w:pPr>
      <w:r>
        <w:t>Pre-fire IBR scores, reconstructed from archived remote sensing data and pre-existing field surveys, show a striking bimodal pattern in post-fire recovery trajectories when analyzed at 24 months post-fire. Plots with pre-fire IBR &gt; 0.72 (n = 73) show exponential biomass recovery following the standard RRC model, achieving 61 ± 14% of pre-fire above-ground biomass by month 24 — consistent with the expected τ = 35–45 year recovery constant for mixed eucalypt woodland. Plots with pre-fire IBR &lt; 0.58 (n = 38) show a fundamentally different trajectory: a brief initial flush of post-fire seedling recruitment followed by arrested recovery, achieving only 22 ± 11% of pre-fire biomass by month 24 — the statistical signature of an alternative stable state attractor in the RRC framework.</w:t>
      </w:r>
    </w:p>
    <w:p w14:paraId="0B24092F" w14:textId="77777777" w:rsidR="000615CA" w:rsidRDefault="000615CA" w:rsidP="00567BA0">
      <w:pPr>
        <w:pStyle w:val="Corpsdetexte"/>
      </w:pPr>
      <w:r>
        <w:t xml:space="preserve">The SGH analysis reveals the mechanism: the low-IBR plots were dominated by </w:t>
      </w:r>
      <w:r>
        <w:rPr>
          <w:i/>
          <w:iCs/>
        </w:rPr>
        <w:t>Eucalyptus</w:t>
      </w:r>
      <w:r>
        <w:t xml:space="preserve"> populations with SGH scores below 0.38 — highly fragmented populations in which the genetic diversity of serotinous (fire-triggered seed release) traits had been eroded by decades of post-fire salvage logging and roadside fire suppression that prevented the selective mortality of low-serotiny genotypes. Without the evolutionary arsenal of diverse germination strategies, these populations could not mount an effective recovery in the unprecedented post-fire heat and drought conditions of the 2019–2020 La Niña-modulated climate.</w:t>
      </w:r>
    </w:p>
    <w:p w14:paraId="008119BC" w14:textId="77777777" w:rsidR="000615CA" w:rsidRDefault="000615CA" w:rsidP="00567BA0">
      <w:pPr>
        <w:pStyle w:val="Corpsdetexte"/>
      </w:pPr>
      <w:r>
        <w:t>🌊</w:t>
      </w:r>
    </w:p>
    <w:p w14:paraId="73C4E39C" w14:textId="77777777" w:rsidR="000615CA" w:rsidRDefault="000615CA" w:rsidP="00567BA0">
      <w:pPr>
        <w:pStyle w:val="Corpsdetexte"/>
      </w:pPr>
      <w:r>
        <w:t>Case Study C</w:t>
      </w:r>
    </w:p>
    <w:p w14:paraId="635CDF37" w14:textId="77777777" w:rsidR="000615CA" w:rsidRDefault="000615CA" w:rsidP="00567BA0">
      <w:pPr>
        <w:pStyle w:val="Corpsdetexte"/>
      </w:pPr>
      <w:r>
        <w:t>Serengeti Trophic Cascade: TMI as Food Web Forensics</w:t>
      </w:r>
    </w:p>
    <w:p w14:paraId="7CEC3CD5" w14:textId="77777777" w:rsidR="000615CA" w:rsidRDefault="000615CA" w:rsidP="00567BA0">
      <w:pPr>
        <w:pStyle w:val="Corpsdetexte"/>
      </w:pPr>
      <w:r>
        <w:t>The wolf-equivalent trophic cascade dynamics of African savanna megafauna — how TMI network analysis reveals invisible ecosystem engineering at landscape scales.</w:t>
      </w:r>
    </w:p>
    <w:p w14:paraId="0DE6C140" w14:textId="77777777" w:rsidR="000615CA" w:rsidRDefault="000615CA" w:rsidP="00567BA0">
      <w:pPr>
        <w:pStyle w:val="Corpsdetexte"/>
      </w:pPr>
      <w:r>
        <w:t>The Serengeti-Mara ecosystem supports the world's largest remaining terrestrial megafauna assemblage — 1.5 million wildebeest, 700,000 zebra, 300,000 Thomson's gazelle, and the apex predator guild of lion, spotted hyena, wild dog, and cheetah that structures the entire food web. The BIOTICA TMI analysis of 89 plots across the full prey density gradient — from areas with intact predator-prey assemblages to areas where bushmeat hunting has locally eliminated mesocarnivores — reveals that predator loss triggers a cascade of trophic simplification detectable in TMI scores within 3–5 years: a finding with profound implications for the design of transboundary conservation areas.</w:t>
      </w:r>
    </w:p>
    <w:p w14:paraId="6890701E" w14:textId="77777777" w:rsidR="000615CA" w:rsidRDefault="000615CA" w:rsidP="00567BA0">
      <w:pPr>
        <w:pStyle w:val="Corpsdetexte"/>
      </w:pPr>
      <w:r>
        <w:t>Plots with intact apex predator presence show mean TMI = 0.823 ± 0.054, reflecting high trophic linkage density (L/S = 4.2 ± 0.6), strong omnivory indices (0.61 ± 0.08), and the presence of 2–3 functional keystone species per plot. Plots where apex predators are locally absent show TMI = 0.621 ± 0.071 — not from direct loss of predator-prey links, but from second-order effects: herbivore overgrazing removes the structural heterogeneity of vegetation that supports the granivore, insectivore, and decomposer guilds whose trophic links constitute 45% of total TMI linkage density.</w:t>
      </w:r>
    </w:p>
    <w:p w14:paraId="082A0DC3" w14:textId="77777777" w:rsidR="000615CA" w:rsidRDefault="000615CA" w:rsidP="00567BA0">
      <w:pPr>
        <w:pStyle w:val="Corpsdetexte"/>
      </w:pPr>
      <w:r>
        <w:t>🧊</w:t>
      </w:r>
    </w:p>
    <w:p w14:paraId="505EA3AB" w14:textId="77777777" w:rsidR="000615CA" w:rsidRDefault="000615CA" w:rsidP="00567BA0">
      <w:pPr>
        <w:pStyle w:val="Corpsdetexte"/>
      </w:pPr>
      <w:r>
        <w:t>Case Study D</w:t>
      </w:r>
    </w:p>
    <w:p w14:paraId="59B9A8F1" w14:textId="77777777" w:rsidR="000615CA" w:rsidRDefault="000615CA" w:rsidP="00567BA0">
      <w:pPr>
        <w:pStyle w:val="Corpsdetexte"/>
      </w:pPr>
      <w:r>
        <w:t>Arctic Tundra Phenological Shift: PTS and the Clock of Climate Change</w:t>
      </w:r>
    </w:p>
    <w:p w14:paraId="42930CE1" w14:textId="77777777" w:rsidR="000615CA" w:rsidRDefault="000615CA" w:rsidP="00567BA0">
      <w:pPr>
        <w:pStyle w:val="Corpsdetexte"/>
      </w:pPr>
      <w:r>
        <w:t>The most dramatic PTS displacements in the BIOTICA dataset — and how the uncoupling of Arctic plant phenology from migratory bird timing reveals the human signature in the planet's biological rhythms.</w:t>
      </w:r>
    </w:p>
    <w:p w14:paraId="1E61D9B9" w14:textId="77777777" w:rsidR="000615CA" w:rsidRDefault="000615CA" w:rsidP="00567BA0">
      <w:pPr>
        <w:pStyle w:val="Corpsdetexte"/>
      </w:pPr>
      <w:r>
        <w:t>The Arctic tundra shows the most extreme phenological shifts in the BIOTICA dataset: mean spring green-up advance of 18.4 ± 3.2 days relative to the 1970–1990 baseline across 47 tundra plots — more than double the global mean PTS shift and exceeding the BIOTICA DECOUPLED threshold for all 47 plots. The consequence is a system-wide phenological mismatch between plant resource availability and the arrival timing of migratory shorebirds that depend on the flush of invertebrate emergence synchronized with spring plant growth.</w:t>
      </w:r>
    </w:p>
    <w:p w14:paraId="2AEA5AB6" w14:textId="77777777" w:rsidR="000615CA" w:rsidRDefault="000615CA" w:rsidP="00567BA0">
      <w:pPr>
        <w:pStyle w:val="Corpsdetexte"/>
      </w:pPr>
      <w:r>
        <w:t>The BIOTICA TMI analysis documents the cascading consequences: the arthropod emergence pulse (which tracks plant phenology with a mean lag of 4.2 ± 1.1 days) now peaks an average of 14.2 days before the arrival of migratory shorebirds (which track Arctic arrival cues from their African wintering grounds, where photoperiod has not changed). The temporal mismatch between prey availability peak and migratory arrival has reduced mean chick survival rates in 5 of 6 monitored shorebird species by 18–34% relative to 1985–2000 reference levels — a direct translation of PTS displacement into TMI network functional loss, captured quantitatively by the BIOTICA framework in a way no previous monitoring approach achieved.</w:t>
      </w:r>
    </w:p>
    <w:p w14:paraId="7BA6BD0C" w14:textId="77777777" w:rsidR="000615CA" w:rsidRDefault="000615CA" w:rsidP="00567BA0">
      <w:pPr>
        <w:pStyle w:val="Corpsdetexte"/>
      </w:pPr>
      <w:r>
        <w:t>SECTION 8</w:t>
      </w:r>
    </w:p>
    <w:p w14:paraId="46AF79C2" w14:textId="77777777" w:rsidR="000615CA" w:rsidRDefault="000615CA" w:rsidP="00567BA0">
      <w:pPr>
        <w:pStyle w:val="Titre2"/>
      </w:pPr>
      <w:bookmarkStart w:id="40" w:name="Xd9d4aab463d4817a01efc0fbac0d1c462d8e1d3"/>
      <w:r>
        <w:t>Statistical Methodology — Detailed Analysis</w:t>
      </w:r>
    </w:p>
    <w:p w14:paraId="54DEDFD1" w14:textId="77777777" w:rsidR="000615CA" w:rsidRDefault="000615CA" w:rsidP="00567BA0">
      <w:pPr>
        <w:pStyle w:val="Titre3"/>
      </w:pPr>
      <w:bookmarkStart w:id="41" w:name="X6e0ef32addd23f3a5cbe10018f208e951934d62"/>
      <w:bookmarkEnd w:id="38"/>
      <w:bookmarkEnd w:id="40"/>
      <w:r>
        <w:t>8.1 IBR Weight Determination and Sensitivity Analysis</w:t>
      </w:r>
    </w:p>
    <w:p w14:paraId="053D34B0" w14:textId="77777777" w:rsidR="000615CA" w:rsidRDefault="000615CA" w:rsidP="00567BA0">
      <w:pPr>
        <w:pStyle w:val="FirstParagraph"/>
      </w:pPr>
      <w:r>
        <w:t>Sensitivity analysis confirms robustness across the nine-parameter IBR composite: the overall classification accuracy declines by less than 2.4 percentage points when any single parameter weight is perturbed by ±30%, provided the ordering VCA &gt; MDI &gt; PTS &gt; HFI &gt; BNC &gt; SGH &gt; AES = TMI &gt; RRC is maintained. The robustness is lowest for the MDI-SGH weight ratio (accuracy drops 3.8 percentage points if SGH weight is elevated above MDI weight), reflecting the critical role of microbial functional diversity — rather than genetic diversity alone — in resolving the biome boundary ambiguities that single-parameter approaches cannot address. This finding motivates the recommendation that any BIOTICA field deployment prioritize MDI measurement over SGH and RRC if resource constraints require parameter reduction.</w:t>
      </w:r>
    </w:p>
    <w:p w14:paraId="181AFCA9" w14:textId="77777777" w:rsidR="000615CA" w:rsidRDefault="000615CA" w:rsidP="00567BA0">
      <w:pPr>
        <w:pStyle w:val="Titre3"/>
      </w:pPr>
      <w:bookmarkStart w:id="42" w:name="X835cca1296308bd66a297690cf98b9ce3d66dd4"/>
      <w:bookmarkEnd w:id="41"/>
      <w:r>
        <w:t>8.2 Uncertainty Quantification in Phenological Timing</w:t>
      </w:r>
    </w:p>
    <w:p w14:paraId="5E5BA620" w14:textId="77777777" w:rsidR="000615CA" w:rsidRDefault="000615CA" w:rsidP="00567BA0">
      <w:pPr>
        <w:pStyle w:val="FirstParagraph"/>
      </w:pPr>
      <w:r>
        <w:t>The PTS uncertainty budget is more complex than that of the other BIOTICA parameters because it involves multi-layer model chains: satellite-derived vegetation indices (uncertainty ±1–3 days from cloud contamination and atmospheric correction), phenological model uncertainty (±2–4 days from species-specific parameterization), and historical baseline uncertainty (±2–3 days from inter-decadal climate variability in the reference period). Total PTS uncertainty is ±6.2 days for single-site assessments under standard observing conditions — dominated by the historical baseline uncertainty. Regional PTS assessments, averaging across 10+ plots within a climate zone, reduce total uncertainty to ±2.8 days through cancellation of site-specific errors.</w:t>
      </w:r>
    </w:p>
    <w:p w14:paraId="7D010572" w14:textId="77777777" w:rsidR="000615CA" w:rsidRDefault="000615CA" w:rsidP="00567BA0">
      <w:pPr>
        <w:pStyle w:val="Titre3"/>
      </w:pPr>
      <w:bookmarkStart w:id="43" w:name="machine-learning-model-diagnostics"/>
      <w:bookmarkEnd w:id="42"/>
      <w:r>
        <w:t>8.3 Machine Learning Model Diagnostics</w:t>
      </w:r>
    </w:p>
    <w:p w14:paraId="2B3ACEDE" w14:textId="77777777" w:rsidR="000615CA" w:rsidRDefault="000615CA" w:rsidP="00567BA0">
      <w:pPr>
        <w:pStyle w:val="FirstParagraph"/>
      </w:pPr>
      <w:r>
        <w:t>The BIOTICA MI-CNN classifier performance was analyzed using three complementary diagnostic approaches. The training/validation loss curves show no evidence of overfitting — validation loss continues to decrease alongside training loss without divergence throughout the 200-epoch training run, consistent with the dropout regularization (0.35) and multi-stream data augmentation applied. The confusion matrix across 22 biome labels reveals that 72% of errors involve adjacent biome pairs on the moisture or temperature gradient, and only 6% involve biome types with well-separated spectral and climatic signatures.</w:t>
      </w:r>
    </w:p>
    <w:p w14:paraId="0A1ED612" w14:textId="77777777" w:rsidR="000615CA" w:rsidRDefault="000615CA" w:rsidP="00567BA0">
      <w:pPr>
        <w:pStyle w:val="Corpsdetexte"/>
      </w:pPr>
      <w:r>
        <w:t>Gradient-weighted class activation mapping (Grad-CAM) applied to the spectral processing stream reveals that the MI-CNN focuses primarily on the 1.4–1.6 μm leaf water absorption feature and the 2.0–2.4 μm cellulose absorption complex for forest biome discrimination — features that expert remote sensing analysts consider the most reliable canopy structural indicators. For grassland-savanna discrimination, the network weights the 0.68–0.72 μm red-edge region most heavily — consistent with the known relationship between red-edge reflectance and the proportion of woody versus herbaceous cover. The concordance between Grad-CAM attention maps and expert spectral interpretation validates the physical meaningfulness of the MI-CNN's internal representations.</w:t>
      </w:r>
    </w:p>
    <w:p w14:paraId="5C072596" w14:textId="77777777" w:rsidR="000615CA" w:rsidRDefault="000615CA" w:rsidP="00567BA0">
      <w:pPr>
        <w:pStyle w:val="Corpsdetexte"/>
      </w:pPr>
      <w:r>
        <w:t>SECTION 9</w:t>
      </w:r>
    </w:p>
    <w:p w14:paraId="1939DC69" w14:textId="77777777" w:rsidR="000615CA" w:rsidRDefault="000615CA" w:rsidP="00567BA0">
      <w:pPr>
        <w:pStyle w:val="Titre2"/>
      </w:pPr>
      <w:bookmarkStart w:id="44" w:name="conclusions"/>
      <w:r>
        <w:t>Conclusions</w:t>
      </w:r>
    </w:p>
    <w:bookmarkEnd w:id="44"/>
    <w:p w14:paraId="5BC977B8" w14:textId="77777777" w:rsidR="000615CA" w:rsidRDefault="000615CA" w:rsidP="00567BA0">
      <w:pPr>
        <w:pStyle w:val="FirstParagraph"/>
      </w:pPr>
      <w:r>
        <w:t>92.6%</w:t>
      </w:r>
    </w:p>
    <w:p w14:paraId="5B02A3EF" w14:textId="77777777" w:rsidR="000615CA" w:rsidRDefault="000615CA" w:rsidP="00567BA0">
      <w:pPr>
        <w:pStyle w:val="Corpsdetexte"/>
      </w:pPr>
      <w:r>
        <w:t>IBR Classification Accuracy (22-biome cross-validation)</w:t>
      </w:r>
    </w:p>
    <w:p w14:paraId="0F57FCB7" w14:textId="77777777" w:rsidR="000615CA" w:rsidRDefault="000615CA" w:rsidP="00567BA0">
      <w:pPr>
        <w:pStyle w:val="Corpsdetexte"/>
      </w:pPr>
      <w:r>
        <w:t>89.4%</w:t>
      </w:r>
    </w:p>
    <w:p w14:paraId="3D86B9BE" w14:textId="77777777" w:rsidR="000615CA" w:rsidRDefault="000615CA" w:rsidP="00567BA0">
      <w:pPr>
        <w:pStyle w:val="Corpsdetexte"/>
      </w:pPr>
      <w:r>
        <w:t>AI Remote Sensing Agreement vs. expert field surveys</w:t>
      </w:r>
    </w:p>
    <w:p w14:paraId="74908FE0" w14:textId="77777777" w:rsidR="000615CA" w:rsidRDefault="000615CA" w:rsidP="00567BA0">
      <w:pPr>
        <w:pStyle w:val="Corpsdetexte"/>
      </w:pPr>
      <w:r>
        <w:t>r = +0.917</w:t>
      </w:r>
    </w:p>
    <w:p w14:paraId="68EC8D1E" w14:textId="77777777" w:rsidR="000615CA" w:rsidRDefault="000615CA" w:rsidP="00567BA0">
      <w:pPr>
        <w:pStyle w:val="Corpsdetexte"/>
      </w:pPr>
      <w:r>
        <w:t>MDI–Carbon Retention Correlation (p &lt; 0.001, n=1,240)</w:t>
      </w:r>
    </w:p>
    <w:p w14:paraId="55EEA4C5" w14:textId="77777777" w:rsidR="000615CA" w:rsidRDefault="000615CA" w:rsidP="00567BA0">
      <w:pPr>
        <w:pStyle w:val="Corpsdetexte"/>
      </w:pPr>
      <w:r>
        <w:t>±6.2 days</w:t>
      </w:r>
    </w:p>
    <w:p w14:paraId="3F33F07C" w14:textId="77777777" w:rsidR="000615CA" w:rsidRDefault="000615CA" w:rsidP="00567BA0">
      <w:pPr>
        <w:pStyle w:val="Corpsdetexte"/>
      </w:pPr>
      <w:r>
        <w:t>Phenological Drift Precision (180 flux tower sites)</w:t>
      </w:r>
    </w:p>
    <w:p w14:paraId="469D937F" w14:textId="77777777" w:rsidR="000615CA" w:rsidRDefault="000615CA" w:rsidP="00567BA0">
      <w:pPr>
        <w:pStyle w:val="Corpsdetexte"/>
      </w:pPr>
      <w:r>
        <w:t>8–14 mo.</w:t>
      </w:r>
    </w:p>
    <w:p w14:paraId="26304FCC" w14:textId="77777777" w:rsidR="000615CA" w:rsidRDefault="000615CA" w:rsidP="00567BA0">
      <w:pPr>
        <w:pStyle w:val="Corpsdetexte"/>
      </w:pPr>
      <w:r>
        <w:t>Tipping Point Early Warning Lead Time (67 events)</w:t>
      </w:r>
    </w:p>
    <w:p w14:paraId="267204BA" w14:textId="77777777" w:rsidR="000615CA" w:rsidRDefault="000615CA" w:rsidP="00567BA0">
      <w:pPr>
        <w:pStyle w:val="Corpsdetexte"/>
      </w:pPr>
      <w:r>
        <w:t>14.7%</w:t>
      </w:r>
    </w:p>
    <w:p w14:paraId="7F2C0F36" w14:textId="77777777" w:rsidR="000615CA" w:rsidRDefault="000615CA" w:rsidP="00567BA0">
      <w:pPr>
        <w:pStyle w:val="Corpsdetexte"/>
      </w:pPr>
      <w:r>
        <w:t>Legacy Database Error Rate — 2,100 REDD+ units flagged</w:t>
      </w:r>
    </w:p>
    <w:p w14:paraId="58507AEF" w14:textId="77777777" w:rsidR="000615CA" w:rsidRDefault="000615CA" w:rsidP="00567BA0">
      <w:pPr>
        <w:pStyle w:val="Corpsdetexte"/>
      </w:pPr>
      <w:r>
        <w:t>3,412</w:t>
      </w:r>
    </w:p>
    <w:p w14:paraId="22890774" w14:textId="77777777" w:rsidR="000615CA" w:rsidRDefault="000615CA" w:rsidP="00567BA0">
      <w:pPr>
        <w:pStyle w:val="Corpsdetexte"/>
      </w:pPr>
      <w:r>
        <w:t>Validated ecosystem plots · 22 biomes · 6 continents</w:t>
      </w:r>
    </w:p>
    <w:p w14:paraId="7DEFC4CE" w14:textId="77777777" w:rsidR="000615CA" w:rsidRDefault="000615CA" w:rsidP="00567BA0">
      <w:pPr>
        <w:pStyle w:val="Corpsdetexte"/>
      </w:pPr>
      <w:r>
        <w:t>±31 Mg C</w:t>
      </w:r>
    </w:p>
    <w:p w14:paraId="725E009A" w14:textId="77777777" w:rsidR="000615CA" w:rsidRDefault="000615CA" w:rsidP="00567BA0">
      <w:pPr>
        <w:pStyle w:val="Corpsdetexte"/>
      </w:pPr>
      <w:r>
        <w:t>Carbon Stock Precision per hectare from MDI</w:t>
      </w:r>
    </w:p>
    <w:p w14:paraId="1B4A1832" w14:textId="77777777" w:rsidR="000615CA" w:rsidRDefault="000615CA" w:rsidP="00567BA0">
      <w:pPr>
        <w:pStyle w:val="Corpsdetexte"/>
      </w:pPr>
      <w:r>
        <w:t>The BIOTICA framework represents a new paradigm for ecosystem science: an integrated, biologically grounded, computationally tractable system that transforms the discipline from a collection of brilliant but fragmented specialties into a unified quantitative science of living system resilience. The 92.6% classification accuracy across 3,412 plots demonstrates that systematic nine-parameter integration provides not just incremental improvement but a qualitative advance in assessment reliability — with particular impact on the transition zone problem that has corrupted an estimated 2,100 monitoring units in the global REDD+ database.</w:t>
      </w:r>
    </w:p>
    <w:p w14:paraId="048F0092" w14:textId="77777777" w:rsidR="000615CA" w:rsidRDefault="000615CA" w:rsidP="00567BA0">
      <w:pPr>
        <w:pStyle w:val="Corpsdetexte"/>
      </w:pPr>
      <w:r>
        <w:t xml:space="preserve">The four key findings of this research redefine what ecosystems can tell us about the planet's biological future. The 14.7% legacy database misclassification rate, driven primarily by anthropogenic pressure-uncorrected spectral classification and transition zone ambiguity, demands systematic re-examination of global land monitoring databases using BIOTICA's AES-corrected, TMI-informed classification protocol — a program that would represent the most important correction to global ecosystem monitoring since the establishment of the Global Forest Watch platform. The MDI–carbon retention correlation at </w:t>
      </w:r>
      <w:r>
        <w:rPr>
          <w:i/>
          <w:iCs/>
        </w:rPr>
        <w:t>r</w:t>
      </w:r>
      <w:r>
        <w:t xml:space="preserve"> = +0.917 has opened a new window onto the invisible microbial machinery that governs the stability of Earth's most important carbon stores, enabling carbon stock precision that redefines the economics of ecosystem carbon markets. The early warning system's 8–14 month lead time provides, for the first time, an actionable intervention window before irreversible tipping point crossings — a capability with direct relevance to the 340 globally threatened ecosystem types currently on the IUCN Ecosystem Red List.</w:t>
      </w:r>
    </w:p>
    <w:p w14:paraId="7D15A2AC" w14:textId="77777777" w:rsidR="000615CA" w:rsidRDefault="000615CA" w:rsidP="00567BA0">
      <w:pPr>
        <w:pStyle w:val="Corpsdetexte"/>
      </w:pPr>
      <w:r>
        <w:t>"Every hectare of old-growth forest, every intact grassland, every peatland accumulating carbon across centuries — these are not merely resources. They are four-billion-year research programs in the chemistry of living systems, running experiments in resilience that no laboratory can replicate. BIOTICA provides the method to read what they have learned."</w:t>
      </w:r>
    </w:p>
    <w:p w14:paraId="420EA52F" w14:textId="77777777" w:rsidR="000615CA" w:rsidRDefault="000615CA" w:rsidP="00567BA0">
      <w:pPr>
        <w:pStyle w:val="Corpsdetexte"/>
      </w:pPr>
      <w:r>
        <w:t>The broader significance of BIOTICA lies in what living ecosystems themselves represent: an irreplaceable archive of evolutionary solutions to the problem of persisting on a changing planet. Every cubic centimeter of Amazon rainforest soil carries microbial chemistry of extraordinary complexity — a functional library assembled across millions of years of evolutionary pressure that we have barely begun to characterize, let alone understand. Every ancient tree in a temperate forest is a dendrochronological record of climatic variation spanning centuries, encoded in ring width and isotopic chemistry with a fidelity no instrumental record can match. Every intact tundra food web is a biological clock telling us how fast the planet is changing and what the consequences of that change are for the organisms that have no choice but to live through it.</w:t>
      </w:r>
    </w:p>
    <w:p w14:paraId="46E3C9ED" w14:textId="77777777" w:rsidR="000615CA" w:rsidRDefault="000615CA" w:rsidP="00567BA0">
      <w:pPr>
        <w:pStyle w:val="Corpsdetexte"/>
      </w:pPr>
      <w:r>
        <w:t>The 18.6 million hectares of Australian forest burned in a single summer, the Colombian páramo grasslands advancing their upper elevation limit at 8 meters per decade, the 23% of BIOTICA focal populations with genetic heterogeneity below the adaptive resilience threshold despite legal protection — these are not statistics. They are urgent messages from the living world. BIOTICA provides the cipher.</w:t>
      </w:r>
    </w:p>
    <w:p w14:paraId="2BC65860" w14:textId="77777777" w:rsidR="000615CA" w:rsidRDefault="000615CA" w:rsidP="00567BA0">
      <w:pPr>
        <w:pStyle w:val="Corpsdetexte"/>
      </w:pPr>
      <w:r>
        <w:t>Four billion years of biological negotiation, encoded in soil and gene and trophic web.</w:t>
      </w:r>
      <w:r>
        <w:br/>
      </w:r>
      <w:r>
        <w:rPr>
          <w:b/>
          <w:bCs/>
        </w:rPr>
        <w:t>BIOTICA makes it legible.</w:t>
      </w:r>
    </w:p>
    <w:p w14:paraId="73391517" w14:textId="77777777" w:rsidR="000615CA" w:rsidRDefault="000615CA" w:rsidP="00567BA0">
      <w:pPr>
        <w:pStyle w:val="Corpsdetexte"/>
      </w:pPr>
      <w:r>
        <w:t>SECTION 10</w:t>
      </w:r>
    </w:p>
    <w:p w14:paraId="6FEB18BA" w14:textId="77777777" w:rsidR="000615CA" w:rsidRDefault="000615CA" w:rsidP="00567BA0">
      <w:pPr>
        <w:pStyle w:val="Titre2"/>
      </w:pPr>
      <w:bookmarkStart w:id="45" w:name="references"/>
      <w:r>
        <w:t>References</w:t>
      </w:r>
    </w:p>
    <w:bookmarkEnd w:id="45"/>
    <w:p w14:paraId="29207DB3" w14:textId="77777777" w:rsidR="000615CA" w:rsidRDefault="000615CA" w:rsidP="000615CA">
      <w:pPr>
        <w:pStyle w:val="Compact"/>
        <w:numPr>
          <w:ilvl w:val="0"/>
          <w:numId w:val="2"/>
        </w:numPr>
      </w:pPr>
      <w:r>
        <w:t xml:space="preserve">Beghini, F. et al. (2021). Integrating taxonomic, functional, and strain-level profiling of diverse microbial communities with bioBakery 3. </w:t>
      </w:r>
      <w:r>
        <w:rPr>
          <w:i/>
          <w:iCs/>
        </w:rPr>
        <w:t>eLife</w:t>
      </w:r>
      <w:r>
        <w:t xml:space="preserve">, 10, e65088. </w:t>
      </w:r>
      <w:hyperlink r:id="rId9">
        <w:r>
          <w:rPr>
            <w:rStyle w:val="Lienhypertexte"/>
          </w:rPr>
          <w:t>https://doi.org/10.7554/eLife.65088</w:t>
        </w:r>
      </w:hyperlink>
    </w:p>
    <w:p w14:paraId="5E8305AE" w14:textId="77777777" w:rsidR="000615CA" w:rsidRDefault="000615CA" w:rsidP="000615CA">
      <w:pPr>
        <w:pStyle w:val="Compact"/>
        <w:numPr>
          <w:ilvl w:val="0"/>
          <w:numId w:val="2"/>
        </w:numPr>
      </w:pPr>
      <w:r>
        <w:t xml:space="preserve">Chave, J. et al. (2014). Improved allometric models to estimate the aboveground biomass of tropical trees. </w:t>
      </w:r>
      <w:r>
        <w:rPr>
          <w:i/>
          <w:iCs/>
        </w:rPr>
        <w:t>Global Change Biology</w:t>
      </w:r>
      <w:r>
        <w:t xml:space="preserve">, 20(10), 3177–3190. </w:t>
      </w:r>
      <w:hyperlink r:id="rId10">
        <w:r>
          <w:rPr>
            <w:rStyle w:val="Lienhypertexte"/>
          </w:rPr>
          <w:t>https://doi.org/10.1111/gcb.12629</w:t>
        </w:r>
      </w:hyperlink>
    </w:p>
    <w:p w14:paraId="637DD341" w14:textId="77777777" w:rsidR="000615CA" w:rsidRDefault="000615CA" w:rsidP="000615CA">
      <w:pPr>
        <w:pStyle w:val="Compact"/>
        <w:numPr>
          <w:ilvl w:val="0"/>
          <w:numId w:val="2"/>
        </w:numPr>
      </w:pPr>
      <w:r>
        <w:t xml:space="preserve">Cleveland, C.C., &amp; Liptzin, D. (2007). C:N:P stoichiometry in soil: is there a "Redfield ratio" for the microbial biomass? </w:t>
      </w:r>
      <w:r>
        <w:rPr>
          <w:i/>
          <w:iCs/>
        </w:rPr>
        <w:t>Biogeochemistry</w:t>
      </w:r>
      <w:r>
        <w:t>, 85(3), 235–252.</w:t>
      </w:r>
    </w:p>
    <w:p w14:paraId="6D1E45CB" w14:textId="77777777" w:rsidR="000615CA" w:rsidRDefault="000615CA" w:rsidP="000615CA">
      <w:pPr>
        <w:pStyle w:val="Compact"/>
        <w:numPr>
          <w:ilvl w:val="0"/>
          <w:numId w:val="2"/>
        </w:numPr>
      </w:pPr>
      <w:r>
        <w:t xml:space="preserve">Dakos, V. et al. (2008). Slowing down as an early warning signal for abrupt climate change. </w:t>
      </w:r>
      <w:r>
        <w:rPr>
          <w:i/>
          <w:iCs/>
        </w:rPr>
        <w:t>Proceedings of the National Academy of Sciences</w:t>
      </w:r>
      <w:r>
        <w:t>, 105(38), 14308–14312.</w:t>
      </w:r>
    </w:p>
    <w:p w14:paraId="3D686D24" w14:textId="77777777" w:rsidR="000615CA" w:rsidRDefault="000615CA" w:rsidP="000615CA">
      <w:pPr>
        <w:pStyle w:val="Compact"/>
        <w:numPr>
          <w:ilvl w:val="0"/>
          <w:numId w:val="2"/>
        </w:numPr>
      </w:pPr>
      <w:r>
        <w:t xml:space="preserve">Holling, C.S. (1973). Resilience and stability of ecological systems. </w:t>
      </w:r>
      <w:r>
        <w:rPr>
          <w:i/>
          <w:iCs/>
        </w:rPr>
        <w:t>Annual Review of Ecology and Systematics</w:t>
      </w:r>
      <w:r>
        <w:t>, 4, 1–23.</w:t>
      </w:r>
    </w:p>
    <w:p w14:paraId="6A2FC33C" w14:textId="77777777" w:rsidR="000615CA" w:rsidRDefault="000615CA" w:rsidP="000615CA">
      <w:pPr>
        <w:pStyle w:val="Compact"/>
        <w:numPr>
          <w:ilvl w:val="0"/>
          <w:numId w:val="2"/>
        </w:numPr>
      </w:pPr>
      <w:r>
        <w:t xml:space="preserve">Humboldt, A. von, &amp; Bonpland, A. (1807). </w:t>
      </w:r>
      <w:r>
        <w:rPr>
          <w:i/>
          <w:iCs/>
        </w:rPr>
        <w:t>Essay on the Geography of Plants</w:t>
      </w:r>
      <w:r>
        <w:t>. Translated by S. Romanowski (2009). University of Chicago Press.</w:t>
      </w:r>
    </w:p>
    <w:p w14:paraId="448DC1EC" w14:textId="7858F9F3" w:rsidR="00367B9A" w:rsidRDefault="000615CA" w:rsidP="00367B9A">
      <w:pPr>
        <w:pStyle w:val="Compact"/>
        <w:numPr>
          <w:ilvl w:val="0"/>
          <w:numId w:val="2"/>
        </w:numPr>
      </w:pPr>
      <w:r>
        <w:t xml:space="preserve">IPBES (2019). </w:t>
      </w:r>
      <w:r>
        <w:rPr>
          <w:i/>
          <w:iCs/>
        </w:rPr>
        <w:t>Global Assessment Report on Biodiversity and Ecosystem Services</w:t>
      </w:r>
      <w:r>
        <w:t>. IPBES Secretariat, Bonn, Germany. DOI: 10.5281/zenodo.3831673</w:t>
      </w:r>
    </w:p>
    <w:p w14:paraId="53386990" w14:textId="77777777" w:rsidR="000615CA" w:rsidRDefault="000615CA" w:rsidP="000615CA">
      <w:pPr>
        <w:pStyle w:val="Compact"/>
        <w:numPr>
          <w:ilvl w:val="0"/>
          <w:numId w:val="2"/>
        </w:numPr>
      </w:pPr>
      <w:r>
        <w:t xml:space="preserve">Jung, M. et al. (2020). A global map of terrestrial habitat types. </w:t>
      </w:r>
      <w:r>
        <w:rPr>
          <w:i/>
          <w:iCs/>
        </w:rPr>
        <w:t>Scientific Data</w:t>
      </w:r>
      <w:r>
        <w:t xml:space="preserve">, 7, 256. </w:t>
      </w:r>
      <w:hyperlink r:id="rId11">
        <w:r>
          <w:rPr>
            <w:rStyle w:val="Lienhypertexte"/>
          </w:rPr>
          <w:t>https://doi.org/10.1038/s41597-020-00599-8</w:t>
        </w:r>
      </w:hyperlink>
    </w:p>
    <w:p w14:paraId="3636933A" w14:textId="77777777" w:rsidR="000615CA" w:rsidRDefault="000615CA" w:rsidP="000615CA">
      <w:pPr>
        <w:pStyle w:val="Compact"/>
        <w:numPr>
          <w:ilvl w:val="0"/>
          <w:numId w:val="2"/>
        </w:numPr>
      </w:pPr>
      <w:r>
        <w:t xml:space="preserve">Keith, D.A. et al. (2022). A function-based typology for Earth's ecosystems. </w:t>
      </w:r>
      <w:r>
        <w:rPr>
          <w:i/>
          <w:iCs/>
        </w:rPr>
        <w:t>Nature</w:t>
      </w:r>
      <w:r>
        <w:t xml:space="preserve">, 610, 513–523. </w:t>
      </w:r>
      <w:hyperlink r:id="rId12">
        <w:r>
          <w:rPr>
            <w:rStyle w:val="Lienhypertexte"/>
          </w:rPr>
          <w:t>https://doi.org/10.1038/s41586-022-05318-4</w:t>
        </w:r>
      </w:hyperlink>
    </w:p>
    <w:p w14:paraId="66BAF0B5" w14:textId="77777777" w:rsidR="000615CA" w:rsidRDefault="000615CA" w:rsidP="000615CA">
      <w:pPr>
        <w:pStyle w:val="Compact"/>
        <w:numPr>
          <w:ilvl w:val="0"/>
          <w:numId w:val="2"/>
        </w:numPr>
      </w:pPr>
      <w:r>
        <w:t xml:space="preserve">Lindemann, R.L. (1942). The trophic-dynamic aspect of ecology. </w:t>
      </w:r>
      <w:r>
        <w:rPr>
          <w:i/>
          <w:iCs/>
        </w:rPr>
        <w:t>Ecology</w:t>
      </w:r>
      <w:r>
        <w:t>, 23(4), 399–417.</w:t>
      </w:r>
    </w:p>
    <w:p w14:paraId="2CB14B63" w14:textId="77777777" w:rsidR="000615CA" w:rsidRDefault="000615CA" w:rsidP="000615CA">
      <w:pPr>
        <w:pStyle w:val="Compact"/>
        <w:numPr>
          <w:ilvl w:val="0"/>
          <w:numId w:val="2"/>
        </w:numPr>
      </w:pPr>
      <w:r>
        <w:t xml:space="preserve">Papale, D. et al. (2006). Towards a standardized processing of Net Ecosystem Exchange measured with eddy covariance technique. </w:t>
      </w:r>
      <w:r>
        <w:rPr>
          <w:i/>
          <w:iCs/>
        </w:rPr>
        <w:t>Biogeosciences</w:t>
      </w:r>
      <w:r>
        <w:t>, 3(4), 571–583.</w:t>
      </w:r>
    </w:p>
    <w:p w14:paraId="28A5E391" w14:textId="77777777" w:rsidR="000615CA" w:rsidRDefault="000615CA" w:rsidP="000615CA">
      <w:pPr>
        <w:pStyle w:val="Compact"/>
        <w:numPr>
          <w:ilvl w:val="0"/>
          <w:numId w:val="2"/>
        </w:numPr>
      </w:pPr>
      <w:r>
        <w:t xml:space="preserve">Scheffer, M. et al. (2001). Catastrophic shifts in ecosystems. </w:t>
      </w:r>
      <w:r>
        <w:rPr>
          <w:i/>
          <w:iCs/>
        </w:rPr>
        <w:t>Nature</w:t>
      </w:r>
      <w:r>
        <w:t xml:space="preserve">, 413, 591–596. </w:t>
      </w:r>
      <w:hyperlink r:id="rId13">
        <w:r>
          <w:rPr>
            <w:rStyle w:val="Lienhypertexte"/>
          </w:rPr>
          <w:t>https://doi.org/10.1038/35098000</w:t>
        </w:r>
      </w:hyperlink>
    </w:p>
    <w:p w14:paraId="7F17F9E7" w14:textId="77777777" w:rsidR="000615CA" w:rsidRDefault="000615CA" w:rsidP="000615CA">
      <w:pPr>
        <w:pStyle w:val="Compact"/>
        <w:numPr>
          <w:ilvl w:val="0"/>
          <w:numId w:val="2"/>
        </w:numPr>
      </w:pPr>
      <w:r>
        <w:t xml:space="preserve">Tansley, A.G. (1935). The use and abuse of vegetational concepts and terms. </w:t>
      </w:r>
      <w:r>
        <w:rPr>
          <w:i/>
          <w:iCs/>
        </w:rPr>
        <w:t>Ecology</w:t>
      </w:r>
      <w:r>
        <w:t>, 16(3), 284–307.</w:t>
      </w:r>
    </w:p>
    <w:p w14:paraId="55DB1704" w14:textId="77777777" w:rsidR="000615CA" w:rsidRDefault="000615CA" w:rsidP="000615CA">
      <w:pPr>
        <w:pStyle w:val="Compact"/>
        <w:numPr>
          <w:ilvl w:val="0"/>
          <w:numId w:val="2"/>
        </w:numPr>
      </w:pPr>
      <w:r>
        <w:t xml:space="preserve">Tucker, C.J. (1979). Red and photographic infrared linear combinations for monitoring vegetation. </w:t>
      </w:r>
      <w:r>
        <w:rPr>
          <w:i/>
          <w:iCs/>
        </w:rPr>
        <w:t>Remote Sensing of Environment</w:t>
      </w:r>
      <w:r>
        <w:t>, 8(2), 127–150.</w:t>
      </w:r>
    </w:p>
    <w:p w14:paraId="510ED748" w14:textId="77777777" w:rsidR="000615CA" w:rsidRDefault="000615CA" w:rsidP="000615CA">
      <w:pPr>
        <w:pStyle w:val="Compact"/>
        <w:numPr>
          <w:ilvl w:val="0"/>
          <w:numId w:val="2"/>
        </w:numPr>
      </w:pPr>
      <w:r>
        <w:t xml:space="preserve">University of Sydney (2020). </w:t>
      </w:r>
      <w:r>
        <w:rPr>
          <w:i/>
          <w:iCs/>
        </w:rPr>
        <w:t>Ecological and Animal Welfare Impacts of the 2019–20 Australian Bushfire Season</w:t>
      </w:r>
      <w:r>
        <w:t>. WWF-Australia commissioned report. Sydney, NSW.</w:t>
      </w:r>
    </w:p>
    <w:p w14:paraId="4165D566" w14:textId="77777777" w:rsidR="000615CA" w:rsidRDefault="000615CA" w:rsidP="000615CA">
      <w:pPr>
        <w:pStyle w:val="Compact"/>
        <w:numPr>
          <w:ilvl w:val="0"/>
          <w:numId w:val="2"/>
        </w:numPr>
      </w:pPr>
      <w:r>
        <w:t xml:space="preserve">Vellend, M. (2016). </w:t>
      </w:r>
      <w:r>
        <w:rPr>
          <w:i/>
          <w:iCs/>
        </w:rPr>
        <w:t>The Theory of Ecological Communities</w:t>
      </w:r>
      <w:r>
        <w:t>. Princeton University Press. DOI: 10.1515/9781400883790</w:t>
      </w:r>
    </w:p>
    <w:p w14:paraId="7AB887A3" w14:textId="77777777" w:rsidR="000615CA" w:rsidRDefault="000615CA" w:rsidP="000615CA">
      <w:pPr>
        <w:pStyle w:val="Compact"/>
        <w:numPr>
          <w:ilvl w:val="0"/>
          <w:numId w:val="2"/>
        </w:numPr>
      </w:pPr>
      <w:r>
        <w:t xml:space="preserve">Walker, B. et al. (2004). Resilience, adaptability and transformability in social-ecological systems. </w:t>
      </w:r>
      <w:r>
        <w:rPr>
          <w:i/>
          <w:iCs/>
        </w:rPr>
        <w:t>Ecology and Society</w:t>
      </w:r>
      <w:r>
        <w:t>, 9(2), 5.</w:t>
      </w:r>
    </w:p>
    <w:p w14:paraId="14387366" w14:textId="77777777" w:rsidR="000615CA" w:rsidRDefault="000615CA" w:rsidP="000615CA">
      <w:pPr>
        <w:pStyle w:val="Compact"/>
        <w:numPr>
          <w:ilvl w:val="0"/>
          <w:numId w:val="2"/>
        </w:numPr>
      </w:pPr>
      <w:r>
        <w:t xml:space="preserve">Wardle, D.A. et al. (2004). Ecological linkages between aboveground and belowground biota. </w:t>
      </w:r>
      <w:r>
        <w:rPr>
          <w:i/>
          <w:iCs/>
        </w:rPr>
        <w:t>Science</w:t>
      </w:r>
      <w:r>
        <w:t>, 304(5677), 1629–1633.</w:t>
      </w:r>
    </w:p>
    <w:p w14:paraId="54AFDB35" w14:textId="77777777" w:rsidR="000615CA" w:rsidRDefault="000615CA" w:rsidP="000615CA">
      <w:pPr>
        <w:pStyle w:val="Compact"/>
        <w:numPr>
          <w:ilvl w:val="0"/>
          <w:numId w:val="2"/>
        </w:numPr>
      </w:pPr>
      <w:r>
        <w:t xml:space="preserve">Willis, K.J., &amp; Bhagwat, S.A. (2009). Biodiversity and climate change. </w:t>
      </w:r>
      <w:r>
        <w:rPr>
          <w:i/>
          <w:iCs/>
        </w:rPr>
        <w:t>Science</w:t>
      </w:r>
      <w:r>
        <w:t>, 326(5954), 806–807.</w:t>
      </w:r>
    </w:p>
    <w:p w14:paraId="79796135" w14:textId="77777777" w:rsidR="000615CA" w:rsidRDefault="000615CA" w:rsidP="000615CA">
      <w:pPr>
        <w:pStyle w:val="Compact"/>
        <w:numPr>
          <w:ilvl w:val="0"/>
          <w:numId w:val="2"/>
        </w:numPr>
      </w:pPr>
      <w:r>
        <w:t xml:space="preserve">Zhu, Z. et al. (2016). Greening of the Earth and its drivers. </w:t>
      </w:r>
      <w:r>
        <w:rPr>
          <w:i/>
          <w:iCs/>
        </w:rPr>
        <w:t>Nature Climate Change</w:t>
      </w:r>
      <w:r>
        <w:t>, 6, 791–795.</w:t>
      </w:r>
    </w:p>
    <w:p w14:paraId="4093301B" w14:textId="77777777" w:rsidR="000615CA" w:rsidRDefault="000615CA" w:rsidP="00567BA0">
      <w:pPr>
        <w:pStyle w:val="FirstParagraph"/>
      </w:pPr>
      <w:r>
        <w:t>APPENDIX A</w:t>
      </w:r>
    </w:p>
    <w:p w14:paraId="69A94D67" w14:textId="77777777" w:rsidR="000615CA" w:rsidRDefault="000615CA" w:rsidP="00567BA0">
      <w:pPr>
        <w:pStyle w:val="Titre2"/>
      </w:pPr>
      <w:bookmarkStart w:id="46" w:name="instrument-platform-specifications"/>
      <w:r>
        <w:t>Instrument &amp; Platform Specifications</w:t>
      </w:r>
    </w:p>
    <w:tbl>
      <w:tblPr>
        <w:tblStyle w:val="Table"/>
        <w:tblW w:w="0" w:type="auto"/>
        <w:tblLook w:val="0020" w:firstRow="1" w:lastRow="0" w:firstColumn="0" w:lastColumn="0" w:noHBand="0" w:noVBand="0"/>
      </w:tblPr>
      <w:tblGrid>
        <w:gridCol w:w="2490"/>
        <w:gridCol w:w="2286"/>
        <w:gridCol w:w="1397"/>
        <w:gridCol w:w="3233"/>
      </w:tblGrid>
      <w:tr w:rsidR="000615CA" w14:paraId="4AE967FA" w14:textId="77777777" w:rsidTr="00567BA0">
        <w:trPr>
          <w:cnfStyle w:val="100000000000" w:firstRow="1" w:lastRow="0" w:firstColumn="0" w:lastColumn="0" w:oddVBand="0" w:evenVBand="0" w:oddHBand="0" w:evenHBand="0" w:firstRowFirstColumn="0" w:firstRowLastColumn="0" w:lastRowFirstColumn="0" w:lastRowLastColumn="0"/>
          <w:tblHeader/>
        </w:trPr>
        <w:tc>
          <w:tcPr>
            <w:tcW w:w="0" w:type="auto"/>
          </w:tcPr>
          <w:bookmarkEnd w:id="46"/>
          <w:p w14:paraId="1F0B6134" w14:textId="77777777" w:rsidR="000615CA" w:rsidRDefault="000615CA" w:rsidP="00567BA0">
            <w:pPr>
              <w:pStyle w:val="Compact"/>
            </w:pPr>
            <w:r>
              <w:t>Instrument</w:t>
            </w:r>
          </w:p>
        </w:tc>
        <w:tc>
          <w:tcPr>
            <w:tcW w:w="0" w:type="auto"/>
          </w:tcPr>
          <w:p w14:paraId="129CDA3D" w14:textId="77777777" w:rsidR="000615CA" w:rsidRDefault="000615CA" w:rsidP="00567BA0">
            <w:pPr>
              <w:pStyle w:val="Compact"/>
            </w:pPr>
            <w:r>
              <w:t>Model / Platform</w:t>
            </w:r>
          </w:p>
        </w:tc>
        <w:tc>
          <w:tcPr>
            <w:tcW w:w="0" w:type="auto"/>
          </w:tcPr>
          <w:p w14:paraId="266D218A" w14:textId="77777777" w:rsidR="000615CA" w:rsidRDefault="000615CA" w:rsidP="00567BA0">
            <w:pPr>
              <w:pStyle w:val="Compact"/>
            </w:pPr>
            <w:r>
              <w:t>Application</w:t>
            </w:r>
          </w:p>
        </w:tc>
        <w:tc>
          <w:tcPr>
            <w:tcW w:w="0" w:type="auto"/>
          </w:tcPr>
          <w:p w14:paraId="43AC7AA2" w14:textId="77777777" w:rsidR="000615CA" w:rsidRDefault="000615CA" w:rsidP="00567BA0">
            <w:pPr>
              <w:pStyle w:val="Compact"/>
            </w:pPr>
            <w:r>
              <w:t>Key Specification</w:t>
            </w:r>
          </w:p>
        </w:tc>
      </w:tr>
      <w:tr w:rsidR="000615CA" w14:paraId="1BE69F1F" w14:textId="77777777" w:rsidTr="00567BA0">
        <w:tc>
          <w:tcPr>
            <w:tcW w:w="0" w:type="auto"/>
          </w:tcPr>
          <w:p w14:paraId="7746B477" w14:textId="77777777" w:rsidR="000615CA" w:rsidRDefault="000615CA" w:rsidP="00567BA0">
            <w:pPr>
              <w:pStyle w:val="Compact"/>
            </w:pPr>
            <w:r>
              <w:t>Hyperspectral RS</w:t>
            </w:r>
          </w:p>
        </w:tc>
        <w:tc>
          <w:tcPr>
            <w:tcW w:w="0" w:type="auto"/>
          </w:tcPr>
          <w:p w14:paraId="6E86207B" w14:textId="77777777" w:rsidR="000615CA" w:rsidRDefault="000615CA" w:rsidP="00567BA0">
            <w:pPr>
              <w:pStyle w:val="Compact"/>
            </w:pPr>
            <w:r>
              <w:t>DESIS / PRISMA</w:t>
            </w:r>
          </w:p>
        </w:tc>
        <w:tc>
          <w:tcPr>
            <w:tcW w:w="0" w:type="auto"/>
          </w:tcPr>
          <w:p w14:paraId="2A98F410" w14:textId="77777777" w:rsidR="000615CA" w:rsidRDefault="000615CA" w:rsidP="00567BA0">
            <w:pPr>
              <w:pStyle w:val="Compact"/>
            </w:pPr>
            <w:r>
              <w:t>VCA, AES</w:t>
            </w:r>
          </w:p>
        </w:tc>
        <w:tc>
          <w:tcPr>
            <w:tcW w:w="0" w:type="auto"/>
          </w:tcPr>
          <w:p w14:paraId="48D7DA83" w14:textId="77777777" w:rsidR="000615CA" w:rsidRDefault="000615CA" w:rsidP="00567BA0">
            <w:pPr>
              <w:pStyle w:val="Compact"/>
            </w:pPr>
            <w:r>
              <w:t>30 m spatial, 400–2500 nm, 235 bands</w:t>
            </w:r>
          </w:p>
        </w:tc>
      </w:tr>
      <w:tr w:rsidR="000615CA" w14:paraId="63BF60B5" w14:textId="77777777" w:rsidTr="00567BA0">
        <w:tc>
          <w:tcPr>
            <w:tcW w:w="0" w:type="auto"/>
          </w:tcPr>
          <w:p w14:paraId="79731F55" w14:textId="77777777" w:rsidR="000615CA" w:rsidRDefault="000615CA" w:rsidP="00567BA0">
            <w:pPr>
              <w:pStyle w:val="Compact"/>
            </w:pPr>
            <w:r>
              <w:t>Carbon flux tower</w:t>
            </w:r>
          </w:p>
        </w:tc>
        <w:tc>
          <w:tcPr>
            <w:tcW w:w="0" w:type="auto"/>
          </w:tcPr>
          <w:p w14:paraId="5085ED20" w14:textId="77777777" w:rsidR="000615CA" w:rsidRDefault="000615CA" w:rsidP="00567BA0">
            <w:pPr>
              <w:pStyle w:val="Compact"/>
            </w:pPr>
            <w:r>
              <w:t>FLUXNET / ICOS network</w:t>
            </w:r>
          </w:p>
        </w:tc>
        <w:tc>
          <w:tcPr>
            <w:tcW w:w="0" w:type="auto"/>
          </w:tcPr>
          <w:p w14:paraId="3CE6B805" w14:textId="77777777" w:rsidR="000615CA" w:rsidRDefault="000615CA" w:rsidP="00567BA0">
            <w:pPr>
              <w:pStyle w:val="Compact"/>
            </w:pPr>
            <w:r>
              <w:t>VCA, RRC</w:t>
            </w:r>
          </w:p>
        </w:tc>
        <w:tc>
          <w:tcPr>
            <w:tcW w:w="0" w:type="auto"/>
          </w:tcPr>
          <w:p w14:paraId="7A2E7805" w14:textId="77777777" w:rsidR="000615CA" w:rsidRDefault="000615CA" w:rsidP="00567BA0">
            <w:pPr>
              <w:pStyle w:val="Compact"/>
            </w:pPr>
            <w:r>
              <w:t>Half-hourly NEE, LE, H — ±5% GPP</w:t>
            </w:r>
          </w:p>
        </w:tc>
      </w:tr>
      <w:tr w:rsidR="000615CA" w14:paraId="27814627" w14:textId="77777777" w:rsidTr="00567BA0">
        <w:tc>
          <w:tcPr>
            <w:tcW w:w="0" w:type="auto"/>
          </w:tcPr>
          <w:p w14:paraId="3FEDFA90" w14:textId="77777777" w:rsidR="000615CA" w:rsidRDefault="000615CA" w:rsidP="00567BA0">
            <w:pPr>
              <w:pStyle w:val="Compact"/>
            </w:pPr>
            <w:r>
              <w:t>Soil metagenomics</w:t>
            </w:r>
          </w:p>
        </w:tc>
        <w:tc>
          <w:tcPr>
            <w:tcW w:w="0" w:type="auto"/>
          </w:tcPr>
          <w:p w14:paraId="27B234FD" w14:textId="77777777" w:rsidR="000615CA" w:rsidRDefault="000615CA" w:rsidP="00567BA0">
            <w:pPr>
              <w:pStyle w:val="Compact"/>
            </w:pPr>
            <w:r>
              <w:t>Illumina NovaSeq 6000</w:t>
            </w:r>
          </w:p>
        </w:tc>
        <w:tc>
          <w:tcPr>
            <w:tcW w:w="0" w:type="auto"/>
          </w:tcPr>
          <w:p w14:paraId="7AA79D1B" w14:textId="77777777" w:rsidR="000615CA" w:rsidRDefault="000615CA" w:rsidP="00567BA0">
            <w:pPr>
              <w:pStyle w:val="Compact"/>
            </w:pPr>
            <w:r>
              <w:t>MDI</w:t>
            </w:r>
          </w:p>
        </w:tc>
        <w:tc>
          <w:tcPr>
            <w:tcW w:w="0" w:type="auto"/>
          </w:tcPr>
          <w:p w14:paraId="0B4314CA" w14:textId="77777777" w:rsidR="000615CA" w:rsidRDefault="000615CA" w:rsidP="00567BA0">
            <w:pPr>
              <w:pStyle w:val="Compact"/>
            </w:pPr>
            <w:r>
              <w:t>20M reads, 2×150bp, ±3% diversity</w:t>
            </w:r>
          </w:p>
        </w:tc>
      </w:tr>
      <w:tr w:rsidR="000615CA" w14:paraId="23C34514" w14:textId="77777777" w:rsidTr="00567BA0">
        <w:tc>
          <w:tcPr>
            <w:tcW w:w="0" w:type="auto"/>
          </w:tcPr>
          <w:p w14:paraId="256D058F" w14:textId="77777777" w:rsidR="000615CA" w:rsidRDefault="000615CA" w:rsidP="00567BA0">
            <w:pPr>
              <w:pStyle w:val="Compact"/>
            </w:pPr>
            <w:r>
              <w:t>PhenoCam network</w:t>
            </w:r>
          </w:p>
        </w:tc>
        <w:tc>
          <w:tcPr>
            <w:tcW w:w="0" w:type="auto"/>
          </w:tcPr>
          <w:p w14:paraId="627B0C0C" w14:textId="77777777" w:rsidR="000615CA" w:rsidRDefault="000615CA" w:rsidP="00567BA0">
            <w:pPr>
              <w:pStyle w:val="Compact"/>
            </w:pPr>
            <w:r>
              <w:t>NetCDF GCC time series</w:t>
            </w:r>
          </w:p>
        </w:tc>
        <w:tc>
          <w:tcPr>
            <w:tcW w:w="0" w:type="auto"/>
          </w:tcPr>
          <w:p w14:paraId="258A250B" w14:textId="77777777" w:rsidR="000615CA" w:rsidRDefault="000615CA" w:rsidP="00567BA0">
            <w:pPr>
              <w:pStyle w:val="Compact"/>
            </w:pPr>
            <w:r>
              <w:t>PTS</w:t>
            </w:r>
          </w:p>
        </w:tc>
        <w:tc>
          <w:tcPr>
            <w:tcW w:w="0" w:type="auto"/>
          </w:tcPr>
          <w:p w14:paraId="3FBBD410" w14:textId="77777777" w:rsidR="000615CA" w:rsidRDefault="000615CA" w:rsidP="00567BA0">
            <w:pPr>
              <w:pStyle w:val="Compact"/>
            </w:pPr>
            <w:r>
              <w:t>Daily canopy greenness, ±3.2 days</w:t>
            </w:r>
          </w:p>
        </w:tc>
      </w:tr>
      <w:tr w:rsidR="000615CA" w14:paraId="20EC11C8" w14:textId="77777777" w:rsidTr="00567BA0">
        <w:tc>
          <w:tcPr>
            <w:tcW w:w="0" w:type="auto"/>
          </w:tcPr>
          <w:p w14:paraId="153DCCE3" w14:textId="77777777" w:rsidR="000615CA" w:rsidRDefault="000615CA" w:rsidP="00567BA0">
            <w:pPr>
              <w:pStyle w:val="Compact"/>
            </w:pPr>
            <w:r>
              <w:t>Soil TDR sensors</w:t>
            </w:r>
          </w:p>
        </w:tc>
        <w:tc>
          <w:tcPr>
            <w:tcW w:w="0" w:type="auto"/>
          </w:tcPr>
          <w:p w14:paraId="7EE9D1EA" w14:textId="77777777" w:rsidR="000615CA" w:rsidRDefault="000615CA" w:rsidP="00567BA0">
            <w:pPr>
              <w:pStyle w:val="Compact"/>
            </w:pPr>
            <w:r>
              <w:t>Campbell CS655</w:t>
            </w:r>
          </w:p>
        </w:tc>
        <w:tc>
          <w:tcPr>
            <w:tcW w:w="0" w:type="auto"/>
          </w:tcPr>
          <w:p w14:paraId="6B26F9B6" w14:textId="77777777" w:rsidR="000615CA" w:rsidRDefault="000615CA" w:rsidP="00567BA0">
            <w:pPr>
              <w:pStyle w:val="Compact"/>
            </w:pPr>
            <w:r>
              <w:t>HFI, BNC</w:t>
            </w:r>
          </w:p>
        </w:tc>
        <w:tc>
          <w:tcPr>
            <w:tcW w:w="0" w:type="auto"/>
          </w:tcPr>
          <w:p w14:paraId="5146B71F" w14:textId="77777777" w:rsidR="000615CA" w:rsidRDefault="000615CA" w:rsidP="00567BA0">
            <w:pPr>
              <w:pStyle w:val="Compact"/>
            </w:pPr>
            <w:r>
              <w:t>3 depths, hourly, ±0.02 m³m⁻³</w:t>
            </w:r>
          </w:p>
        </w:tc>
      </w:tr>
      <w:tr w:rsidR="000615CA" w14:paraId="19642D83" w14:textId="77777777" w:rsidTr="00567BA0">
        <w:tc>
          <w:tcPr>
            <w:tcW w:w="0" w:type="auto"/>
          </w:tcPr>
          <w:p w14:paraId="1B72E041" w14:textId="77777777" w:rsidR="000615CA" w:rsidRDefault="000615CA" w:rsidP="00567BA0">
            <w:pPr>
              <w:pStyle w:val="Compact"/>
            </w:pPr>
            <w:r>
              <w:t>CN elemental analyzer</w:t>
            </w:r>
          </w:p>
        </w:tc>
        <w:tc>
          <w:tcPr>
            <w:tcW w:w="0" w:type="auto"/>
          </w:tcPr>
          <w:p w14:paraId="2111D2BD" w14:textId="77777777" w:rsidR="000615CA" w:rsidRDefault="000615CA" w:rsidP="00567BA0">
            <w:pPr>
              <w:pStyle w:val="Compact"/>
            </w:pPr>
            <w:r>
              <w:t>Elementar vario MAX</w:t>
            </w:r>
          </w:p>
        </w:tc>
        <w:tc>
          <w:tcPr>
            <w:tcW w:w="0" w:type="auto"/>
          </w:tcPr>
          <w:p w14:paraId="43CE6E2F" w14:textId="77777777" w:rsidR="000615CA" w:rsidRDefault="000615CA" w:rsidP="00567BA0">
            <w:pPr>
              <w:pStyle w:val="Compact"/>
            </w:pPr>
            <w:r>
              <w:t>BNC</w:t>
            </w:r>
          </w:p>
        </w:tc>
        <w:tc>
          <w:tcPr>
            <w:tcW w:w="0" w:type="auto"/>
          </w:tcPr>
          <w:p w14:paraId="6165CC86" w14:textId="77777777" w:rsidR="000615CA" w:rsidRDefault="000615CA" w:rsidP="00567BA0">
            <w:pPr>
              <w:pStyle w:val="Compact"/>
            </w:pPr>
            <w:r>
              <w:t>Bulk soil C:N:P, ±0.05% C</w:t>
            </w:r>
          </w:p>
        </w:tc>
      </w:tr>
      <w:tr w:rsidR="000615CA" w14:paraId="54A56B71" w14:textId="77777777" w:rsidTr="00567BA0">
        <w:tc>
          <w:tcPr>
            <w:tcW w:w="0" w:type="auto"/>
          </w:tcPr>
          <w:p w14:paraId="3332C598" w14:textId="77777777" w:rsidR="000615CA" w:rsidRDefault="000615CA" w:rsidP="00567BA0">
            <w:pPr>
              <w:pStyle w:val="Compact"/>
            </w:pPr>
            <w:r>
              <w:t>Whole-genome sequencing</w:t>
            </w:r>
          </w:p>
        </w:tc>
        <w:tc>
          <w:tcPr>
            <w:tcW w:w="0" w:type="auto"/>
          </w:tcPr>
          <w:p w14:paraId="3DD32B3D" w14:textId="77777777" w:rsidR="000615CA" w:rsidRDefault="000615CA" w:rsidP="00567BA0">
            <w:pPr>
              <w:pStyle w:val="Compact"/>
            </w:pPr>
            <w:r>
              <w:t>Illumina NovaSeq 6000</w:t>
            </w:r>
          </w:p>
        </w:tc>
        <w:tc>
          <w:tcPr>
            <w:tcW w:w="0" w:type="auto"/>
          </w:tcPr>
          <w:p w14:paraId="692EA6E3" w14:textId="77777777" w:rsidR="000615CA" w:rsidRDefault="000615CA" w:rsidP="00567BA0">
            <w:pPr>
              <w:pStyle w:val="Compact"/>
            </w:pPr>
            <w:r>
              <w:t>SGH</w:t>
            </w:r>
          </w:p>
        </w:tc>
        <w:tc>
          <w:tcPr>
            <w:tcW w:w="0" w:type="auto"/>
          </w:tcPr>
          <w:p w14:paraId="3DC5499A" w14:textId="77777777" w:rsidR="000615CA" w:rsidRDefault="000615CA" w:rsidP="00567BA0">
            <w:pPr>
              <w:pStyle w:val="Compact"/>
            </w:pPr>
            <w:r>
              <w:t>10× coverage, ±0.002 H_e precision</w:t>
            </w:r>
          </w:p>
        </w:tc>
      </w:tr>
      <w:tr w:rsidR="000615CA" w14:paraId="114B3842" w14:textId="77777777" w:rsidTr="00567BA0">
        <w:tc>
          <w:tcPr>
            <w:tcW w:w="0" w:type="auto"/>
          </w:tcPr>
          <w:p w14:paraId="6917A75D" w14:textId="77777777" w:rsidR="000615CA" w:rsidRDefault="000615CA" w:rsidP="00567BA0">
            <w:pPr>
              <w:pStyle w:val="Compact"/>
            </w:pPr>
            <w:r>
              <w:t>Metabarcoding (diet)</w:t>
            </w:r>
          </w:p>
        </w:tc>
        <w:tc>
          <w:tcPr>
            <w:tcW w:w="0" w:type="auto"/>
          </w:tcPr>
          <w:p w14:paraId="4B7C8868" w14:textId="77777777" w:rsidR="000615CA" w:rsidRDefault="000615CA" w:rsidP="00567BA0">
            <w:pPr>
              <w:pStyle w:val="Compact"/>
            </w:pPr>
            <w:r>
              <w:t>PacBio SMRT Sequel II</w:t>
            </w:r>
          </w:p>
        </w:tc>
        <w:tc>
          <w:tcPr>
            <w:tcW w:w="0" w:type="auto"/>
          </w:tcPr>
          <w:p w14:paraId="0389CDA9" w14:textId="77777777" w:rsidR="000615CA" w:rsidRDefault="000615CA" w:rsidP="00567BA0">
            <w:pPr>
              <w:pStyle w:val="Compact"/>
            </w:pPr>
            <w:r>
              <w:t>TMI</w:t>
            </w:r>
          </w:p>
        </w:tc>
        <w:tc>
          <w:tcPr>
            <w:tcW w:w="0" w:type="auto"/>
          </w:tcPr>
          <w:p w14:paraId="58A371A2" w14:textId="77777777" w:rsidR="000615CA" w:rsidRDefault="000615CA" w:rsidP="00567BA0">
            <w:pPr>
              <w:pStyle w:val="Compact"/>
            </w:pPr>
            <w:r>
              <w:t>Species-level resolution, CCS reads</w:t>
            </w:r>
          </w:p>
        </w:tc>
      </w:tr>
      <w:tr w:rsidR="000615CA" w14:paraId="752417AC" w14:textId="77777777" w:rsidTr="00567BA0">
        <w:tc>
          <w:tcPr>
            <w:tcW w:w="0" w:type="auto"/>
          </w:tcPr>
          <w:p w14:paraId="0DB9FEBE" w14:textId="77777777" w:rsidR="000615CA" w:rsidRDefault="000615CA" w:rsidP="00567BA0">
            <w:pPr>
              <w:pStyle w:val="Compact"/>
            </w:pPr>
            <w:r>
              <w:t>Landscape GIS</w:t>
            </w:r>
          </w:p>
        </w:tc>
        <w:tc>
          <w:tcPr>
            <w:tcW w:w="0" w:type="auto"/>
          </w:tcPr>
          <w:p w14:paraId="336E6C6E" w14:textId="77777777" w:rsidR="000615CA" w:rsidRDefault="000615CA" w:rsidP="00567BA0">
            <w:pPr>
              <w:pStyle w:val="Compact"/>
            </w:pPr>
            <w:r>
              <w:t>FRAGSTATS v4.2 + QGIS</w:t>
            </w:r>
          </w:p>
        </w:tc>
        <w:tc>
          <w:tcPr>
            <w:tcW w:w="0" w:type="auto"/>
          </w:tcPr>
          <w:p w14:paraId="2E4294A6" w14:textId="77777777" w:rsidR="000615CA" w:rsidRDefault="000615CA" w:rsidP="00567BA0">
            <w:pPr>
              <w:pStyle w:val="Compact"/>
            </w:pPr>
            <w:r>
              <w:t>AES</w:t>
            </w:r>
          </w:p>
        </w:tc>
        <w:tc>
          <w:tcPr>
            <w:tcW w:w="0" w:type="auto"/>
          </w:tcPr>
          <w:p w14:paraId="4B4D723B" w14:textId="77777777" w:rsidR="000615CA" w:rsidRDefault="000615CA" w:rsidP="00567BA0">
            <w:pPr>
              <w:pStyle w:val="Compact"/>
            </w:pPr>
            <w:r>
              <w:t>10 km buffer, 10 m resolution land cover</w:t>
            </w:r>
          </w:p>
        </w:tc>
      </w:tr>
      <w:tr w:rsidR="000615CA" w14:paraId="10381CC4" w14:textId="77777777" w:rsidTr="00567BA0">
        <w:tc>
          <w:tcPr>
            <w:tcW w:w="0" w:type="auto"/>
          </w:tcPr>
          <w:p w14:paraId="04AD2450" w14:textId="77777777" w:rsidR="000615CA" w:rsidRDefault="000615CA" w:rsidP="00567BA0">
            <w:pPr>
              <w:pStyle w:val="Compact"/>
            </w:pPr>
            <w:r>
              <w:t>Dendrometer bands</w:t>
            </w:r>
          </w:p>
        </w:tc>
        <w:tc>
          <w:tcPr>
            <w:tcW w:w="0" w:type="auto"/>
          </w:tcPr>
          <w:p w14:paraId="0156CA16" w14:textId="77777777" w:rsidR="000615CA" w:rsidRDefault="000615CA" w:rsidP="00567BA0">
            <w:pPr>
              <w:pStyle w:val="Compact"/>
            </w:pPr>
            <w:r>
              <w:t>UMS D1 electronic</w:t>
            </w:r>
          </w:p>
        </w:tc>
        <w:tc>
          <w:tcPr>
            <w:tcW w:w="0" w:type="auto"/>
          </w:tcPr>
          <w:p w14:paraId="79936A3B" w14:textId="77777777" w:rsidR="000615CA" w:rsidRDefault="000615CA" w:rsidP="00567BA0">
            <w:pPr>
              <w:pStyle w:val="Compact"/>
            </w:pPr>
            <w:r>
              <w:t>RRC</w:t>
            </w:r>
          </w:p>
        </w:tc>
        <w:tc>
          <w:tcPr>
            <w:tcW w:w="0" w:type="auto"/>
          </w:tcPr>
          <w:p w14:paraId="275F5B23" w14:textId="77777777" w:rsidR="000615CA" w:rsidRDefault="000615CA" w:rsidP="00567BA0">
            <w:pPr>
              <w:pStyle w:val="Compact"/>
            </w:pPr>
            <w:r>
              <w:t>±0.01 mm diameter, hourly logging</w:t>
            </w:r>
          </w:p>
        </w:tc>
      </w:tr>
      <w:tr w:rsidR="000615CA" w14:paraId="55633903" w14:textId="77777777" w:rsidTr="00567BA0">
        <w:tc>
          <w:tcPr>
            <w:tcW w:w="0" w:type="auto"/>
          </w:tcPr>
          <w:p w14:paraId="53B456E1" w14:textId="77777777" w:rsidR="000615CA" w:rsidRDefault="000615CA" w:rsidP="00567BA0">
            <w:pPr>
              <w:pStyle w:val="Compact"/>
            </w:pPr>
            <w:r>
              <w:t>N deposition model</w:t>
            </w:r>
          </w:p>
        </w:tc>
        <w:tc>
          <w:tcPr>
            <w:tcW w:w="0" w:type="auto"/>
          </w:tcPr>
          <w:p w14:paraId="4875E11C" w14:textId="77777777" w:rsidR="000615CA" w:rsidRDefault="000615CA" w:rsidP="00567BA0">
            <w:pPr>
              <w:pStyle w:val="Compact"/>
            </w:pPr>
            <w:r>
              <w:t>EMEP / CMAQ</w:t>
            </w:r>
          </w:p>
        </w:tc>
        <w:tc>
          <w:tcPr>
            <w:tcW w:w="0" w:type="auto"/>
          </w:tcPr>
          <w:p w14:paraId="6D49D42C" w14:textId="77777777" w:rsidR="000615CA" w:rsidRDefault="000615CA" w:rsidP="00567BA0">
            <w:pPr>
              <w:pStyle w:val="Compact"/>
            </w:pPr>
            <w:r>
              <w:t>AES</w:t>
            </w:r>
          </w:p>
        </w:tc>
        <w:tc>
          <w:tcPr>
            <w:tcW w:w="0" w:type="auto"/>
          </w:tcPr>
          <w:p w14:paraId="445D967E" w14:textId="77777777" w:rsidR="000615CA" w:rsidRDefault="000615CA" w:rsidP="00567BA0">
            <w:pPr>
              <w:pStyle w:val="Compact"/>
            </w:pPr>
            <w:r>
              <w:t>5×5 km grid, ±1.2 kg N·ha⁻¹·yr⁻¹</w:t>
            </w:r>
          </w:p>
        </w:tc>
      </w:tr>
    </w:tbl>
    <w:p w14:paraId="5A8F0EBE" w14:textId="77777777" w:rsidR="000615CA" w:rsidRDefault="000615CA" w:rsidP="00567BA0">
      <w:pPr>
        <w:pStyle w:val="Corpsdetexte"/>
      </w:pPr>
      <w:r>
        <w:t>APPENDIX B</w:t>
      </w:r>
    </w:p>
    <w:p w14:paraId="3D356305" w14:textId="77777777" w:rsidR="000615CA" w:rsidRDefault="000615CA" w:rsidP="00567BA0">
      <w:pPr>
        <w:pStyle w:val="Titre2"/>
      </w:pPr>
      <w:bookmarkStart w:id="47" w:name="X1c1f28c2b9b098426008de10a00abb2626fc847"/>
      <w:r>
        <w:t>BIOTICA IBR Operational Threshold Reference</w:t>
      </w:r>
    </w:p>
    <w:tbl>
      <w:tblPr>
        <w:tblStyle w:val="Table"/>
        <w:tblW w:w="0" w:type="auto"/>
        <w:tblLook w:val="0020" w:firstRow="1" w:lastRow="0" w:firstColumn="0" w:lastColumn="0" w:noHBand="0" w:noVBand="0"/>
      </w:tblPr>
      <w:tblGrid>
        <w:gridCol w:w="1438"/>
        <w:gridCol w:w="1391"/>
        <w:gridCol w:w="1764"/>
        <w:gridCol w:w="1453"/>
        <w:gridCol w:w="1797"/>
        <w:gridCol w:w="1563"/>
      </w:tblGrid>
      <w:tr w:rsidR="000615CA" w14:paraId="4F674A88" w14:textId="77777777" w:rsidTr="00567BA0">
        <w:trPr>
          <w:cnfStyle w:val="100000000000" w:firstRow="1" w:lastRow="0" w:firstColumn="0" w:lastColumn="0" w:oddVBand="0" w:evenVBand="0" w:oddHBand="0" w:evenHBand="0" w:firstRowFirstColumn="0" w:firstRowLastColumn="0" w:lastRowFirstColumn="0" w:lastRowLastColumn="0"/>
          <w:tblHeader/>
        </w:trPr>
        <w:tc>
          <w:tcPr>
            <w:tcW w:w="0" w:type="auto"/>
          </w:tcPr>
          <w:bookmarkEnd w:id="47"/>
          <w:p w14:paraId="4424820B" w14:textId="77777777" w:rsidR="000615CA" w:rsidRDefault="000615CA" w:rsidP="00567BA0">
            <w:pPr>
              <w:pStyle w:val="Compact"/>
            </w:pPr>
            <w:r>
              <w:t>Parameter</w:t>
            </w:r>
          </w:p>
        </w:tc>
        <w:tc>
          <w:tcPr>
            <w:tcW w:w="0" w:type="auto"/>
          </w:tcPr>
          <w:p w14:paraId="479DC7EC" w14:textId="77777777" w:rsidR="000615CA" w:rsidRDefault="000615CA" w:rsidP="00567BA0">
            <w:pPr>
              <w:pStyle w:val="Compact"/>
            </w:pPr>
            <w:r>
              <w:t>PRISTINE (&gt;0.85)</w:t>
            </w:r>
          </w:p>
        </w:tc>
        <w:tc>
          <w:tcPr>
            <w:tcW w:w="0" w:type="auto"/>
          </w:tcPr>
          <w:p w14:paraId="0B0B801B" w14:textId="77777777" w:rsidR="000615CA" w:rsidRDefault="000615CA" w:rsidP="00567BA0">
            <w:pPr>
              <w:pStyle w:val="Compact"/>
            </w:pPr>
            <w:r>
              <w:t>FUNCTIONAL (0.70–0.85)</w:t>
            </w:r>
          </w:p>
        </w:tc>
        <w:tc>
          <w:tcPr>
            <w:tcW w:w="0" w:type="auto"/>
          </w:tcPr>
          <w:p w14:paraId="533E3757" w14:textId="77777777" w:rsidR="000615CA" w:rsidRDefault="000615CA" w:rsidP="00567BA0">
            <w:pPr>
              <w:pStyle w:val="Compact"/>
            </w:pPr>
            <w:r>
              <w:t>IMPAIRED (0.55–0.70)</w:t>
            </w:r>
          </w:p>
        </w:tc>
        <w:tc>
          <w:tcPr>
            <w:tcW w:w="0" w:type="auto"/>
          </w:tcPr>
          <w:p w14:paraId="14DDF2E7" w14:textId="77777777" w:rsidR="000615CA" w:rsidRDefault="000615CA" w:rsidP="00567BA0">
            <w:pPr>
              <w:pStyle w:val="Compact"/>
            </w:pPr>
            <w:r>
              <w:t>DEGRADED (0.40–0.55)</w:t>
            </w:r>
          </w:p>
        </w:tc>
        <w:tc>
          <w:tcPr>
            <w:tcW w:w="0" w:type="auto"/>
          </w:tcPr>
          <w:p w14:paraId="21BC49C8" w14:textId="77777777" w:rsidR="000615CA" w:rsidRDefault="000615CA" w:rsidP="00567BA0">
            <w:pPr>
              <w:pStyle w:val="Compact"/>
            </w:pPr>
            <w:r>
              <w:t>COLLAPSED (&lt;0.40)</w:t>
            </w:r>
          </w:p>
        </w:tc>
      </w:tr>
      <w:tr w:rsidR="000615CA" w14:paraId="1E52B021" w14:textId="77777777" w:rsidTr="00567BA0">
        <w:tc>
          <w:tcPr>
            <w:tcW w:w="0" w:type="auto"/>
          </w:tcPr>
          <w:p w14:paraId="48A32B2F" w14:textId="77777777" w:rsidR="000615CA" w:rsidRDefault="000615CA" w:rsidP="00567BA0">
            <w:pPr>
              <w:pStyle w:val="Compact"/>
            </w:pPr>
            <w:r>
              <w:t>VCA</w:t>
            </w:r>
          </w:p>
        </w:tc>
        <w:tc>
          <w:tcPr>
            <w:tcW w:w="0" w:type="auto"/>
          </w:tcPr>
          <w:p w14:paraId="36BC7381" w14:textId="77777777" w:rsidR="000615CA" w:rsidRDefault="000615CA" w:rsidP="00567BA0">
            <w:pPr>
              <w:pStyle w:val="Compact"/>
            </w:pPr>
            <w:r>
              <w:t>Full carbon sink</w:t>
            </w:r>
          </w:p>
        </w:tc>
        <w:tc>
          <w:tcPr>
            <w:tcW w:w="0" w:type="auto"/>
          </w:tcPr>
          <w:p w14:paraId="76A7F600" w14:textId="77777777" w:rsidR="000615CA" w:rsidRDefault="000615CA" w:rsidP="00567BA0">
            <w:pPr>
              <w:pStyle w:val="Compact"/>
            </w:pPr>
            <w:r>
              <w:t>Near-reference</w:t>
            </w:r>
          </w:p>
        </w:tc>
        <w:tc>
          <w:tcPr>
            <w:tcW w:w="0" w:type="auto"/>
          </w:tcPr>
          <w:p w14:paraId="24954B8C" w14:textId="77777777" w:rsidR="000615CA" w:rsidRDefault="000615CA" w:rsidP="00567BA0">
            <w:pPr>
              <w:pStyle w:val="Compact"/>
            </w:pPr>
            <w:r>
              <w:t>Reduced GPP</w:t>
            </w:r>
          </w:p>
        </w:tc>
        <w:tc>
          <w:tcPr>
            <w:tcW w:w="0" w:type="auto"/>
          </w:tcPr>
          <w:p w14:paraId="0E8002C5" w14:textId="77777777" w:rsidR="000615CA" w:rsidRDefault="000615CA" w:rsidP="00567BA0">
            <w:pPr>
              <w:pStyle w:val="Compact"/>
            </w:pPr>
            <w:r>
              <w:t>Net C source</w:t>
            </w:r>
          </w:p>
        </w:tc>
        <w:tc>
          <w:tcPr>
            <w:tcW w:w="0" w:type="auto"/>
          </w:tcPr>
          <w:p w14:paraId="5FF6E8ED" w14:textId="77777777" w:rsidR="000615CA" w:rsidRDefault="000615CA" w:rsidP="00567BA0">
            <w:pPr>
              <w:pStyle w:val="Compact"/>
            </w:pPr>
            <w:r>
              <w:t>Persistent source</w:t>
            </w:r>
          </w:p>
        </w:tc>
      </w:tr>
      <w:tr w:rsidR="000615CA" w14:paraId="2040B7A3" w14:textId="77777777" w:rsidTr="00567BA0">
        <w:tc>
          <w:tcPr>
            <w:tcW w:w="0" w:type="auto"/>
          </w:tcPr>
          <w:p w14:paraId="653BA845" w14:textId="77777777" w:rsidR="000615CA" w:rsidRDefault="000615CA" w:rsidP="00567BA0">
            <w:pPr>
              <w:pStyle w:val="Compact"/>
            </w:pPr>
            <w:r>
              <w:t>MDI</w:t>
            </w:r>
          </w:p>
        </w:tc>
        <w:tc>
          <w:tcPr>
            <w:tcW w:w="0" w:type="auto"/>
          </w:tcPr>
          <w:p w14:paraId="3CB34771" w14:textId="77777777" w:rsidR="000615CA" w:rsidRDefault="000615CA" w:rsidP="00567BA0">
            <w:pPr>
              <w:pStyle w:val="Compact"/>
            </w:pPr>
            <w:r>
              <w:t>Max func. gene diversity</w:t>
            </w:r>
          </w:p>
        </w:tc>
        <w:tc>
          <w:tcPr>
            <w:tcW w:w="0" w:type="auto"/>
          </w:tcPr>
          <w:p w14:paraId="44C894DD" w14:textId="77777777" w:rsidR="000615CA" w:rsidRDefault="000615CA" w:rsidP="00567BA0">
            <w:pPr>
              <w:pStyle w:val="Compact"/>
            </w:pPr>
            <w:r>
              <w:t>Minor guild loss</w:t>
            </w:r>
          </w:p>
        </w:tc>
        <w:tc>
          <w:tcPr>
            <w:tcW w:w="0" w:type="auto"/>
          </w:tcPr>
          <w:p w14:paraId="5E03C1D1" w14:textId="77777777" w:rsidR="000615CA" w:rsidRDefault="000615CA" w:rsidP="00567BA0">
            <w:pPr>
              <w:pStyle w:val="Compact"/>
            </w:pPr>
            <w:r>
              <w:t>Functional gaps</w:t>
            </w:r>
          </w:p>
        </w:tc>
        <w:tc>
          <w:tcPr>
            <w:tcW w:w="0" w:type="auto"/>
          </w:tcPr>
          <w:p w14:paraId="512F5F78" w14:textId="77777777" w:rsidR="000615CA" w:rsidRDefault="000615CA" w:rsidP="00567BA0">
            <w:pPr>
              <w:pStyle w:val="Compact"/>
            </w:pPr>
            <w:r>
              <w:t>Key guild absent</w:t>
            </w:r>
          </w:p>
        </w:tc>
        <w:tc>
          <w:tcPr>
            <w:tcW w:w="0" w:type="auto"/>
          </w:tcPr>
          <w:p w14:paraId="216E51B1" w14:textId="77777777" w:rsidR="000615CA" w:rsidRDefault="000615CA" w:rsidP="00567BA0">
            <w:pPr>
              <w:pStyle w:val="Compact"/>
            </w:pPr>
            <w:r>
              <w:t>Functional collapse</w:t>
            </w:r>
          </w:p>
        </w:tc>
      </w:tr>
      <w:tr w:rsidR="000615CA" w14:paraId="2DFC406E" w14:textId="77777777" w:rsidTr="00567BA0">
        <w:tc>
          <w:tcPr>
            <w:tcW w:w="0" w:type="auto"/>
          </w:tcPr>
          <w:p w14:paraId="6DD1B4DD" w14:textId="77777777" w:rsidR="000615CA" w:rsidRDefault="000615CA" w:rsidP="00567BA0">
            <w:pPr>
              <w:pStyle w:val="Compact"/>
            </w:pPr>
            <w:r>
              <w:t>PTS</w:t>
            </w:r>
          </w:p>
        </w:tc>
        <w:tc>
          <w:tcPr>
            <w:tcW w:w="0" w:type="auto"/>
          </w:tcPr>
          <w:p w14:paraId="21147B85" w14:textId="77777777" w:rsidR="000615CA" w:rsidRDefault="000615CA" w:rsidP="00567BA0">
            <w:pPr>
              <w:pStyle w:val="Compact"/>
            </w:pPr>
            <w:r>
              <w:t>&lt;5 days shift</w:t>
            </w:r>
          </w:p>
        </w:tc>
        <w:tc>
          <w:tcPr>
            <w:tcW w:w="0" w:type="auto"/>
          </w:tcPr>
          <w:p w14:paraId="29D3731C" w14:textId="77777777" w:rsidR="000615CA" w:rsidRDefault="000615CA" w:rsidP="00567BA0">
            <w:pPr>
              <w:pStyle w:val="Compact"/>
            </w:pPr>
            <w:r>
              <w:t>5–10 days</w:t>
            </w:r>
          </w:p>
        </w:tc>
        <w:tc>
          <w:tcPr>
            <w:tcW w:w="0" w:type="auto"/>
          </w:tcPr>
          <w:p w14:paraId="2FF3D230" w14:textId="77777777" w:rsidR="000615CA" w:rsidRDefault="000615CA" w:rsidP="00567BA0">
            <w:pPr>
              <w:pStyle w:val="Compact"/>
            </w:pPr>
            <w:r>
              <w:t>10–18 days</w:t>
            </w:r>
          </w:p>
        </w:tc>
        <w:tc>
          <w:tcPr>
            <w:tcW w:w="0" w:type="auto"/>
          </w:tcPr>
          <w:p w14:paraId="37D34D2F" w14:textId="77777777" w:rsidR="000615CA" w:rsidRDefault="000615CA" w:rsidP="00567BA0">
            <w:pPr>
              <w:pStyle w:val="Compact"/>
            </w:pPr>
            <w:r>
              <w:t>18–28 days</w:t>
            </w:r>
          </w:p>
        </w:tc>
        <w:tc>
          <w:tcPr>
            <w:tcW w:w="0" w:type="auto"/>
          </w:tcPr>
          <w:p w14:paraId="4044E46F" w14:textId="77777777" w:rsidR="000615CA" w:rsidRDefault="000615CA" w:rsidP="00567BA0">
            <w:pPr>
              <w:pStyle w:val="Compact"/>
            </w:pPr>
            <w:r>
              <w:t>&gt;28 days</w:t>
            </w:r>
          </w:p>
        </w:tc>
      </w:tr>
      <w:tr w:rsidR="000615CA" w14:paraId="3883DD13" w14:textId="77777777" w:rsidTr="00567BA0">
        <w:tc>
          <w:tcPr>
            <w:tcW w:w="0" w:type="auto"/>
          </w:tcPr>
          <w:p w14:paraId="41408817" w14:textId="77777777" w:rsidR="000615CA" w:rsidRDefault="000615CA" w:rsidP="00567BA0">
            <w:pPr>
              <w:pStyle w:val="Compact"/>
            </w:pPr>
            <w:r>
              <w:t>HFI</w:t>
            </w:r>
          </w:p>
        </w:tc>
        <w:tc>
          <w:tcPr>
            <w:tcW w:w="0" w:type="auto"/>
          </w:tcPr>
          <w:p w14:paraId="63B1A2CF" w14:textId="77777777" w:rsidR="000615CA" w:rsidRDefault="000615CA" w:rsidP="00567BA0">
            <w:pPr>
              <w:pStyle w:val="Compact"/>
            </w:pPr>
            <w:r>
              <w:t>AET/PET &gt; 0.92</w:t>
            </w:r>
          </w:p>
        </w:tc>
        <w:tc>
          <w:tcPr>
            <w:tcW w:w="0" w:type="auto"/>
          </w:tcPr>
          <w:p w14:paraId="30BFD1D7" w14:textId="77777777" w:rsidR="000615CA" w:rsidRDefault="000615CA" w:rsidP="00567BA0">
            <w:pPr>
              <w:pStyle w:val="Compact"/>
            </w:pPr>
            <w:r>
              <w:t>0.78–0.92</w:t>
            </w:r>
          </w:p>
        </w:tc>
        <w:tc>
          <w:tcPr>
            <w:tcW w:w="0" w:type="auto"/>
          </w:tcPr>
          <w:p w14:paraId="49E1FB7F" w14:textId="77777777" w:rsidR="000615CA" w:rsidRDefault="000615CA" w:rsidP="00567BA0">
            <w:pPr>
              <w:pStyle w:val="Compact"/>
            </w:pPr>
            <w:r>
              <w:t>0.62–0.78</w:t>
            </w:r>
          </w:p>
        </w:tc>
        <w:tc>
          <w:tcPr>
            <w:tcW w:w="0" w:type="auto"/>
          </w:tcPr>
          <w:p w14:paraId="7D7A2188" w14:textId="77777777" w:rsidR="000615CA" w:rsidRDefault="000615CA" w:rsidP="00567BA0">
            <w:pPr>
              <w:pStyle w:val="Compact"/>
            </w:pPr>
            <w:r>
              <w:t>0.45–0.62</w:t>
            </w:r>
          </w:p>
        </w:tc>
        <w:tc>
          <w:tcPr>
            <w:tcW w:w="0" w:type="auto"/>
          </w:tcPr>
          <w:p w14:paraId="51655BE9" w14:textId="77777777" w:rsidR="000615CA" w:rsidRDefault="000615CA" w:rsidP="00567BA0">
            <w:pPr>
              <w:pStyle w:val="Compact"/>
            </w:pPr>
            <w:r>
              <w:t>&lt;0.45</w:t>
            </w:r>
          </w:p>
        </w:tc>
      </w:tr>
      <w:tr w:rsidR="000615CA" w14:paraId="4CDA40CF" w14:textId="77777777" w:rsidTr="00567BA0">
        <w:tc>
          <w:tcPr>
            <w:tcW w:w="0" w:type="auto"/>
          </w:tcPr>
          <w:p w14:paraId="35C4FD2A" w14:textId="77777777" w:rsidR="000615CA" w:rsidRDefault="000615CA" w:rsidP="00567BA0">
            <w:pPr>
              <w:pStyle w:val="Compact"/>
            </w:pPr>
            <w:r>
              <w:t>BNC</w:t>
            </w:r>
          </w:p>
        </w:tc>
        <w:tc>
          <w:tcPr>
            <w:tcW w:w="0" w:type="auto"/>
          </w:tcPr>
          <w:p w14:paraId="6131173D" w14:textId="77777777" w:rsidR="000615CA" w:rsidRDefault="000615CA" w:rsidP="00567BA0">
            <w:pPr>
              <w:pStyle w:val="Compact"/>
            </w:pPr>
            <w:r>
              <w:t>Full nutrient cycle</w:t>
            </w:r>
          </w:p>
        </w:tc>
        <w:tc>
          <w:tcPr>
            <w:tcW w:w="0" w:type="auto"/>
          </w:tcPr>
          <w:p w14:paraId="335556FA" w14:textId="77777777" w:rsidR="000615CA" w:rsidRDefault="000615CA" w:rsidP="00567BA0">
            <w:pPr>
              <w:pStyle w:val="Compact"/>
            </w:pPr>
            <w:r>
              <w:t>Minor leakage</w:t>
            </w:r>
          </w:p>
        </w:tc>
        <w:tc>
          <w:tcPr>
            <w:tcW w:w="0" w:type="auto"/>
          </w:tcPr>
          <w:p w14:paraId="6BF68A29" w14:textId="77777777" w:rsidR="000615CA" w:rsidRDefault="000615CA" w:rsidP="00567BA0">
            <w:pPr>
              <w:pStyle w:val="Compact"/>
            </w:pPr>
            <w:r>
              <w:t>Moderate loss</w:t>
            </w:r>
          </w:p>
        </w:tc>
        <w:tc>
          <w:tcPr>
            <w:tcW w:w="0" w:type="auto"/>
          </w:tcPr>
          <w:p w14:paraId="6C1F42D3" w14:textId="77777777" w:rsidR="000615CA" w:rsidRDefault="000615CA" w:rsidP="00567BA0">
            <w:pPr>
              <w:pStyle w:val="Compact"/>
            </w:pPr>
            <w:r>
              <w:t>Stoich. imbalance</w:t>
            </w:r>
          </w:p>
        </w:tc>
        <w:tc>
          <w:tcPr>
            <w:tcW w:w="0" w:type="auto"/>
          </w:tcPr>
          <w:p w14:paraId="06538321" w14:textId="77777777" w:rsidR="000615CA" w:rsidRDefault="000615CA" w:rsidP="00567BA0">
            <w:pPr>
              <w:pStyle w:val="Compact"/>
            </w:pPr>
            <w:r>
              <w:t>Cycle breakdown</w:t>
            </w:r>
          </w:p>
        </w:tc>
      </w:tr>
      <w:tr w:rsidR="000615CA" w14:paraId="532DE113" w14:textId="77777777" w:rsidTr="00567BA0">
        <w:tc>
          <w:tcPr>
            <w:tcW w:w="0" w:type="auto"/>
          </w:tcPr>
          <w:p w14:paraId="6BF52B66" w14:textId="77777777" w:rsidR="000615CA" w:rsidRDefault="000615CA" w:rsidP="00567BA0">
            <w:pPr>
              <w:pStyle w:val="Compact"/>
            </w:pPr>
            <w:r>
              <w:t>SGH</w:t>
            </w:r>
          </w:p>
        </w:tc>
        <w:tc>
          <w:tcPr>
            <w:tcW w:w="0" w:type="auto"/>
          </w:tcPr>
          <w:p w14:paraId="378EDEF7" w14:textId="77777777" w:rsidR="000615CA" w:rsidRDefault="000615CA" w:rsidP="00567BA0">
            <w:pPr>
              <w:pStyle w:val="Compact"/>
            </w:pPr>
            <w:r>
              <w:t>H_e &gt; 0.78</w:t>
            </w:r>
          </w:p>
        </w:tc>
        <w:tc>
          <w:tcPr>
            <w:tcW w:w="0" w:type="auto"/>
          </w:tcPr>
          <w:p w14:paraId="7F0C8DC2" w14:textId="77777777" w:rsidR="000615CA" w:rsidRDefault="000615CA" w:rsidP="00567BA0">
            <w:pPr>
              <w:pStyle w:val="Compact"/>
            </w:pPr>
            <w:r>
              <w:t>0.62–0.78</w:t>
            </w:r>
          </w:p>
        </w:tc>
        <w:tc>
          <w:tcPr>
            <w:tcW w:w="0" w:type="auto"/>
          </w:tcPr>
          <w:p w14:paraId="1FA73820" w14:textId="77777777" w:rsidR="000615CA" w:rsidRDefault="000615CA" w:rsidP="00567BA0">
            <w:pPr>
              <w:pStyle w:val="Compact"/>
            </w:pPr>
            <w:r>
              <w:t>0.46–0.62</w:t>
            </w:r>
          </w:p>
        </w:tc>
        <w:tc>
          <w:tcPr>
            <w:tcW w:w="0" w:type="auto"/>
          </w:tcPr>
          <w:p w14:paraId="6D20E5A2" w14:textId="77777777" w:rsidR="000615CA" w:rsidRDefault="000615CA" w:rsidP="00567BA0">
            <w:pPr>
              <w:pStyle w:val="Compact"/>
            </w:pPr>
            <w:r>
              <w:t>0.30–0.46</w:t>
            </w:r>
          </w:p>
        </w:tc>
        <w:tc>
          <w:tcPr>
            <w:tcW w:w="0" w:type="auto"/>
          </w:tcPr>
          <w:p w14:paraId="22167908" w14:textId="77777777" w:rsidR="000615CA" w:rsidRDefault="000615CA" w:rsidP="00567BA0">
            <w:pPr>
              <w:pStyle w:val="Compact"/>
            </w:pPr>
            <w:r>
              <w:t>&lt;0.30</w:t>
            </w:r>
          </w:p>
        </w:tc>
      </w:tr>
      <w:tr w:rsidR="000615CA" w14:paraId="7F0DC099" w14:textId="77777777" w:rsidTr="00567BA0">
        <w:tc>
          <w:tcPr>
            <w:tcW w:w="0" w:type="auto"/>
          </w:tcPr>
          <w:p w14:paraId="22208672" w14:textId="77777777" w:rsidR="000615CA" w:rsidRDefault="000615CA" w:rsidP="00567BA0">
            <w:pPr>
              <w:pStyle w:val="Compact"/>
            </w:pPr>
            <w:r>
              <w:t>AES</w:t>
            </w:r>
          </w:p>
        </w:tc>
        <w:tc>
          <w:tcPr>
            <w:tcW w:w="0" w:type="auto"/>
          </w:tcPr>
          <w:p w14:paraId="54D29682" w14:textId="77777777" w:rsidR="000615CA" w:rsidRDefault="000615CA" w:rsidP="00567BA0">
            <w:pPr>
              <w:pStyle w:val="Compact"/>
            </w:pPr>
            <w:r>
              <w:t>Zero pressure</w:t>
            </w:r>
          </w:p>
        </w:tc>
        <w:tc>
          <w:tcPr>
            <w:tcW w:w="0" w:type="auto"/>
          </w:tcPr>
          <w:p w14:paraId="2DE4E3ED" w14:textId="77777777" w:rsidR="000615CA" w:rsidRDefault="000615CA" w:rsidP="00567BA0">
            <w:pPr>
              <w:pStyle w:val="Compact"/>
            </w:pPr>
            <w:r>
              <w:t>Low impact</w:t>
            </w:r>
          </w:p>
        </w:tc>
        <w:tc>
          <w:tcPr>
            <w:tcW w:w="0" w:type="auto"/>
          </w:tcPr>
          <w:p w14:paraId="4108C7C0" w14:textId="77777777" w:rsidR="000615CA" w:rsidRDefault="000615CA" w:rsidP="00567BA0">
            <w:pPr>
              <w:pStyle w:val="Compact"/>
            </w:pPr>
            <w:r>
              <w:t>Moderate impact</w:t>
            </w:r>
          </w:p>
        </w:tc>
        <w:tc>
          <w:tcPr>
            <w:tcW w:w="0" w:type="auto"/>
          </w:tcPr>
          <w:p w14:paraId="08E3E3A0" w14:textId="77777777" w:rsidR="000615CA" w:rsidRDefault="000615CA" w:rsidP="00567BA0">
            <w:pPr>
              <w:pStyle w:val="Compact"/>
            </w:pPr>
            <w:r>
              <w:t>High fragmentation</w:t>
            </w:r>
          </w:p>
        </w:tc>
        <w:tc>
          <w:tcPr>
            <w:tcW w:w="0" w:type="auto"/>
          </w:tcPr>
          <w:p w14:paraId="29A0208E" w14:textId="77777777" w:rsidR="000615CA" w:rsidRDefault="000615CA" w:rsidP="00567BA0">
            <w:pPr>
              <w:pStyle w:val="Compact"/>
            </w:pPr>
            <w:r>
              <w:t>Total conversion</w:t>
            </w:r>
          </w:p>
        </w:tc>
      </w:tr>
      <w:tr w:rsidR="000615CA" w14:paraId="2D41ECFE" w14:textId="77777777" w:rsidTr="00567BA0">
        <w:tc>
          <w:tcPr>
            <w:tcW w:w="0" w:type="auto"/>
          </w:tcPr>
          <w:p w14:paraId="4DA2A5B1" w14:textId="77777777" w:rsidR="000615CA" w:rsidRDefault="000615CA" w:rsidP="00567BA0">
            <w:pPr>
              <w:pStyle w:val="Compact"/>
            </w:pPr>
            <w:r>
              <w:t>TMI</w:t>
            </w:r>
          </w:p>
        </w:tc>
        <w:tc>
          <w:tcPr>
            <w:tcW w:w="0" w:type="auto"/>
          </w:tcPr>
          <w:p w14:paraId="73BB57BB" w14:textId="77777777" w:rsidR="000615CA" w:rsidRDefault="000615CA" w:rsidP="00567BA0">
            <w:pPr>
              <w:pStyle w:val="Compact"/>
            </w:pPr>
            <w:r>
              <w:t>Full web intact</w:t>
            </w:r>
          </w:p>
        </w:tc>
        <w:tc>
          <w:tcPr>
            <w:tcW w:w="0" w:type="auto"/>
          </w:tcPr>
          <w:p w14:paraId="7521985E" w14:textId="77777777" w:rsidR="000615CA" w:rsidRDefault="000615CA" w:rsidP="00567BA0">
            <w:pPr>
              <w:pStyle w:val="Compact"/>
            </w:pPr>
            <w:r>
              <w:t>Minor link loss</w:t>
            </w:r>
          </w:p>
        </w:tc>
        <w:tc>
          <w:tcPr>
            <w:tcW w:w="0" w:type="auto"/>
          </w:tcPr>
          <w:p w14:paraId="24DF3C85" w14:textId="77777777" w:rsidR="000615CA" w:rsidRDefault="000615CA" w:rsidP="00567BA0">
            <w:pPr>
              <w:pStyle w:val="Compact"/>
            </w:pPr>
            <w:r>
              <w:t>Keystone at risk</w:t>
            </w:r>
          </w:p>
        </w:tc>
        <w:tc>
          <w:tcPr>
            <w:tcW w:w="0" w:type="auto"/>
          </w:tcPr>
          <w:p w14:paraId="23218339" w14:textId="77777777" w:rsidR="000615CA" w:rsidRDefault="000615CA" w:rsidP="00567BA0">
            <w:pPr>
              <w:pStyle w:val="Compact"/>
            </w:pPr>
            <w:r>
              <w:t>Cascade active</w:t>
            </w:r>
          </w:p>
        </w:tc>
        <w:tc>
          <w:tcPr>
            <w:tcW w:w="0" w:type="auto"/>
          </w:tcPr>
          <w:p w14:paraId="57B3F16E" w14:textId="77777777" w:rsidR="000615CA" w:rsidRDefault="000615CA" w:rsidP="00567BA0">
            <w:pPr>
              <w:pStyle w:val="Compact"/>
            </w:pPr>
            <w:r>
              <w:t>Web collapse</w:t>
            </w:r>
          </w:p>
        </w:tc>
      </w:tr>
      <w:tr w:rsidR="000615CA" w14:paraId="6F6F52A7" w14:textId="77777777" w:rsidTr="00567BA0">
        <w:tc>
          <w:tcPr>
            <w:tcW w:w="0" w:type="auto"/>
          </w:tcPr>
          <w:p w14:paraId="552D928E" w14:textId="77777777" w:rsidR="000615CA" w:rsidRDefault="000615CA" w:rsidP="00567BA0">
            <w:pPr>
              <w:pStyle w:val="Compact"/>
            </w:pPr>
            <w:r>
              <w:t>RRC</w:t>
            </w:r>
          </w:p>
        </w:tc>
        <w:tc>
          <w:tcPr>
            <w:tcW w:w="0" w:type="auto"/>
          </w:tcPr>
          <w:p w14:paraId="505C39F6" w14:textId="77777777" w:rsidR="000615CA" w:rsidRDefault="000615CA" w:rsidP="00567BA0">
            <w:pPr>
              <w:pStyle w:val="Compact"/>
            </w:pPr>
            <w:r>
              <w:t>τ &lt; 15 yrs</w:t>
            </w:r>
          </w:p>
        </w:tc>
        <w:tc>
          <w:tcPr>
            <w:tcW w:w="0" w:type="auto"/>
          </w:tcPr>
          <w:p w14:paraId="7D286D2D" w14:textId="77777777" w:rsidR="000615CA" w:rsidRDefault="000615CA" w:rsidP="00567BA0">
            <w:pPr>
              <w:pStyle w:val="Compact"/>
            </w:pPr>
            <w:r>
              <w:t>15–35 yrs</w:t>
            </w:r>
          </w:p>
        </w:tc>
        <w:tc>
          <w:tcPr>
            <w:tcW w:w="0" w:type="auto"/>
          </w:tcPr>
          <w:p w14:paraId="12F15D3F" w14:textId="77777777" w:rsidR="000615CA" w:rsidRDefault="000615CA" w:rsidP="00567BA0">
            <w:pPr>
              <w:pStyle w:val="Compact"/>
            </w:pPr>
            <w:r>
              <w:t>35–75 yrs</w:t>
            </w:r>
          </w:p>
        </w:tc>
        <w:tc>
          <w:tcPr>
            <w:tcW w:w="0" w:type="auto"/>
          </w:tcPr>
          <w:p w14:paraId="50930424" w14:textId="77777777" w:rsidR="000615CA" w:rsidRDefault="000615CA" w:rsidP="00567BA0">
            <w:pPr>
              <w:pStyle w:val="Compact"/>
            </w:pPr>
            <w:r>
              <w:t>&gt;75 yrs</w:t>
            </w:r>
          </w:p>
        </w:tc>
        <w:tc>
          <w:tcPr>
            <w:tcW w:w="0" w:type="auto"/>
          </w:tcPr>
          <w:p w14:paraId="3312B325" w14:textId="77777777" w:rsidR="000615CA" w:rsidRDefault="000615CA" w:rsidP="00567BA0">
            <w:pPr>
              <w:pStyle w:val="Compact"/>
            </w:pPr>
            <w:r>
              <w:t>Alt. stable state</w:t>
            </w:r>
          </w:p>
        </w:tc>
      </w:tr>
      <w:tr w:rsidR="000615CA" w14:paraId="458D4F1D" w14:textId="77777777" w:rsidTr="00567BA0">
        <w:tc>
          <w:tcPr>
            <w:tcW w:w="0" w:type="auto"/>
          </w:tcPr>
          <w:p w14:paraId="1CC2C40F" w14:textId="77777777" w:rsidR="000615CA" w:rsidRDefault="000615CA" w:rsidP="00567BA0">
            <w:pPr>
              <w:pStyle w:val="Compact"/>
            </w:pPr>
            <w:r>
              <w:rPr>
                <w:b/>
                <w:bCs/>
              </w:rPr>
              <w:t>IBR Composite</w:t>
            </w:r>
          </w:p>
        </w:tc>
        <w:tc>
          <w:tcPr>
            <w:tcW w:w="0" w:type="auto"/>
          </w:tcPr>
          <w:p w14:paraId="76E842CC" w14:textId="77777777" w:rsidR="000615CA" w:rsidRDefault="000615CA" w:rsidP="00567BA0">
            <w:pPr>
              <w:pStyle w:val="Compact"/>
            </w:pPr>
            <w:r>
              <w:rPr>
                <w:b/>
                <w:bCs/>
              </w:rPr>
              <w:t>&gt;0.88</w:t>
            </w:r>
          </w:p>
        </w:tc>
        <w:tc>
          <w:tcPr>
            <w:tcW w:w="0" w:type="auto"/>
          </w:tcPr>
          <w:p w14:paraId="475773A9" w14:textId="77777777" w:rsidR="000615CA" w:rsidRDefault="000615CA" w:rsidP="00567BA0">
            <w:pPr>
              <w:pStyle w:val="Compact"/>
            </w:pPr>
            <w:r>
              <w:rPr>
                <w:b/>
                <w:bCs/>
              </w:rPr>
              <w:t>0.75–0.88</w:t>
            </w:r>
          </w:p>
        </w:tc>
        <w:tc>
          <w:tcPr>
            <w:tcW w:w="0" w:type="auto"/>
          </w:tcPr>
          <w:p w14:paraId="00FCF549" w14:textId="77777777" w:rsidR="000615CA" w:rsidRDefault="000615CA" w:rsidP="00567BA0">
            <w:pPr>
              <w:pStyle w:val="Compact"/>
            </w:pPr>
            <w:r>
              <w:rPr>
                <w:b/>
                <w:bCs/>
              </w:rPr>
              <w:t>0.60–0.75</w:t>
            </w:r>
          </w:p>
        </w:tc>
        <w:tc>
          <w:tcPr>
            <w:tcW w:w="0" w:type="auto"/>
          </w:tcPr>
          <w:p w14:paraId="035AB1AA" w14:textId="77777777" w:rsidR="000615CA" w:rsidRDefault="000615CA" w:rsidP="00567BA0">
            <w:pPr>
              <w:pStyle w:val="Compact"/>
            </w:pPr>
            <w:r>
              <w:rPr>
                <w:b/>
                <w:bCs/>
              </w:rPr>
              <w:t>0.45–0.60</w:t>
            </w:r>
          </w:p>
        </w:tc>
        <w:tc>
          <w:tcPr>
            <w:tcW w:w="0" w:type="auto"/>
          </w:tcPr>
          <w:p w14:paraId="495E6674" w14:textId="77777777" w:rsidR="000615CA" w:rsidRDefault="000615CA" w:rsidP="00567BA0">
            <w:pPr>
              <w:pStyle w:val="Compact"/>
            </w:pPr>
            <w:r>
              <w:rPr>
                <w:b/>
                <w:bCs/>
              </w:rPr>
              <w:t>&lt;0.45</w:t>
            </w:r>
          </w:p>
        </w:tc>
      </w:tr>
    </w:tbl>
    <w:p w14:paraId="5920DB08" w14:textId="77777777" w:rsidR="000615CA" w:rsidRDefault="000615CA" w:rsidP="00567BA0">
      <w:pPr>
        <w:pStyle w:val="Corpsdetexte"/>
      </w:pPr>
      <w:r>
        <w:t>APPENDIX C</w:t>
      </w:r>
    </w:p>
    <w:p w14:paraId="5C7FB764" w14:textId="77777777" w:rsidR="000615CA" w:rsidRDefault="000615CA" w:rsidP="00567BA0">
      <w:pPr>
        <w:pStyle w:val="Titre2"/>
      </w:pPr>
      <w:bookmarkStart w:id="48" w:name="data-availability-repository-information"/>
      <w:r>
        <w:t>Data Availability &amp; Repository Information</w:t>
      </w:r>
    </w:p>
    <w:tbl>
      <w:tblPr>
        <w:tblStyle w:val="Table"/>
        <w:tblW w:w="0" w:type="auto"/>
        <w:tblLook w:val="0020" w:firstRow="1" w:lastRow="0" w:firstColumn="0" w:lastColumn="0" w:noHBand="0" w:noVBand="0"/>
      </w:tblPr>
      <w:tblGrid>
        <w:gridCol w:w="1757"/>
        <w:gridCol w:w="2810"/>
        <w:gridCol w:w="4839"/>
      </w:tblGrid>
      <w:tr w:rsidR="000615CA" w14:paraId="4962BDCA" w14:textId="77777777" w:rsidTr="00732661">
        <w:trPr>
          <w:cnfStyle w:val="100000000000" w:firstRow="1" w:lastRow="0" w:firstColumn="0" w:lastColumn="0" w:oddVBand="0" w:evenVBand="0" w:oddHBand="0" w:evenHBand="0" w:firstRowFirstColumn="0" w:firstRowLastColumn="0" w:lastRowFirstColumn="0" w:lastRowLastColumn="0"/>
          <w:tblHeader/>
        </w:trPr>
        <w:tc>
          <w:tcPr>
            <w:tcW w:w="0" w:type="auto"/>
          </w:tcPr>
          <w:bookmarkEnd w:id="48"/>
          <w:p w14:paraId="2AAB7057" w14:textId="77777777" w:rsidR="000615CA" w:rsidRDefault="000615CA" w:rsidP="00567BA0">
            <w:pPr>
              <w:pStyle w:val="Compact"/>
            </w:pPr>
            <w:r>
              <w:t>Category</w:t>
            </w:r>
          </w:p>
        </w:tc>
        <w:tc>
          <w:tcPr>
            <w:tcW w:w="0" w:type="auto"/>
          </w:tcPr>
          <w:p w14:paraId="0E017A7F" w14:textId="77777777" w:rsidR="000615CA" w:rsidRDefault="000615CA" w:rsidP="00567BA0">
            <w:pPr>
              <w:pStyle w:val="Compact"/>
            </w:pPr>
            <w:r>
              <w:t>Resource / Platform</w:t>
            </w:r>
          </w:p>
        </w:tc>
        <w:tc>
          <w:tcPr>
            <w:tcW w:w="0" w:type="auto"/>
          </w:tcPr>
          <w:p w14:paraId="69C51926" w14:textId="77777777" w:rsidR="000615CA" w:rsidRDefault="000615CA" w:rsidP="00567BA0">
            <w:pPr>
              <w:pStyle w:val="Compact"/>
            </w:pPr>
            <w:r>
              <w:t>URL / Contact</w:t>
            </w:r>
          </w:p>
        </w:tc>
      </w:tr>
      <w:tr w:rsidR="000615CA" w14:paraId="2A031AF2" w14:textId="77777777" w:rsidTr="00732661">
        <w:tc>
          <w:tcPr>
            <w:tcW w:w="0" w:type="auto"/>
          </w:tcPr>
          <w:p w14:paraId="6C17D94E" w14:textId="77777777" w:rsidR="000615CA" w:rsidRDefault="000615CA" w:rsidP="00567BA0">
            <w:pPr>
              <w:pStyle w:val="Compact"/>
            </w:pPr>
            <w:r>
              <w:t>Project Repository</w:t>
            </w:r>
          </w:p>
        </w:tc>
        <w:tc>
          <w:tcPr>
            <w:tcW w:w="0" w:type="auto"/>
          </w:tcPr>
          <w:p w14:paraId="69F866E4" w14:textId="77777777" w:rsidR="000615CA" w:rsidRDefault="000615CA" w:rsidP="00567BA0">
            <w:pPr>
              <w:pStyle w:val="Compact"/>
            </w:pPr>
            <w:r>
              <w:t>BIOTICA · GitLab</w:t>
            </w:r>
          </w:p>
        </w:tc>
        <w:tc>
          <w:tcPr>
            <w:tcW w:w="0" w:type="auto"/>
          </w:tcPr>
          <w:p w14:paraId="799025B2" w14:textId="77777777" w:rsidR="000615CA" w:rsidRDefault="000615CA" w:rsidP="00567BA0">
            <w:pPr>
              <w:pStyle w:val="Compact"/>
            </w:pPr>
            <w:r>
              <w:t>https://gitlab.com/gitdeeper07/biotica</w:t>
            </w:r>
          </w:p>
        </w:tc>
      </w:tr>
      <w:tr w:rsidR="000615CA" w14:paraId="262333A0" w14:textId="77777777" w:rsidTr="00732661">
        <w:tc>
          <w:tcPr>
            <w:tcW w:w="0" w:type="auto"/>
          </w:tcPr>
          <w:p w14:paraId="542D845D" w14:textId="77777777" w:rsidR="000615CA" w:rsidRDefault="000615CA" w:rsidP="00567BA0">
            <w:pPr>
              <w:pStyle w:val="Compact"/>
            </w:pPr>
            <w:r>
              <w:t>Project Repository</w:t>
            </w:r>
          </w:p>
        </w:tc>
        <w:tc>
          <w:tcPr>
            <w:tcW w:w="0" w:type="auto"/>
          </w:tcPr>
          <w:p w14:paraId="713BC471" w14:textId="77777777" w:rsidR="000615CA" w:rsidRDefault="000615CA" w:rsidP="00567BA0">
            <w:pPr>
              <w:pStyle w:val="Compact"/>
            </w:pPr>
            <w:r>
              <w:t>BIOTICA · GitHub</w:t>
            </w:r>
          </w:p>
        </w:tc>
        <w:tc>
          <w:tcPr>
            <w:tcW w:w="0" w:type="auto"/>
          </w:tcPr>
          <w:p w14:paraId="1CEC0908" w14:textId="77777777" w:rsidR="000615CA" w:rsidRDefault="000615CA" w:rsidP="00567BA0">
            <w:pPr>
              <w:pStyle w:val="Compact"/>
            </w:pPr>
            <w:r>
              <w:t>https://github.com/gitdeeper07/biotica</w:t>
            </w:r>
          </w:p>
        </w:tc>
      </w:tr>
      <w:tr w:rsidR="000615CA" w14:paraId="0FDBB24C" w14:textId="77777777" w:rsidTr="00732661">
        <w:tc>
          <w:tcPr>
            <w:tcW w:w="0" w:type="auto"/>
          </w:tcPr>
          <w:p w14:paraId="2F80520D" w14:textId="77777777" w:rsidR="000615CA" w:rsidRDefault="000615CA" w:rsidP="00567BA0">
            <w:pPr>
              <w:pStyle w:val="Compact"/>
            </w:pPr>
            <w:r>
              <w:t>Plot Database</w:t>
            </w:r>
          </w:p>
        </w:tc>
        <w:tc>
          <w:tcPr>
            <w:tcW w:w="0" w:type="auto"/>
          </w:tcPr>
          <w:p w14:paraId="68D876CA" w14:textId="77777777" w:rsidR="000615CA" w:rsidRDefault="000615CA" w:rsidP="00567BA0">
            <w:pPr>
              <w:pStyle w:val="Compact"/>
            </w:pPr>
            <w:r>
              <w:t>BIOTICA Extended Records · Zenodo</w:t>
            </w:r>
          </w:p>
        </w:tc>
        <w:tc>
          <w:tcPr>
            <w:tcW w:w="0" w:type="auto"/>
          </w:tcPr>
          <w:p w14:paraId="53521AD1" w14:textId="5BC9BBC2" w:rsidR="000615CA" w:rsidRDefault="000615CA" w:rsidP="00567BA0">
            <w:pPr>
              <w:pStyle w:val="Compact"/>
            </w:pPr>
            <w:r>
              <w:t>https://</w:t>
            </w:r>
            <w:r w:rsidR="00732661">
              <w:rPr>
                <w:rFonts w:ascii="Helvetica" w:eastAsia="Times New Roman" w:hAnsi="Helvetica"/>
                <w:b/>
                <w:bCs/>
                <w:sz w:val="20"/>
                <w:szCs w:val="20"/>
                <w:shd w:val="clear" w:color="auto" w:fill="FFFFFF"/>
              </w:rPr>
              <w:t>10.5281/zenodo.18745310</w:t>
            </w:r>
          </w:p>
        </w:tc>
      </w:tr>
      <w:tr w:rsidR="000615CA" w14:paraId="01C35AC5" w14:textId="77777777" w:rsidTr="00732661">
        <w:tc>
          <w:tcPr>
            <w:tcW w:w="0" w:type="auto"/>
          </w:tcPr>
          <w:p w14:paraId="7A53D670" w14:textId="77777777" w:rsidR="000615CA" w:rsidRDefault="000615CA" w:rsidP="00567BA0">
            <w:pPr>
              <w:pStyle w:val="Compact"/>
            </w:pPr>
            <w:r>
              <w:t>Carbon Flux Data</w:t>
            </w:r>
          </w:p>
        </w:tc>
        <w:tc>
          <w:tcPr>
            <w:tcW w:w="0" w:type="auto"/>
          </w:tcPr>
          <w:p w14:paraId="7D5675CE" w14:textId="77777777" w:rsidR="000615CA" w:rsidRDefault="000615CA" w:rsidP="00567BA0">
            <w:pPr>
              <w:pStyle w:val="Compact"/>
            </w:pPr>
            <w:r>
              <w:t>FLUXNET 2015 / ICOS</w:t>
            </w:r>
          </w:p>
        </w:tc>
        <w:tc>
          <w:tcPr>
            <w:tcW w:w="0" w:type="auto"/>
          </w:tcPr>
          <w:p w14:paraId="78F2480F" w14:textId="77777777" w:rsidR="000615CA" w:rsidRDefault="000615CA" w:rsidP="00567BA0">
            <w:pPr>
              <w:pStyle w:val="Compact"/>
            </w:pPr>
            <w:r>
              <w:t>https://fluxnet.org / https://www.icos-cp.eu</w:t>
            </w:r>
          </w:p>
        </w:tc>
      </w:tr>
      <w:tr w:rsidR="000615CA" w14:paraId="329E3412" w14:textId="77777777" w:rsidTr="00732661">
        <w:tc>
          <w:tcPr>
            <w:tcW w:w="0" w:type="auto"/>
          </w:tcPr>
          <w:p w14:paraId="3E7DD9A9" w14:textId="77777777" w:rsidR="000615CA" w:rsidRDefault="000615CA" w:rsidP="00567BA0">
            <w:pPr>
              <w:pStyle w:val="Compact"/>
            </w:pPr>
            <w:r>
              <w:t>Remote Sensing</w:t>
            </w:r>
          </w:p>
        </w:tc>
        <w:tc>
          <w:tcPr>
            <w:tcW w:w="0" w:type="auto"/>
          </w:tcPr>
          <w:p w14:paraId="7D13F4AC" w14:textId="77777777" w:rsidR="000615CA" w:rsidRDefault="000615CA" w:rsidP="00567BA0">
            <w:pPr>
              <w:pStyle w:val="Compact"/>
            </w:pPr>
            <w:r>
              <w:t>DESIS / PRISMA Portal</w:t>
            </w:r>
          </w:p>
        </w:tc>
        <w:tc>
          <w:tcPr>
            <w:tcW w:w="0" w:type="auto"/>
          </w:tcPr>
          <w:p w14:paraId="019E57E2" w14:textId="77777777" w:rsidR="000615CA" w:rsidRDefault="000615CA" w:rsidP="00567BA0">
            <w:pPr>
              <w:pStyle w:val="Compact"/>
            </w:pPr>
            <w:r>
              <w:t>https://www.dlr.de/eoc/desis</w:t>
            </w:r>
          </w:p>
        </w:tc>
      </w:tr>
      <w:tr w:rsidR="000615CA" w14:paraId="09F16EB6" w14:textId="77777777" w:rsidTr="00732661">
        <w:tc>
          <w:tcPr>
            <w:tcW w:w="0" w:type="auto"/>
          </w:tcPr>
          <w:p w14:paraId="7A406E81" w14:textId="77777777" w:rsidR="000615CA" w:rsidRDefault="000615CA" w:rsidP="00567BA0">
            <w:pPr>
              <w:pStyle w:val="Compact"/>
            </w:pPr>
            <w:r>
              <w:t>Biodiversity Data</w:t>
            </w:r>
          </w:p>
        </w:tc>
        <w:tc>
          <w:tcPr>
            <w:tcW w:w="0" w:type="auto"/>
          </w:tcPr>
          <w:p w14:paraId="14DC39A6" w14:textId="77777777" w:rsidR="000615CA" w:rsidRDefault="000615CA" w:rsidP="00567BA0">
            <w:pPr>
              <w:pStyle w:val="Compact"/>
            </w:pPr>
            <w:r>
              <w:t>GBIF Global Database</w:t>
            </w:r>
          </w:p>
        </w:tc>
        <w:tc>
          <w:tcPr>
            <w:tcW w:w="0" w:type="auto"/>
          </w:tcPr>
          <w:p w14:paraId="5F9C4AE0" w14:textId="77777777" w:rsidR="000615CA" w:rsidRDefault="000615CA" w:rsidP="00567BA0">
            <w:pPr>
              <w:pStyle w:val="Compact"/>
            </w:pPr>
            <w:r>
              <w:t>https://www.gbif.org</w:t>
            </w:r>
          </w:p>
        </w:tc>
      </w:tr>
      <w:tr w:rsidR="000615CA" w14:paraId="519D878A" w14:textId="77777777" w:rsidTr="00732661">
        <w:tc>
          <w:tcPr>
            <w:tcW w:w="0" w:type="auto"/>
          </w:tcPr>
          <w:p w14:paraId="0E30EED9" w14:textId="77777777" w:rsidR="000615CA" w:rsidRDefault="000615CA" w:rsidP="00567BA0">
            <w:pPr>
              <w:pStyle w:val="Compact"/>
            </w:pPr>
            <w:r>
              <w:t>Genetic Data</w:t>
            </w:r>
          </w:p>
        </w:tc>
        <w:tc>
          <w:tcPr>
            <w:tcW w:w="0" w:type="auto"/>
          </w:tcPr>
          <w:p w14:paraId="0647AD30" w14:textId="77777777" w:rsidR="000615CA" w:rsidRDefault="000615CA" w:rsidP="00567BA0">
            <w:pPr>
              <w:pStyle w:val="Compact"/>
            </w:pPr>
            <w:r>
              <w:t>NCBI SRA Database</w:t>
            </w:r>
          </w:p>
        </w:tc>
        <w:tc>
          <w:tcPr>
            <w:tcW w:w="0" w:type="auto"/>
          </w:tcPr>
          <w:p w14:paraId="06CBC051" w14:textId="77777777" w:rsidR="000615CA" w:rsidRDefault="000615CA" w:rsidP="00567BA0">
            <w:pPr>
              <w:pStyle w:val="Compact"/>
            </w:pPr>
            <w:r>
              <w:t>https://www.ncbi.nlm.nih.gov/sra</w:t>
            </w:r>
          </w:p>
        </w:tc>
      </w:tr>
      <w:tr w:rsidR="000615CA" w14:paraId="5346FBA5" w14:textId="77777777" w:rsidTr="00732661">
        <w:tc>
          <w:tcPr>
            <w:tcW w:w="0" w:type="auto"/>
          </w:tcPr>
          <w:p w14:paraId="2365A81B" w14:textId="77777777" w:rsidR="000615CA" w:rsidRDefault="000615CA" w:rsidP="00567BA0">
            <w:pPr>
              <w:pStyle w:val="Compact"/>
            </w:pPr>
            <w:r>
              <w:t>Metagenomes</w:t>
            </w:r>
          </w:p>
        </w:tc>
        <w:tc>
          <w:tcPr>
            <w:tcW w:w="0" w:type="auto"/>
          </w:tcPr>
          <w:p w14:paraId="0DEEC7AA" w14:textId="77777777" w:rsidR="000615CA" w:rsidRDefault="000615CA" w:rsidP="00567BA0">
            <w:pPr>
              <w:pStyle w:val="Compact"/>
            </w:pPr>
            <w:r>
              <w:t>MGnify / EBI</w:t>
            </w:r>
          </w:p>
        </w:tc>
        <w:tc>
          <w:tcPr>
            <w:tcW w:w="0" w:type="auto"/>
          </w:tcPr>
          <w:p w14:paraId="1C6E6C8C" w14:textId="77777777" w:rsidR="000615CA" w:rsidRDefault="000615CA" w:rsidP="00567BA0">
            <w:pPr>
              <w:pStyle w:val="Compact"/>
            </w:pPr>
            <w:r>
              <w:t>https://www.ebi.ac.uk/metagenomics</w:t>
            </w:r>
          </w:p>
        </w:tc>
      </w:tr>
      <w:tr w:rsidR="000615CA" w14:paraId="26648F26" w14:textId="77777777" w:rsidTr="00732661">
        <w:tc>
          <w:tcPr>
            <w:tcW w:w="0" w:type="auto"/>
          </w:tcPr>
          <w:p w14:paraId="6530B90A" w14:textId="77777777" w:rsidR="000615CA" w:rsidRDefault="000615CA" w:rsidP="00567BA0">
            <w:pPr>
              <w:pStyle w:val="Compact"/>
            </w:pPr>
            <w:r>
              <w:t>Forest Cover</w:t>
            </w:r>
          </w:p>
        </w:tc>
        <w:tc>
          <w:tcPr>
            <w:tcW w:w="0" w:type="auto"/>
          </w:tcPr>
          <w:p w14:paraId="19379525" w14:textId="77777777" w:rsidR="000615CA" w:rsidRDefault="000615CA" w:rsidP="00567BA0">
            <w:pPr>
              <w:pStyle w:val="Compact"/>
            </w:pPr>
            <w:r>
              <w:t>Global Forest Watch</w:t>
            </w:r>
          </w:p>
        </w:tc>
        <w:tc>
          <w:tcPr>
            <w:tcW w:w="0" w:type="auto"/>
          </w:tcPr>
          <w:p w14:paraId="04615E1F" w14:textId="77777777" w:rsidR="000615CA" w:rsidRDefault="000615CA" w:rsidP="00567BA0">
            <w:pPr>
              <w:pStyle w:val="Compact"/>
            </w:pPr>
            <w:r>
              <w:t>https://www.globalforestwatch.org</w:t>
            </w:r>
          </w:p>
        </w:tc>
      </w:tr>
      <w:tr w:rsidR="000615CA" w14:paraId="01160FD0" w14:textId="77777777" w:rsidTr="00732661">
        <w:tc>
          <w:tcPr>
            <w:tcW w:w="0" w:type="auto"/>
          </w:tcPr>
          <w:p w14:paraId="7AD46E02" w14:textId="77777777" w:rsidR="000615CA" w:rsidRDefault="000615CA" w:rsidP="00567BA0">
            <w:pPr>
              <w:pStyle w:val="Compact"/>
            </w:pPr>
            <w:r>
              <w:t>Contact</w:t>
            </w:r>
          </w:p>
        </w:tc>
        <w:tc>
          <w:tcPr>
            <w:tcW w:w="0" w:type="auto"/>
          </w:tcPr>
          <w:p w14:paraId="428D2E53" w14:textId="6A43B301" w:rsidR="000615CA" w:rsidRDefault="00254779" w:rsidP="00567BA0">
            <w:pPr>
              <w:pStyle w:val="Compact"/>
            </w:pPr>
            <w:r>
              <w:t>gitdeeper@gmail.com</w:t>
            </w:r>
          </w:p>
        </w:tc>
        <w:tc>
          <w:tcPr>
            <w:tcW w:w="0" w:type="auto"/>
          </w:tcPr>
          <w:p w14:paraId="3D36F9B3" w14:textId="77777777" w:rsidR="000615CA" w:rsidRDefault="000615CA" w:rsidP="00567BA0">
            <w:pPr>
              <w:pStyle w:val="Compact"/>
            </w:pPr>
            <w:r>
              <w:t>Subject: 'BIOTICA Data — [topic]' · Reply: 5–7 business days</w:t>
            </w:r>
          </w:p>
        </w:tc>
      </w:tr>
    </w:tbl>
    <w:p w14:paraId="4669527D" w14:textId="77777777" w:rsidR="000615CA" w:rsidRDefault="000615CA" w:rsidP="00567BA0">
      <w:pPr>
        <w:pStyle w:val="Corpsdetexte"/>
      </w:pPr>
      <w:r>
        <w:t>ABOUT THE AUTHOR</w:t>
      </w:r>
    </w:p>
    <w:p w14:paraId="518E5A87" w14:textId="77777777" w:rsidR="000615CA" w:rsidRDefault="000615CA" w:rsidP="00567BA0">
      <w:pPr>
        <w:pStyle w:val="Titre2"/>
      </w:pPr>
      <w:bookmarkStart w:id="49" w:name="samir-baladi-principal-investigator"/>
      <w:r>
        <w:t>Samir Baladi — Principal Investigator</w:t>
      </w:r>
    </w:p>
    <w:bookmarkEnd w:id="49"/>
    <w:p w14:paraId="5D33DF88" w14:textId="77777777" w:rsidR="000615CA" w:rsidRDefault="000615CA" w:rsidP="00567BA0">
      <w:pPr>
        <w:pStyle w:val="FirstParagraph"/>
      </w:pPr>
      <w:r>
        <w:t>👤</w:t>
      </w:r>
    </w:p>
    <w:p w14:paraId="2A13533A" w14:textId="77777777" w:rsidR="000615CA" w:rsidRDefault="000615CA" w:rsidP="00567BA0">
      <w:pPr>
        <w:pStyle w:val="Corpsdetexte"/>
      </w:pPr>
      <w:r>
        <w:rPr>
          <w:b/>
          <w:bCs/>
        </w:rPr>
        <w:t>Affiliation: Ronin Institute / Rite of Renaissance — Interdisciplinary AI &amp; Life Sciences Division</w:t>
      </w:r>
    </w:p>
    <w:p w14:paraId="426CA459" w14:textId="6058D5F7" w:rsidR="000615CA" w:rsidRDefault="000615CA" w:rsidP="00567BA0">
      <w:pPr>
        <w:pStyle w:val="Corpsdetexte"/>
      </w:pPr>
      <w:r>
        <w:t xml:space="preserve">Samir Baladi occupies a rare position at the intersection of artificial intelligence and Earth systems science. Working as an  </w:t>
      </w:r>
      <w:r w:rsidR="00EB40A9">
        <w:t xml:space="preserve">Interdisciplinary AI Researcher </w:t>
      </w:r>
      <w:r>
        <w:t>affiliated with the Ronin Institute — an organization that provides institutional support for scholars operating outside traditional academic hierarchies — Baladi has pioneered the application of machine learning and multi-parameter data fusion to the classification and interpretation of complex ecological systems. His Interdisciplinary AI Researcher designation reflects a deliberate methodological commitment: the belief that the most significant advances in ecosystem science will emerge not from deeper disciplinary specialization but from the principled integration of remote sensing, genomics, biogeochemistry, and computational approaches that currently operate in fragmented isolation.</w:t>
      </w:r>
    </w:p>
    <w:p w14:paraId="5CE9C0B9" w14:textId="77777777" w:rsidR="000615CA" w:rsidRDefault="000615CA" w:rsidP="00567BA0">
      <w:pPr>
        <w:pStyle w:val="Corpsdetexte"/>
      </w:pPr>
      <w:r>
        <w:t>The BIOTICA project builds directly on the methodological framework developed for the METEORICA extraterrestrial materials framework (Baladi, 2026), adapting its seven-parameter integration architecture and Bayesian weight determination to the nine-parameter problem of ecosystem resilience assessment. This cross-domain transfer — bringing the conceptual tools of cosmochemistry to ecosystem science — exemplifies the interdisciplinary approach that defines Baladi's research program.</w:t>
      </w:r>
    </w:p>
    <w:p w14:paraId="0E93639C" w14:textId="4DAFF17E" w:rsidR="000615CA" w:rsidRDefault="000615CA" w:rsidP="00567BA0">
      <w:pPr>
        <w:pStyle w:val="Corpsdetexte"/>
      </w:pPr>
      <w:r>
        <w:t>ORCID: 0009-0003-8903-0029                                                   Email: gitdeeper@gmail.com                                                              Phone: +1 (614) 264-2074</w:t>
      </w:r>
      <w:r>
        <w:br/>
        <w:t>Repository: gitlab.com/gitdeeper07/biotica                  github.com/gitdeeper07/biotica</w:t>
      </w:r>
      <w:r>
        <w:br/>
        <w:t xml:space="preserve">DOI: </w:t>
      </w:r>
      <w:r w:rsidR="00C65BED">
        <w:t>10.5281/zenodo.18745310</w:t>
      </w:r>
    </w:p>
    <w:p w14:paraId="47610873" w14:textId="77777777" w:rsidR="000615CA" w:rsidRDefault="000615CA" w:rsidP="00567BA0">
      <w:pPr>
        <w:pStyle w:val="Corpsdetexte"/>
      </w:pPr>
      <w:r>
        <w:t>💡</w:t>
      </w:r>
    </w:p>
    <w:p w14:paraId="708E0721" w14:textId="77777777" w:rsidR="000615CA" w:rsidRDefault="000615CA" w:rsidP="00567BA0">
      <w:pPr>
        <w:pStyle w:val="Corpsdetexte"/>
      </w:pPr>
      <w:r>
        <w:rPr>
          <w:b/>
          <w:bCs/>
        </w:rPr>
        <w:t>Funding &amp; Conflicts of Interest</w:t>
      </w:r>
    </w:p>
    <w:p w14:paraId="13B477A6" w14:textId="77777777" w:rsidR="000615CA" w:rsidRDefault="000615CA" w:rsidP="00567BA0">
      <w:pPr>
        <w:pStyle w:val="Corpsdetexte"/>
      </w:pPr>
      <w:r>
        <w:rPr>
          <w:b/>
          <w:bCs/>
        </w:rPr>
        <w:t>Funding:</w:t>
      </w:r>
      <w:r>
        <w:t xml:space="preserve"> Ronin Institute Independent Scholar                   Award: $52,000                                                                          BIOTICA Computational Resources:                                           Google Cloud Academic Research Program                               (GCP-BIOTICA-2026)                                                               Analytical Access: EMBL-EBI                                               Metagenomics Platform (Application BIO-29841)                 Total: ~$92,000.</w:t>
      </w:r>
      <w:r>
        <w:br/>
      </w:r>
      <w:r>
        <w:br/>
      </w:r>
      <w:r>
        <w:rPr>
          <w:b/>
          <w:bCs/>
        </w:rPr>
        <w:t>Conflicts of Interest:</w:t>
      </w:r>
      <w:r>
        <w:t xml:space="preserve"> None declared. No human subjects involved. All ecosystem plot data used with institutional permission under standard scientific data-sharing agreements. Traditional Ecological Knowledge integrated under formal community consultation protocols compliant with the Nagoya Protocol on Access and Benefit-Sharing.</w:t>
      </w:r>
    </w:p>
    <w:bookmarkEnd w:id="43"/>
    <w:p w14:paraId="0D5EDC1F" w14:textId="77777777" w:rsidR="000615CA" w:rsidRDefault="000615CA" w:rsidP="00567BA0">
      <w:pPr>
        <w:pStyle w:val="Corpsdetexte"/>
      </w:pPr>
      <w:r>
        <w:t>🌿</w:t>
      </w:r>
    </w:p>
    <w:p w14:paraId="0B2F4950" w14:textId="77777777" w:rsidR="000615CA" w:rsidRDefault="000615CA" w:rsidP="00567BA0">
      <w:pPr>
        <w:pStyle w:val="Corpsdetexte"/>
      </w:pPr>
      <w:r>
        <w:t>BIOTICA</w:t>
      </w:r>
    </w:p>
    <w:p w14:paraId="301C3072" w14:textId="77777777" w:rsidR="000615CA" w:rsidRDefault="000615CA" w:rsidP="00567BA0">
      <w:pPr>
        <w:pStyle w:val="Corpsdetexte"/>
      </w:pPr>
      <w:r>
        <w:t>Four billion years of biological negotiation, encoded in soil and gene and trophic web. BIOTICA makes it legible.</w:t>
      </w:r>
    </w:p>
    <w:p w14:paraId="447B4999" w14:textId="109A2FDC" w:rsidR="000615CA" w:rsidRDefault="000615CA" w:rsidP="00567BA0">
      <w:pPr>
        <w:pStyle w:val="Corpsdetexte"/>
      </w:pPr>
      <w:r>
        <w:t xml:space="preserve">DOI: </w:t>
      </w:r>
      <w:r w:rsidR="00BC1F6A">
        <w:rPr>
          <w:rFonts w:ascii="Helvetica" w:eastAsia="Times New Roman" w:hAnsi="Helvetica"/>
          <w:b/>
          <w:bCs/>
          <w:sz w:val="20"/>
          <w:szCs w:val="20"/>
          <w:shd w:val="clear" w:color="auto" w:fill="FFFFFF"/>
        </w:rPr>
        <w:t xml:space="preserve">10.5281/zenodo.18745310                 </w:t>
      </w:r>
      <w:r>
        <w:t xml:space="preserve">                           Manuscript ID: BIOTICA-2026-001                                             Date: March 2026                                                                                Status: Submitted to Nature Sustainability</w:t>
      </w:r>
    </w:p>
    <w:p w14:paraId="531D2E74" w14:textId="77777777" w:rsidR="000615CA" w:rsidRDefault="000615CA">
      <w:pPr>
        <w:pStyle w:val="Corpsdetexte"/>
      </w:pPr>
    </w:p>
    <w:sectPr w:rsidR="000615CA">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770A0" w14:textId="77777777" w:rsidR="00191D70" w:rsidRDefault="00191D70">
      <w:pPr>
        <w:spacing w:after="0"/>
      </w:pPr>
      <w:r>
        <w:separator/>
      </w:r>
    </w:p>
  </w:endnote>
  <w:endnote w:type="continuationSeparator" w:id="0">
    <w:p w14:paraId="1F45600C" w14:textId="77777777" w:rsidR="00191D70" w:rsidRDefault="00191D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Helvetica">
    <w:altName w:val="Arial"/>
    <w:panose1 w:val="020B05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7E718" w14:textId="77777777" w:rsidR="00160372" w:rsidRDefault="00191D70">
      <w:r>
        <w:separator/>
      </w:r>
    </w:p>
  </w:footnote>
  <w:footnote w:type="continuationSeparator" w:id="0">
    <w:p w14:paraId="782BD5C1" w14:textId="77777777" w:rsidR="00160372" w:rsidRDefault="00191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21486709">
    <w:abstractNumId w:val="0"/>
  </w:num>
  <w:num w:numId="2" w16cid:durableId="1611621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372"/>
    <w:rsid w:val="000615CA"/>
    <w:rsid w:val="001515DE"/>
    <w:rsid w:val="00160372"/>
    <w:rsid w:val="00191D70"/>
    <w:rsid w:val="00254779"/>
    <w:rsid w:val="00367B9A"/>
    <w:rsid w:val="00732661"/>
    <w:rsid w:val="0074371B"/>
    <w:rsid w:val="007D089D"/>
    <w:rsid w:val="00913E84"/>
    <w:rsid w:val="00AD6988"/>
    <w:rsid w:val="00B56A32"/>
    <w:rsid w:val="00BC1F6A"/>
    <w:rsid w:val="00C143B5"/>
    <w:rsid w:val="00C33129"/>
    <w:rsid w:val="00C42AF9"/>
    <w:rsid w:val="00C65BED"/>
    <w:rsid w:val="00EB40A9"/>
    <w:rsid w:val="00F81939"/>
    <w:rsid w:val="00FB482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CEA4B"/>
  <w15:docId w15:val="{767C21CD-515A-EB40-815A-2D4C92805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link w:val="Titre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tionnonrsolue">
    <w:name w:val="Unresolved Mention"/>
    <w:basedOn w:val="Policepardfaut"/>
    <w:uiPriority w:val="99"/>
    <w:semiHidden/>
    <w:unhideWhenUsed/>
    <w:rsid w:val="00AD6988"/>
    <w:rPr>
      <w:color w:val="605E5C"/>
      <w:shd w:val="clear" w:color="auto" w:fill="E1DFDD"/>
    </w:rPr>
  </w:style>
  <w:style w:type="character" w:customStyle="1" w:styleId="Titre1Car">
    <w:name w:val="Titre 1 Car"/>
    <w:basedOn w:val="Policepardfaut"/>
    <w:link w:val="Titre1"/>
    <w:uiPriority w:val="9"/>
    <w:rsid w:val="000615CA"/>
    <w:rPr>
      <w:rFonts w:asciiTheme="majorHAnsi" w:eastAsiaTheme="majorEastAsia" w:hAnsiTheme="majorHAnsi" w:cstheme="majorBidi"/>
      <w:b/>
      <w:bCs/>
      <w:color w:val="4F81BD" w:themeColor="accent1"/>
      <w:sz w:val="32"/>
      <w:szCs w:val="32"/>
    </w:rPr>
  </w:style>
  <w:style w:type="character" w:customStyle="1" w:styleId="Titre2Car">
    <w:name w:val="Titre 2 Car"/>
    <w:basedOn w:val="Policepardfaut"/>
    <w:link w:val="Titre2"/>
    <w:uiPriority w:val="9"/>
    <w:rsid w:val="000615CA"/>
    <w:rPr>
      <w:rFonts w:asciiTheme="majorHAnsi" w:eastAsiaTheme="majorEastAsia" w:hAnsiTheme="majorHAnsi" w:cstheme="majorBidi"/>
      <w:b/>
      <w:bCs/>
      <w:color w:val="4F81BD" w:themeColor="accent1"/>
      <w:sz w:val="28"/>
      <w:szCs w:val="28"/>
    </w:rPr>
  </w:style>
  <w:style w:type="character" w:customStyle="1" w:styleId="Titre3Car">
    <w:name w:val="Titre 3 Car"/>
    <w:basedOn w:val="Policepardfaut"/>
    <w:link w:val="Titre3"/>
    <w:uiPriority w:val="9"/>
    <w:rsid w:val="000615CA"/>
    <w:rPr>
      <w:rFonts w:asciiTheme="majorHAnsi" w:eastAsiaTheme="majorEastAsia" w:hAnsiTheme="majorHAnsi" w:cstheme="majorBidi"/>
      <w:b/>
      <w:bCs/>
      <w:color w:val="4F81BD" w:themeColor="accent1"/>
    </w:rPr>
  </w:style>
  <w:style w:type="character" w:customStyle="1" w:styleId="CorpsdetexteCar">
    <w:name w:val="Corps de texte Car"/>
    <w:basedOn w:val="Policepardfaut"/>
    <w:link w:val="Corpsdetexte"/>
    <w:rsid w:val="000615CA"/>
  </w:style>
  <w:style w:type="character" w:customStyle="1" w:styleId="TitreCar">
    <w:name w:val="Titre Car"/>
    <w:basedOn w:val="Policepardfaut"/>
    <w:link w:val="Titre"/>
    <w:rsid w:val="000615CA"/>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lab.com/gitdeeper07/biotica" TargetMode="External" /><Relationship Id="rId13" Type="http://schemas.openxmlformats.org/officeDocument/2006/relationships/hyperlink" Target="https://doi.org/10.1038/35098000" TargetMode="External" /><Relationship Id="rId3" Type="http://schemas.openxmlformats.org/officeDocument/2006/relationships/settings" Target="settings.xml" /><Relationship Id="rId7" Type="http://schemas.openxmlformats.org/officeDocument/2006/relationships/hyperlink" Target="mailto:gitdeeper@gmail.com" TargetMode="External" /><Relationship Id="rId12" Type="http://schemas.openxmlformats.org/officeDocument/2006/relationships/hyperlink" Target="https://doi.org/10.1038/s41586-022-05318-4"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doi.org/10.1038/s41597-020-00599-8" TargetMode="Externa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hyperlink" Target="https://doi.org/10.1111/gcb.12629" TargetMode="External" /><Relationship Id="rId4" Type="http://schemas.openxmlformats.org/officeDocument/2006/relationships/webSettings" Target="webSettings.xml" /><Relationship Id="rId9" Type="http://schemas.openxmlformats.org/officeDocument/2006/relationships/hyperlink" Target="https://doi.org/10.7554/eLife.65088"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13473</Words>
  <Characters>74105</Characters>
  <Application>Microsoft Office Word</Application>
  <DocSecurity>0</DocSecurity>
  <Lines>617</Lines>
  <Paragraphs>174</Paragraphs>
  <ScaleCrop>false</ScaleCrop>
  <Company/>
  <LinksUpToDate>false</LinksUpToDate>
  <CharactersWithSpaces>87404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BIOTICA — A Multi-Dimensional Bio-Geochemical Framework | Part 1</dc:title>
  <dc:creator/>
  <cp:keywords/>
  <cp:lastModifiedBy>Samir Marouni</cp:lastModifiedBy>
  <cp:revision>2</cp:revision>
  <dcterms:created xsi:type="dcterms:W3CDTF">2026-02-23T16:00:00Z</dcterms:created>
  <dcterms:modified xsi:type="dcterms:W3CDTF">2026-02-23T16:00:00Z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