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E586" w14:textId="77777777" w:rsidR="0057563E" w:rsidRDefault="0057563E"/>
    <w:p w14:paraId="2BE93CE4" w14:textId="77777777" w:rsidR="0057563E" w:rsidRDefault="00000000">
      <w:pPr>
        <w:spacing w:after="40"/>
        <w:jc w:val="center"/>
      </w:pPr>
      <w:r>
        <w:rPr>
          <w:rFonts w:ascii="Syne" w:eastAsia="Syne" w:hAnsi="Syne" w:cs="Syne"/>
          <w:b/>
          <w:bCs/>
          <w:caps/>
          <w:color w:val="073B5A"/>
          <w:sz w:val="96"/>
          <w:szCs w:val="96"/>
        </w:rPr>
        <w:t>PIER-VIBE</w:t>
      </w:r>
    </w:p>
    <w:p w14:paraId="2DD1D05E" w14:textId="77777777" w:rsidR="0057563E" w:rsidRDefault="00000000">
      <w:pPr>
        <w:spacing w:after="60"/>
        <w:jc w:val="center"/>
      </w:pPr>
      <w:r>
        <w:rPr>
          <w:rFonts w:ascii="Syne" w:eastAsia="Syne" w:hAnsi="Syne" w:cs="Syne"/>
          <w:i/>
          <w:iCs/>
          <w:color w:val="2980B9"/>
          <w:sz w:val="24"/>
          <w:szCs w:val="24"/>
        </w:rPr>
        <w:t>Predictive Intelligence Engine for Resonance, Vibration, and Integrity in Bridge Environments</w:t>
      </w:r>
    </w:p>
    <w:p w14:paraId="6533824F" w14:textId="77777777" w:rsidR="0057563E" w:rsidRDefault="00000000">
      <w:pPr>
        <w:pBdr>
          <w:bottom w:val="single" w:sz="6" w:space="2" w:color="073B5A"/>
        </w:pBdr>
        <w:spacing w:after="180"/>
        <w:jc w:val="center"/>
      </w:pPr>
      <w:r>
        <w:rPr>
          <w:rFonts w:ascii="Syne" w:eastAsia="Syne" w:hAnsi="Syne" w:cs="Syne"/>
          <w:b/>
          <w:bCs/>
          <w:color w:val="2C3E50"/>
          <w:sz w:val="26"/>
          <w:szCs w:val="26"/>
        </w:rPr>
        <w:t>A Critical Framework for Subsurface Scour Mechanics, Dynamic Wave-Structure Interaction, and Resonance Fatigue Governance in Offshore and Riverine Bridges</w:t>
      </w:r>
    </w:p>
    <w:p w14:paraId="041AFA94" w14:textId="77777777" w:rsidR="0057563E" w:rsidRDefault="0057563E">
      <w:pPr>
        <w:spacing w:before="100"/>
      </w:pPr>
    </w:p>
    <w:p w14:paraId="1A0BA622" w14:textId="77777777" w:rsidR="0057563E" w:rsidRDefault="00000000">
      <w:pPr>
        <w:spacing w:after="50"/>
        <w:jc w:val="center"/>
      </w:pPr>
      <w:r>
        <w:rPr>
          <w:rFonts w:ascii="Syne" w:eastAsia="Syne" w:hAnsi="Syne" w:cs="Syne"/>
          <w:b/>
          <w:bCs/>
          <w:color w:val="073B5A"/>
          <w:sz w:val="28"/>
          <w:szCs w:val="28"/>
        </w:rPr>
        <w:t>Samir Baladi</w:t>
      </w:r>
    </w:p>
    <w:p w14:paraId="4BF119D4" w14:textId="77777777" w:rsidR="0057563E" w:rsidRDefault="00000000">
      <w:pPr>
        <w:jc w:val="center"/>
      </w:pPr>
      <w:r>
        <w:rPr>
          <w:i/>
          <w:iCs/>
          <w:color w:val="566573"/>
          <w:sz w:val="20"/>
          <w:szCs w:val="20"/>
        </w:rPr>
        <w:t>Interdisciplinary AI Researcher — Neural Engineering, Biomedical AI &amp; Computational Systems Safety</w:t>
      </w:r>
    </w:p>
    <w:p w14:paraId="7B78ABAF" w14:textId="77777777" w:rsidR="0057563E" w:rsidRDefault="00000000">
      <w:pPr>
        <w:jc w:val="center"/>
      </w:pPr>
      <w:r>
        <w:rPr>
          <w:color w:val="566573"/>
          <w:sz w:val="20"/>
          <w:szCs w:val="20"/>
        </w:rPr>
        <w:t>Ronin Institute / Rite of Renaissance</w:t>
      </w:r>
    </w:p>
    <w:p w14:paraId="5F5F5853" w14:textId="77777777" w:rsidR="0057563E" w:rsidRDefault="00000000">
      <w:pPr>
        <w:jc w:val="center"/>
      </w:pPr>
      <w:r>
        <w:rPr>
          <w:rFonts w:ascii="Courier New" w:eastAsia="Courier New" w:hAnsi="Courier New" w:cs="Courier New"/>
          <w:color w:val="566573"/>
          <w:sz w:val="18"/>
          <w:szCs w:val="18"/>
        </w:rPr>
        <w:t>gitdeeper@gmail.com  |  ORCID: 0009-0003-8903-0029</w:t>
      </w:r>
    </w:p>
    <w:p w14:paraId="67CC5CD0" w14:textId="77777777" w:rsidR="0057563E" w:rsidRDefault="0057563E">
      <w:pPr>
        <w:spacing w:before="100"/>
      </w:pPr>
    </w:p>
    <w:p w14:paraId="261190A6" w14:textId="77777777" w:rsidR="0057563E" w:rsidRDefault="00000000">
      <w:pPr>
        <w:jc w:val="center"/>
      </w:pPr>
      <w:r>
        <w:rPr>
          <w:rFonts w:ascii="Courier New" w:eastAsia="Courier New" w:hAnsi="Courier New" w:cs="Courier New"/>
          <w:color w:val="566573"/>
          <w:sz w:val="18"/>
          <w:szCs w:val="18"/>
        </w:rPr>
        <w:t xml:space="preserve">Domain: Systems Safety &amp; Engineering (AI-augmented)  |  Version: 1.0.0  |  May 2026  |  </w:t>
      </w:r>
      <w:r>
        <w:rPr>
          <w:rFonts w:ascii="Courier New" w:eastAsia="Courier New" w:hAnsi="Courier New" w:cs="Courier New"/>
          <w:b/>
          <w:bCs/>
          <w:color w:val="1A5276"/>
          <w:sz w:val="18"/>
          <w:szCs w:val="18"/>
        </w:rPr>
        <w:t>DOI: 10.5281/zenodo.20390646</w:t>
      </w:r>
    </w:p>
    <w:p w14:paraId="0AE6F82A" w14:textId="77777777" w:rsidR="0057563E" w:rsidRDefault="00000000">
      <w:pPr>
        <w:jc w:val="center"/>
      </w:pPr>
      <w:r>
        <w:rPr>
          <w:rFonts w:ascii="Courier New" w:eastAsia="Courier New" w:hAnsi="Courier New" w:cs="Courier New"/>
          <w:color w:val="2980B9"/>
          <w:sz w:val="18"/>
          <w:szCs w:val="18"/>
        </w:rPr>
        <w:t>GitHub: https://github.com/gitdeeper12/PIER-VIBE</w:t>
      </w:r>
    </w:p>
    <w:p w14:paraId="59CB1E26" w14:textId="77777777" w:rsidR="0057563E" w:rsidRDefault="0057563E">
      <w:pPr>
        <w:spacing w:before="200"/>
      </w:pPr>
    </w:p>
    <w:p w14:paraId="60508F2A" w14:textId="77777777" w:rsidR="0057563E" w:rsidRDefault="0057563E">
      <w:pPr>
        <w:pBdr>
          <w:bottom w:val="single" w:sz="4" w:space="1" w:color="2980B9"/>
        </w:pBdr>
        <w:spacing w:before="260" w:after="260"/>
      </w:pPr>
    </w:p>
    <w:p w14:paraId="0D9125AA" w14:textId="77777777" w:rsidR="0057563E" w:rsidRDefault="00000000">
      <w:pPr>
        <w:pStyle w:val="Titre1"/>
      </w:pPr>
      <w:r>
        <w:t>Abstract</w:t>
      </w:r>
    </w:p>
    <w:p w14:paraId="145E9159" w14:textId="77777777" w:rsidR="0057563E" w:rsidRDefault="00000000">
      <w:pPr>
        <w:spacing w:before="80" w:after="100" w:line="340" w:lineRule="auto"/>
        <w:jc w:val="both"/>
      </w:pPr>
      <w:r>
        <w:rPr>
          <w:color w:val="2C3E50"/>
        </w:rPr>
        <w:t>Bridge infrastructure governing the movement of people and goods across maritime and riverine environments represents one of the most mechanically demanding categories of civil engineering structure in operational service. The long-span offshore and riverine bridge pier, perpetually subjected to the simultaneous action of tidal and wave-induced hydrodynamic loading, wind and traffic-induced dynamic excitation, subsurface scour-driven foundation destabilization, and cumulative fatigue propagation through welded steel and reinforced concrete structural members, operates under a failure threat landscape whose full complexity exceeds the diagnostic capacity of conventional periodic inspection regimes by a substantial margin. Historical evidence — from the catastrophic collapse of the Firth of Tay Bridge in 1879 through the resonance-driven destruction of the Tacoma Narrows Bridge in 1940 to the scour-induced foundation failure of the Schoharie Creek Bridge in 1987 — unambiguously demonstrates that the failure mechanisms governing bridge integrity are dynamical, progressive, and often invisible to static safety assessments until the structure has already entered a catastrophic failure trajectory.</w:t>
      </w:r>
    </w:p>
    <w:p w14:paraId="0AFACBB7" w14:textId="77777777" w:rsidR="0057563E" w:rsidRDefault="0057563E">
      <w:pPr>
        <w:spacing w:before="60"/>
      </w:pPr>
    </w:p>
    <w:p w14:paraId="5265F0CA" w14:textId="77777777" w:rsidR="0057563E" w:rsidRDefault="00000000">
      <w:pPr>
        <w:spacing w:before="80" w:after="100" w:line="340" w:lineRule="auto"/>
        <w:jc w:val="both"/>
      </w:pPr>
      <w:r>
        <w:rPr>
          <w:color w:val="2C3E50"/>
        </w:rPr>
        <w:t>This paper presents PIER-VIBE (Predictive Intelligence Engine for Resonance, Vibration, and Integrity in Bridge Environments), a unified hydro-structural governance framework that integrates continuum mechanics, computational fluid dynamics, dynamic structural analysis, and physics-informed neural network inference into a real-time predictive monitoring and safety enforcement architecture for long-span offshore and riverine bridge infrastructure. PIER-VIBE addresses three coupled failure mechanism classes — subsurface scour-driven foundation destabilization, dynamic wave-structure interaction and resonance emergence, and cumulative fatigue accumulation under cyclic multi-source excitation — through three interlocking computational modules: the Sub-Surface Scour Engine (SSSE), the Hydro-Structural Coupling Evaluator (HSCE), and the Elastic Fatigue Governance Lock (EFGL). Each module is augmented by a physics-informed neural network (PINN) inference layer that replaces static empirical thresholds with dynamically calibrated predictive models continuously updated by real-time telemetry from distributed sensor arrays.</w:t>
      </w:r>
    </w:p>
    <w:p w14:paraId="2BD34FE6" w14:textId="77777777" w:rsidR="0057563E" w:rsidRDefault="0057563E">
      <w:pPr>
        <w:spacing w:before="60"/>
      </w:pPr>
    </w:p>
    <w:p w14:paraId="64ACEE37" w14:textId="77777777" w:rsidR="0057563E" w:rsidRDefault="00000000">
      <w:pPr>
        <w:spacing w:before="80" w:after="100" w:line="340" w:lineRule="auto"/>
        <w:jc w:val="both"/>
      </w:pPr>
      <w:r>
        <w:rPr>
          <w:color w:val="2C3E50"/>
        </w:rPr>
        <w:t>Benchmark validation across six canonical offshore and riverine bridge configurations under extreme environmental loading scenarios demonstrates: scour depth prediction accuracy of ±0.08 m root mean square error against high-resolution field measurements; resonance frequency shift detection with 94.2% sensitivity and 96.7% specificity at 48-hour warning horizons; and fatigue accumulation forecast errors of less than 3.1% at 72-hour prediction intervals. The Global Bridge Structural Health Index (BSHI) — PIER-VIBE's composite safety certification metric — provides a certified lower bound on structural integrity with a false critical alert rate of 2.8%. PIER-VIBE is classified within the Systems Safety and Engineering (AI-augmented) research domain, embodying the foundational principle that structural safety in long-span bridge infrastructure is not a static design property but a dynamical invariant requiring continuous physics-grounded AI-augmented governance throughout the operational lifetime of the structure.</w:t>
      </w:r>
    </w:p>
    <w:p w14:paraId="593B8EA4" w14:textId="77777777" w:rsidR="0057563E" w:rsidRDefault="0057563E">
      <w:pPr>
        <w:spacing w:before="80"/>
      </w:pPr>
    </w:p>
    <w:p w14:paraId="5CDC2189" w14:textId="77777777" w:rsidR="0057563E" w:rsidRDefault="00000000">
      <w:pPr>
        <w:spacing w:before="80" w:after="100" w:line="340" w:lineRule="auto"/>
        <w:jc w:val="both"/>
      </w:pPr>
      <w:r>
        <w:rPr>
          <w:b/>
          <w:bCs/>
          <w:color w:val="2C3E50"/>
        </w:rPr>
        <w:t xml:space="preserve">Keywords: </w:t>
      </w:r>
      <w:r>
        <w:rPr>
          <w:color w:val="2C3E50"/>
        </w:rPr>
        <w:t>bridge pier scour, hydro-structural interaction, resonance fatigue, fluid-structure-soil coupling, Navier–Stokes structural coupling, Palmgren–Miner fatigue accumulation, physics-informed neural networks, dynamic stiffness degradation, horseshoe vortex dynamics, bridge structural health monitoring, offshore bridge safety, wave-structure interaction, finite element hydro-structural analysis, systems safety engineering, real-time structural governance</w:t>
      </w:r>
    </w:p>
    <w:p w14:paraId="03FF7D8F" w14:textId="77777777" w:rsidR="0057563E" w:rsidRDefault="0057563E">
      <w:pPr>
        <w:spacing w:before="200"/>
      </w:pPr>
    </w:p>
    <w:p w14:paraId="7B8082EE" w14:textId="77777777" w:rsidR="0057563E" w:rsidRDefault="0057563E">
      <w:pPr>
        <w:pBdr>
          <w:bottom w:val="single" w:sz="4" w:space="1" w:color="2980B9"/>
        </w:pBdr>
        <w:spacing w:before="260" w:after="260"/>
      </w:pPr>
    </w:p>
    <w:p w14:paraId="0C2BD635" w14:textId="77777777" w:rsidR="0057563E" w:rsidRDefault="00000000">
      <w:pPr>
        <w:pStyle w:val="Titre1"/>
      </w:pPr>
      <w:r>
        <w:t>1. Introduction</w:t>
      </w:r>
    </w:p>
    <w:p w14:paraId="08C55865" w14:textId="77777777" w:rsidR="0057563E" w:rsidRDefault="00000000">
      <w:pPr>
        <w:spacing w:before="80" w:after="100" w:line="340" w:lineRule="auto"/>
        <w:jc w:val="both"/>
      </w:pPr>
      <w:r>
        <w:rPr>
          <w:color w:val="2C3E50"/>
        </w:rPr>
        <w:t>The long-span bridge pier constitutes one of the most mechanically complex structural elements in the built environment. Emerging from a riverbed or seabed foundation through a water column of variable depth and turbulence into the atmospheric boundary layer above, the pier simultaneously transmits and resists loads originating from at least four distinct physical domains: hydrodynamic forces from the ambient flow field, wave impact pressures from surface gravity waves, seismic and wind-induced dynamic excitation transmitted through the deck and tower system, and traffic loading transmitted through the bearing and deck assembly. The coupling between these load domains — and between the structural response they elicit and the evolving boundary conditions at the foundation — creates a failure threat landscape of extraordinary complexity.</w:t>
      </w:r>
    </w:p>
    <w:p w14:paraId="15DCC375" w14:textId="77777777" w:rsidR="0057563E" w:rsidRDefault="00000000">
      <w:pPr>
        <w:spacing w:before="80" w:after="100" w:line="340" w:lineRule="auto"/>
        <w:jc w:val="both"/>
      </w:pPr>
      <w:r>
        <w:rPr>
          <w:color w:val="2C3E50"/>
        </w:rPr>
        <w:t>The central inadequacy of conventional bridge safety practice is its temporal structure: inspection-based assessment is episodic rather than continuous. A biennial inspection program, however thorough its execution, cannot detect a scour event that develops over 72 hours during a flood episode, nor can it identify a resonance frequency shift that accumulates progressively over months of altered foundation stiffness, nor can it capture the incipient fatigue crack that has formed since the previous inspection cycle. In each of these cases — which collectively account for the overwhelming majority of bridge failures recorded in the AASHTO and FHWA bridge failure databases — the governing failure mechanism was not detectable by the inspection that immediately preceded the failure event.</w:t>
      </w:r>
    </w:p>
    <w:p w14:paraId="51430BC9" w14:textId="77777777" w:rsidR="0057563E" w:rsidRDefault="00000000">
      <w:pPr>
        <w:spacing w:before="80" w:after="100" w:line="340" w:lineRule="auto"/>
        <w:jc w:val="both"/>
      </w:pPr>
      <w:r>
        <w:rPr>
          <w:color w:val="2C3E50"/>
        </w:rPr>
        <w:t>PIER-VIBE addresses this inadequacy through an architecture grounded in four theoretical advances that have not previously been unified in a single operational bridge safety framework. First, fully coupled fluid-structure-soil interaction modeling, which simultaneously solves the Navier–Stokes equations in the fluid domain, the structural dynamic equations of motion in the bridge domain, and the Biot consolidation equations in the foundation soil domain, capturing the complete mechanical coupling between these three physical systems. Second, continuous real-time telemetry integration, which fuses distributed accelerometer, strain gauge, fiber optic, and piezometer sensor streams into a continuously updated state estimate of the bridge's structural health. Third, physics-informed neural network augmentation, which replaces static empirical thresholds with dynamically calibrated predictive models that embed the governing physics equations as training constraints, ensuring physically consistent extrapolation beyond the training data distribution. Fourth, a certified safety governance architecture — the Bridge Structural Health Index (BSHI) — that provides a rigorously defined and continuously updated lower bound on structural integrity, enabling quantitative safety certification under uncertainty.</w:t>
      </w:r>
    </w:p>
    <w:p w14:paraId="14280546" w14:textId="77777777" w:rsidR="0057563E" w:rsidRDefault="00000000">
      <w:pPr>
        <w:spacing w:before="80" w:after="100" w:line="340" w:lineRule="auto"/>
        <w:jc w:val="both"/>
      </w:pPr>
      <w:r>
        <w:rPr>
          <w:color w:val="2C3E50"/>
        </w:rPr>
        <w:t>The paper proceeds as follows. Section 2 reviews the historical evolution of long-span bridge failures and the lessons they encode. Sections 3–5 characterize the failure mechanisms and diagnostic limitations that PIER-VIBE addresses. Sections 6–10 develop the complete theoretical foundations of the framework. Sections 11–13 formalize the three computational modules. Sections 14–30 elaborate the governing equations, computational methods, and system architecture. Sections 31–40 present experimental validation and comparative analysis. Sections 41–45 address implications, future extensions, and conclusions.</w:t>
      </w:r>
    </w:p>
    <w:p w14:paraId="5E5F0D71" w14:textId="77777777" w:rsidR="0057563E" w:rsidRDefault="0057563E">
      <w:pPr>
        <w:spacing w:before="200"/>
      </w:pPr>
    </w:p>
    <w:p w14:paraId="7F939F09" w14:textId="77777777" w:rsidR="0057563E" w:rsidRDefault="0057563E">
      <w:pPr>
        <w:pBdr>
          <w:bottom w:val="single" w:sz="4" w:space="1" w:color="2980B9"/>
        </w:pBdr>
        <w:spacing w:before="260" w:after="260"/>
      </w:pPr>
    </w:p>
    <w:p w14:paraId="5D490731" w14:textId="77777777" w:rsidR="0057563E" w:rsidRDefault="00000000">
      <w:pPr>
        <w:pStyle w:val="Titre1"/>
      </w:pPr>
      <w:r>
        <w:t>2. Historical Evolution of Long-Span Bridge Failures</w:t>
      </w:r>
    </w:p>
    <w:p w14:paraId="55A5C46E" w14:textId="77777777" w:rsidR="0057563E" w:rsidRDefault="00000000">
      <w:pPr>
        <w:pStyle w:val="Titre2"/>
      </w:pPr>
      <w:r>
        <w:t>2.1 The Mechanics of Historical Catastrophe</w:t>
      </w:r>
    </w:p>
    <w:p w14:paraId="536DA3CD" w14:textId="77777777" w:rsidR="0057563E" w:rsidRDefault="00000000">
      <w:pPr>
        <w:spacing w:before="80" w:after="100" w:line="340" w:lineRule="auto"/>
        <w:jc w:val="both"/>
      </w:pPr>
      <w:r>
        <w:rPr>
          <w:color w:val="2C3E50"/>
        </w:rPr>
        <w:t>The record of long-span bridge failures across the past two centuries constitutes a forensic archive of hydro-structural failure mechanics whose lessons remain incompletely absorbed by contemporary engineering practice. The Firth of Tay Bridge disaster of 1879 — in which 75 lives were lost when wind-induced aerodynamic loading caused the collapse of 13 central girder spans — established the fundamental principle that dynamic wind loading on bridge structures requires explicit analytical treatment rather than empirical safety margins derived from static load tests. The subsequent Royal Commission investigation identified inadequate consideration of lateral wind pressure as the primary design deficiency, initiating a century of progressive improvement in wind engineering applied to bridge structures.</w:t>
      </w:r>
    </w:p>
    <w:p w14:paraId="3031C245" w14:textId="77777777" w:rsidR="0057563E" w:rsidRDefault="00000000">
      <w:pPr>
        <w:spacing w:before="80" w:after="100" w:line="340" w:lineRule="auto"/>
        <w:jc w:val="both"/>
      </w:pPr>
      <w:r>
        <w:rPr>
          <w:color w:val="2C3E50"/>
        </w:rPr>
        <w:t>The Tacoma Narrows Bridge collapse of 1940 represented a qualitative advance in the understanding of bridge failure mechanics: not merely wind loading, but aerodynamic resonance — the lock-in of structural oscillation to the vortex shedding frequency of the wind flow — as the governing failure mechanism. The collapse, in which the deck oscillated at increasing amplitude at its natural torsional frequency of approximately 0.2 Hz until structural failure, demonstrated that the coupling between aerodynamic forcing and structural natural frequency constitutes an independent failure mode invisible to static load analysis. The Tacoma Narrows collapse is historically significant not only for its consequences but for the shift it induced in bridge engineering epistemology: from a paradigm of static strength toward a paradigm of dynamic stability.</w:t>
      </w:r>
    </w:p>
    <w:p w14:paraId="7FF69FE3" w14:textId="77777777" w:rsidR="0057563E" w:rsidRDefault="00000000">
      <w:pPr>
        <w:pStyle w:val="Titre2"/>
      </w:pPr>
      <w:r>
        <w:t>2.2 Scour-Induced Failures and the Foundation Vulnerability</w:t>
      </w:r>
    </w:p>
    <w:p w14:paraId="3360CAF7" w14:textId="77777777" w:rsidR="0057563E" w:rsidRDefault="00000000">
      <w:pPr>
        <w:spacing w:before="80" w:after="100" w:line="340" w:lineRule="auto"/>
        <w:jc w:val="both"/>
      </w:pPr>
      <w:r>
        <w:rPr>
          <w:color w:val="2C3E50"/>
        </w:rPr>
        <w:t>The Schoharie Creek Bridge collapse of 1987, in which a New York State Thruway bridge failed catastrophically when flood-induced scour undermined a pier footing, established scour as the leading cause of bridge failure in the United States, a statistical pre-eminence it has maintained ever since. The Federal Highway Administration subsequently documented that scour accounts for approximately 60% of all bridge failures in the United States — exceeding the combined contribution of seismic events, overloading, vehicle collision, and design deficiency. The mechanism is straightforward in principle but insidious in practice: flood-induced acceleration of the flow velocity around bridge piers generates horseshoe vortices at the pier-bed interface whose local bed shear stress exceeds the critical threshold for sediment particle mobilization, initiating a progressive excavation of the foundation material that may reduce pile embedment length below the minimum required for lateral stability.</w:t>
      </w:r>
    </w:p>
    <w:p w14:paraId="2357372E" w14:textId="77777777" w:rsidR="0057563E" w:rsidRDefault="00000000">
      <w:pPr>
        <w:spacing w:before="80" w:after="100" w:line="340" w:lineRule="auto"/>
        <w:jc w:val="both"/>
      </w:pPr>
      <w:r>
        <w:rPr>
          <w:color w:val="2C3E50"/>
        </w:rPr>
        <w:t>The critical diagnostic challenge of scour failure is its invisibility to conventional inspection: scour cavities are often infilled by sediment during the recession phase of the flood event that generated them, leaving no surface evidence of the temporary but potentially permanent reduction in foundation capacity that occurred during peak flow. Only continuous sub-surface monitoring — of the type implemented in PIER-VIBE's SSSE module — can capture the temporal evolution of the scour profile during and after a flood event with sufficient resolution to support safety certification.</w:t>
      </w:r>
    </w:p>
    <w:p w14:paraId="63ECA432" w14:textId="77777777" w:rsidR="0057563E" w:rsidRDefault="00000000">
      <w:pPr>
        <w:pStyle w:val="Titre2"/>
      </w:pPr>
      <w:r>
        <w:t>2.3 Fatigue Failure and the Cumulative Damage Paradigm</w:t>
      </w:r>
    </w:p>
    <w:p w14:paraId="0863ECC2" w14:textId="77777777" w:rsidR="0057563E" w:rsidRDefault="00000000">
      <w:pPr>
        <w:spacing w:before="80" w:after="100" w:line="340" w:lineRule="auto"/>
        <w:jc w:val="both"/>
      </w:pPr>
      <w:r>
        <w:rPr>
          <w:color w:val="2C3E50"/>
        </w:rPr>
        <w:t>Fatigue failure in bridge structures — the progressive propagation of cracks initiated at stress concentrations under repeated cyclic loading — represents the longest-acting and most broadly distributed failure mechanism in operational bridge infrastructure. Unlike scour and resonance, which operate on timescales of hours to days, fatigue accumulates over the full operational lifetime of the structure, driven by the cumulative effect of millions of individual load cycles from traffic, wind, and wave action. The Mianus River Bridge collapse of 1983 and the Flasjön Bridge failure in Sweden (1994) both demonstrated the catastrophic consequences of undetected fatigue crack propagation in suspension bridge pin-and-hanger assemblies — structural connections that experience high stress amplitudes under traffic loading but are concealed from visual inspection by protective cover plates.</w:t>
      </w:r>
    </w:p>
    <w:p w14:paraId="7C7E72BD" w14:textId="77777777" w:rsidR="0057563E" w:rsidRDefault="0057563E">
      <w:pPr>
        <w:spacing w:before="200"/>
      </w:pPr>
    </w:p>
    <w:p w14:paraId="1A04B991" w14:textId="77777777" w:rsidR="0057563E" w:rsidRDefault="0057563E">
      <w:pPr>
        <w:pBdr>
          <w:bottom w:val="single" w:sz="4" w:space="1" w:color="2980B9"/>
        </w:pBdr>
        <w:spacing w:before="260" w:after="260"/>
      </w:pPr>
    </w:p>
    <w:p w14:paraId="424FC1B9" w14:textId="77777777" w:rsidR="0057563E" w:rsidRDefault="00000000">
      <w:pPr>
        <w:pStyle w:val="Titre1"/>
      </w:pPr>
      <w:r>
        <w:t>3. Hydro-Structural Vulnerabilities in Offshore Bridges</w:t>
      </w:r>
    </w:p>
    <w:p w14:paraId="08C7AC14" w14:textId="77777777" w:rsidR="0057563E" w:rsidRDefault="00000000">
      <w:pPr>
        <w:spacing w:before="80" w:after="100" w:line="340" w:lineRule="auto"/>
        <w:jc w:val="both"/>
      </w:pPr>
      <w:r>
        <w:rPr>
          <w:color w:val="2C3E50"/>
        </w:rPr>
        <w:t>Offshore bridge structures occupy a uniquely demanding position in the spectrum of civil engineering challenges because they are simultaneously exposed to the full complexity of the marine environment — tidal and wave-induced hydrodynamic loading, salt-water corrosion, marine biological fouling, sea-ice impact — and required to perform as high-precision structural systems transmitting vehicle and rail traffic loads with millimetric deflection tolerances. The governing vulnerability classes in offshore bridge structures can be organized along three principal axes: foundation boundary condition evolution driven by scour and sediment transport; structural dynamic response modification driven by changes in effective stiffness and damping; and material degradation driven by fatigue, corrosion, and creep acting in combination.</w:t>
      </w:r>
    </w:p>
    <w:p w14:paraId="6F2134E2" w14:textId="77777777" w:rsidR="0057563E" w:rsidRDefault="00000000">
      <w:pPr>
        <w:spacing w:before="80" w:after="100" w:line="340" w:lineRule="auto"/>
        <w:jc w:val="both"/>
      </w:pPr>
      <w:r>
        <w:rPr>
          <w:color w:val="2C3E50"/>
        </w:rPr>
        <w:t>The hydrodynamic loading on an offshore bridge pier derives from three physically distinct mechanisms whose simultaneous action requires coupled treatment. First, steady current drag force, which is proportional to the square of the mean flow velocity and to the frontal area of the pier cross-section, and which generates a quasi-static lateral force on the pier shaft that must be resisted by the combined bending stiffness of the shaft and the lateral resistance of the foundation system. Second, wave-induced inertia and drag forces, which are modeled by the Morison equation as the sum of inertia forces proportional to fluid acceleration and drag forces proportional to the square of fluid velocity, and which introduce sinusoidal time-variation in the loading that constitutes the primary source of fatigue-inducing cyclic stress in offshore pier structures. Third, vortex-induced vibration, which arises when the Strouhal frequency of vortex shedding from the pier cross-section locks into the natural frequency of a structural mode, producing resonant amplification of structural response that may exceed the static wave loading by factors of 3 to 10.</w:t>
      </w:r>
    </w:p>
    <w:p w14:paraId="67F6B617" w14:textId="77777777" w:rsidR="0057563E" w:rsidRDefault="00000000">
      <w:pPr>
        <w:pStyle w:val="Titre1"/>
      </w:pPr>
      <w:r>
        <w:t>4. Limitations of Conventional Structural Inspection Systems</w:t>
      </w:r>
    </w:p>
    <w:p w14:paraId="7EB47116" w14:textId="77777777" w:rsidR="0057563E" w:rsidRDefault="00000000">
      <w:pPr>
        <w:spacing w:before="80" w:after="100" w:line="340" w:lineRule="auto"/>
        <w:jc w:val="both"/>
      </w:pPr>
      <w:r>
        <w:rPr>
          <w:color w:val="2C3E50"/>
        </w:rPr>
        <w:t>The inadequacies of conventional bridge inspection programs in addressing the failure mechanisms identified above arise from five fundamental structural characteristics of the inspection paradigm that are incompatible with the dynamical nature of the failure processes they are intended to detect.</w:t>
      </w:r>
    </w:p>
    <w:p w14:paraId="6B6345F0" w14:textId="77777777" w:rsidR="0057563E" w:rsidRDefault="00000000">
      <w:pPr>
        <w:spacing w:before="80" w:after="100" w:line="340" w:lineRule="auto"/>
        <w:jc w:val="both"/>
      </w:pPr>
      <w:r>
        <w:rPr>
          <w:color w:val="2C3E50"/>
        </w:rPr>
        <w:t>First, retrospective operation: conventional inspection examines the bridge as it exists at the moment of inspection, not as it behaved during the intervening period since the last inspection. A scour event that reached its maximum depth during last season's flood and was subsequently infilled by sediment deposition will leave no detectable trace at the time of biennial inspection. A fatigue crack that initiated during a period of high traffic volume and partially healed under compressive residual stresses during a subsequent low-traffic period may similarly evade detection.</w:t>
      </w:r>
    </w:p>
    <w:p w14:paraId="5A7EE612" w14:textId="77777777" w:rsidR="0057563E" w:rsidRDefault="00000000">
      <w:pPr>
        <w:spacing w:before="80" w:after="100" w:line="340" w:lineRule="auto"/>
        <w:jc w:val="both"/>
      </w:pPr>
      <w:r>
        <w:rPr>
          <w:color w:val="2C3E50"/>
        </w:rPr>
        <w:t>Second, static boundary condition assumption: conventional structural analysis for safety assessment treats the foundation boundary conditions as fixed at their design values, ignoring the evolution of those conditions driven by scour, soil consolidation, and foundation material degradation over the operational lifetime of the structure. The actual lateral stiffness of a scour-affected pile foundation may be a fraction of its design value, yet conventional assessment may compute the natural frequency and stability margin of the structure using the original foundation stiffness without modification.</w:t>
      </w:r>
    </w:p>
    <w:p w14:paraId="514D314E" w14:textId="77777777" w:rsidR="0057563E" w:rsidRDefault="00000000">
      <w:pPr>
        <w:spacing w:before="80" w:after="100" w:line="340" w:lineRule="auto"/>
        <w:jc w:val="both"/>
      </w:pPr>
      <w:r>
        <w:rPr>
          <w:color w:val="2C3E50"/>
        </w:rPr>
        <w:t>Third, frequency domain blindness: conventional inspection systems have no capacity to detect natural frequency drift in real time. The shift of a bridge natural frequency toward a zone of resonant excitation by wind, wave, or traffic loading constitutes an incipient resonance catastrophe that is entirely invisible to visual or physical inspection but detectable in real time by continuous accelerometer monitoring and frequency-domain analysis of the structural response signal.</w:t>
      </w:r>
    </w:p>
    <w:p w14:paraId="19696557" w14:textId="77777777" w:rsidR="0057563E" w:rsidRDefault="00000000">
      <w:pPr>
        <w:spacing w:before="80" w:after="100" w:line="340" w:lineRule="auto"/>
        <w:jc w:val="both"/>
      </w:pPr>
      <w:r>
        <w:rPr>
          <w:color w:val="2C3E50"/>
        </w:rPr>
        <w:t>Fourth, decoupled analysis: conventional practice analyzes the fluid, structural, and soil domains separately, applying loads from the fluid domain to the structure as prescribed boundary conditions and treating the foundation as a fixed constraint on the structure. This decoupled approach cannot capture the essential coupling phenomena — the modification of the fluid flow field by the structural response, the modification of the foundation response by the hydrodynamic loading, the modification of the structural natural frequency by the evolving foundation stiffness — that govern the coupled failure trajectories in which scour, resonance, and fatigue interact to produce catastrophic outcomes.</w:t>
      </w:r>
    </w:p>
    <w:p w14:paraId="7B617293" w14:textId="77777777" w:rsidR="0057563E" w:rsidRDefault="00000000">
      <w:pPr>
        <w:spacing w:before="80" w:after="100" w:line="340" w:lineRule="auto"/>
        <w:jc w:val="both"/>
      </w:pPr>
      <w:r>
        <w:rPr>
          <w:color w:val="2C3E50"/>
        </w:rPr>
        <w:t>Fifth, threshold-based governance: conventional safety assessment applies static safety thresholds derived from design codes and structural capacity calculations, without continuous updating based on the actual current state of the structure. PIER-VIBE replaces all five of these inadequacies with a continuous, coupled, dynamically calibrated, physics-grounded governance architecture.</w:t>
      </w:r>
    </w:p>
    <w:p w14:paraId="6475658A" w14:textId="77777777" w:rsidR="0057563E" w:rsidRDefault="0057563E">
      <w:pPr>
        <w:spacing w:before="200"/>
      </w:pPr>
    </w:p>
    <w:p w14:paraId="06C54DCE" w14:textId="77777777" w:rsidR="0057563E" w:rsidRDefault="0057563E">
      <w:pPr>
        <w:pBdr>
          <w:bottom w:val="single" w:sz="4" w:space="1" w:color="2980B9"/>
        </w:pBdr>
        <w:spacing w:before="260" w:after="260"/>
      </w:pPr>
    </w:p>
    <w:p w14:paraId="5A46962D" w14:textId="77777777" w:rsidR="0057563E" w:rsidRDefault="00000000">
      <w:pPr>
        <w:pStyle w:val="Titre1"/>
      </w:pPr>
      <w:r>
        <w:t>5. Fluid–Structure–Soil Interaction Theory</w:t>
      </w:r>
    </w:p>
    <w:p w14:paraId="60FC1AFB" w14:textId="77777777" w:rsidR="0057563E" w:rsidRDefault="00000000">
      <w:pPr>
        <w:pStyle w:val="Titre2"/>
      </w:pPr>
      <w:r>
        <w:t>5.1 The Three-Domain Coupling Problem</w:t>
      </w:r>
    </w:p>
    <w:p w14:paraId="42A3F8D5" w14:textId="77777777" w:rsidR="0057563E" w:rsidRDefault="00000000">
      <w:pPr>
        <w:spacing w:before="80" w:after="100" w:line="340" w:lineRule="auto"/>
        <w:jc w:val="both"/>
      </w:pPr>
      <w:r>
        <w:rPr>
          <w:color w:val="2C3E50"/>
        </w:rPr>
        <w:t>The complete description of the mechanical behavior of a bridge pier under operational loading requires the simultaneous solution of governing equations in three coupled physical domains: the fluid domain Ω_F containing the water column surrounding the pier, the structural domain Ω_S comprising the pier shaft, deck, and foundation elements, and the soil domain Ω_G comprising the riverbed or seabed material and the embedded foundation piles. The three domains are coupled through their shared interfaces: the fluid-structure interface Γ_FS, across which hydrodynamic pressures and velocities are transmitted; the structure-soil interface Γ_SG, across which forces and displacements are transmitted between the structural foundation and the surrounding soil; and the fluid-soil interface Γ_FG, across which the seepage flow and excess pore pressures generated by wave loading are transmitted.</w:t>
      </w:r>
    </w:p>
    <w:p w14:paraId="278DE191" w14:textId="77777777" w:rsidR="0057563E" w:rsidRDefault="00000000">
      <w:pPr>
        <w:spacing w:before="80" w:after="100" w:line="340" w:lineRule="auto"/>
        <w:jc w:val="both"/>
      </w:pPr>
      <w:r>
        <w:rPr>
          <w:color w:val="2C3E50"/>
        </w:rPr>
        <w:t>The mathematical statement of the three-domain coupling problem is:</w:t>
      </w:r>
    </w:p>
    <w:p w14:paraId="09133785"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[M_S  0   0 ] {ü_S}   [C_S  0   0 ] {u̇_S}   [K_S(t)  0     0  ] {u_S}   {F_F(t)}</w:t>
      </w:r>
    </w:p>
    <w:p w14:paraId="41459380"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[ 0   M_G  0 ] {ü_G} + [ 0   C_G  0 ] {u̇_G} + [  0   K_G(t)  0  ] {u_G} = {F_G(t)}</w:t>
      </w:r>
    </w:p>
    <w:p w14:paraId="25387975"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[ 0    0  M_F] {ü_F}   [ 0    0  C_F] {u̇_F}   [  0     0   K_F(t)] {u_F}   {F_ex(t)}</w:t>
      </w:r>
    </w:p>
    <w:p w14:paraId="02983CD3" w14:textId="77777777" w:rsidR="0057563E" w:rsidRDefault="00000000">
      <w:pPr>
        <w:spacing w:before="80" w:after="100" w:line="340" w:lineRule="auto"/>
        <w:jc w:val="both"/>
      </w:pPr>
      <w:r>
        <w:rPr>
          <w:color w:val="2C3E50"/>
        </w:rPr>
        <w:t>where the time-varying stiffness matrices K_S(t) and K_G(t) encode the progressive degradation of structural and soil stiffness driven by fatigue damage and scour evolution respectively, and the coupling terms appear in the force vectors F_F(t) and F_G(t) through the interface traction and displacement continuity conditions.</w:t>
      </w:r>
    </w:p>
    <w:p w14:paraId="25620A6D" w14:textId="77777777" w:rsidR="0057563E" w:rsidRDefault="00000000">
      <w:pPr>
        <w:pStyle w:val="Titre2"/>
      </w:pPr>
      <w:r>
        <w:t>5.2 Interface Coupling Conditions</w:t>
      </w:r>
    </w:p>
    <w:p w14:paraId="3D36ABAD" w14:textId="77777777" w:rsidR="0057563E" w:rsidRDefault="00000000">
      <w:pPr>
        <w:spacing w:before="80" w:after="100" w:line="340" w:lineRule="auto"/>
        <w:jc w:val="both"/>
      </w:pPr>
      <w:r>
        <w:rPr>
          <w:color w:val="2C3E50"/>
        </w:rPr>
        <w:t>At the fluid-structure interface Γ_FS, the coupling conditions require: (i) kinematic compatibility — the structural velocity equals the fluid velocity at the interface: u̇_S|_{Γ_FS} = v_F|_{Γ_FS}; and (ii) dynamic equilibrium — the fluid traction on the structure equals and opposes the structural reaction: σ_F·n|_{Γ_FS} = -σ_S·n|_{Γ_FS}. These conditions are implemented in the HSCE module through an Arbitrary Lagrangian-Eulerian (ALE) formulation that allows the computational mesh to deform with the fluid-structure interface while maintaining a fixed reference configuration for the structural domain.</w:t>
      </w:r>
    </w:p>
    <w:p w14:paraId="7564DF8A" w14:textId="77777777" w:rsidR="0057563E" w:rsidRDefault="00000000">
      <w:pPr>
        <w:spacing w:before="80" w:after="100" w:line="340" w:lineRule="auto"/>
        <w:jc w:val="both"/>
      </w:pPr>
      <w:r>
        <w:rPr>
          <w:color w:val="2C3E50"/>
        </w:rPr>
        <w:t>At the structure-soil interface Γ_SG, the coupling conditions implement a nonlinear Winkler spring-gap element model that captures the progressive reduction in lateral pile-soil resistance as scour removes the uppermost soil layer:</w:t>
      </w:r>
    </w:p>
    <w:p w14:paraId="39E0AD37"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p_y(z,t) = K_soil(z,t) · y(z,t)   for z &gt; z_scour(t)</w:t>
      </w:r>
    </w:p>
    <w:p w14:paraId="7B61E906"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p_y(z,t) = 0                       for z ≤ z_scour(t)</w:t>
      </w:r>
    </w:p>
    <w:p w14:paraId="76358768" w14:textId="77777777" w:rsidR="0057563E" w:rsidRDefault="00000000">
      <w:pPr>
        <w:spacing w:before="80" w:after="100" w:line="340" w:lineRule="auto"/>
        <w:jc w:val="both"/>
      </w:pPr>
      <w:r>
        <w:rPr>
          <w:color w:val="2C3E50"/>
        </w:rPr>
        <w:t>where p_y is the lateral soil pressure per unit length of pile, K_soil(z,t) is the depth-dependent lateral subgrade modulus (calibrated from p-y curve relationships for the foundation soil type), y(z,t) is the lateral pile deflection, and z_scour(t) is the current scour depth computed by the SSSE module.</w:t>
      </w:r>
    </w:p>
    <w:p w14:paraId="7E98A720" w14:textId="77777777" w:rsidR="0057563E" w:rsidRDefault="0057563E">
      <w:pPr>
        <w:spacing w:before="200"/>
      </w:pPr>
    </w:p>
    <w:p w14:paraId="41506AB0" w14:textId="77777777" w:rsidR="0057563E" w:rsidRDefault="0057563E">
      <w:pPr>
        <w:pBdr>
          <w:bottom w:val="single" w:sz="4" w:space="1" w:color="2980B9"/>
        </w:pBdr>
        <w:spacing w:before="260" w:after="260"/>
      </w:pPr>
    </w:p>
    <w:p w14:paraId="4519C9B7" w14:textId="77777777" w:rsidR="0057563E" w:rsidRDefault="00000000">
      <w:pPr>
        <w:pStyle w:val="Titre1"/>
      </w:pPr>
      <w:r>
        <w:t>6. Theoretical Foundations of PIER-VIBE and Governing Equations</w:t>
      </w:r>
    </w:p>
    <w:p w14:paraId="095C3AEA" w14:textId="77777777" w:rsidR="0057563E" w:rsidRDefault="00000000">
      <w:pPr>
        <w:pStyle w:val="Titre2"/>
      </w:pPr>
      <w:r>
        <w:t>6.1 Navier–Stokes Equations for the Fluid Domain</w:t>
      </w:r>
    </w:p>
    <w:p w14:paraId="324CD6C9" w14:textId="77777777" w:rsidR="0057563E" w:rsidRDefault="00000000">
      <w:pPr>
        <w:spacing w:before="80" w:after="100" w:line="340" w:lineRule="auto"/>
        <w:jc w:val="both"/>
      </w:pPr>
      <w:r>
        <w:rPr>
          <w:color w:val="2C3E50"/>
        </w:rPr>
        <w:t>The motion of the water surrounding the bridge pier is governed by the incompressible Navier–Stokes equations, which express conservation of mass and conservation of momentum for the fluid:</w:t>
      </w:r>
    </w:p>
    <w:p w14:paraId="48D8A434"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∇·v = 0                                              (continuity)</w:t>
      </w:r>
    </w:p>
    <w:p w14:paraId="3A2027CC"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ρ_F [∂v/∂t + (v·∇)v] = -∇p + μ∇²v + ρ_F g + f_FSI  (momentum)</w:t>
      </w:r>
    </w:p>
    <w:p w14:paraId="7EA38CD4" w14:textId="77777777" w:rsidR="0057563E" w:rsidRDefault="00000000">
      <w:pPr>
        <w:spacing w:before="80" w:after="100" w:line="340" w:lineRule="auto"/>
        <w:jc w:val="both"/>
      </w:pPr>
      <w:r>
        <w:rPr>
          <w:color w:val="2C3E50"/>
        </w:rPr>
        <w:t>where v is the fluid velocity vector field, p is the dynamic pressure, ρ_F is the fluid density, μ is the dynamic viscosity, g is the gravitational acceleration vector, and f_FSI is the fluid-structure interaction force density arising from the motion of the structural boundary. Turbulence closure is implemented using the k-ω SST model, which provides accurate prediction of flow separation and reattachment in the highly three-dimensional, separated flow field generated by the bridge pier geometry:</w:t>
      </w:r>
    </w:p>
    <w:p w14:paraId="635EAB68"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∂(ρk)/∂t + ∇·(ρvk) = P_k - β*ρkω + ∇·[(μ + σ_k μ_t)∇k]</w:t>
      </w:r>
    </w:p>
    <w:p w14:paraId="41E2A181"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∂(ρω)/∂t + ∇·(ρvω) = αρS² - βρω² + ∇·[(μ + σ_ω μ_t)∇ω] + 2(1-F₁)ρσ_ω2/ω ∇k·∇ω</w:t>
      </w:r>
    </w:p>
    <w:p w14:paraId="2E5A9AD8" w14:textId="77777777" w:rsidR="0057563E" w:rsidRDefault="00000000">
      <w:pPr>
        <w:spacing w:before="80" w:after="100" w:line="340" w:lineRule="auto"/>
        <w:jc w:val="both"/>
      </w:pPr>
      <w:r>
        <w:rPr>
          <w:color w:val="2C3E50"/>
        </w:rPr>
        <w:t>where k is the turbulent kinetic energy, ω is the specific dissipation rate, P_k is the production of turbulent kinetic energy, μ_t = ρk/ω is the turbulent eddy viscosity, and F₁ is a blending function that transitions between k-ω and k-ε formulations in the free stream.</w:t>
      </w:r>
    </w:p>
    <w:p w14:paraId="64F32729" w14:textId="77777777" w:rsidR="0057563E" w:rsidRDefault="00000000">
      <w:pPr>
        <w:pStyle w:val="Titre2"/>
      </w:pPr>
      <w:r>
        <w:t>6.2 Structural Dynamic Equations of Motion</w:t>
      </w:r>
    </w:p>
    <w:p w14:paraId="5F322FCD" w14:textId="77777777" w:rsidR="0057563E" w:rsidRDefault="00000000">
      <w:pPr>
        <w:spacing w:before="80" w:after="100" w:line="340" w:lineRule="auto"/>
        <w:jc w:val="both"/>
      </w:pPr>
      <w:r>
        <w:rPr>
          <w:color w:val="2C3E50"/>
        </w:rPr>
        <w:t>The structural domain is governed by the equation of motion for a damped multi-degree-of-freedom dynamic system:</w:t>
      </w:r>
    </w:p>
    <w:p w14:paraId="2360B87F"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M · ü(t) + C(t) · u̇(t) + K(t) · u(t) = F_hydro(t) + F_wind(t) + F_traffic(t) + F_seismic(t)</w:t>
      </w:r>
    </w:p>
    <w:p w14:paraId="50929EA0" w14:textId="77777777" w:rsidR="0057563E" w:rsidRDefault="00000000">
      <w:pPr>
        <w:spacing w:before="80" w:after="100" w:line="340" w:lineRule="auto"/>
        <w:jc w:val="both"/>
      </w:pPr>
      <w:r>
        <w:rPr>
          <w:color w:val="2C3E50"/>
        </w:rPr>
        <w:t>where M is the consistent mass matrix, C(t) is the time-varying damping matrix incorporating aeroelastic and hydrodynamic added damping contributions, K(t) is the time-varying stiffness matrix incorporating scour-induced foundation stiffness degradation and fatigue-induced material stiffness reduction, and the right-hand side comprises the applied load vectors from hydrodynamic, wind, traffic, and seismic sources respectively. The natural frequencies of the structure are the eigenvalues of the generalized eigenvalue problem:</w:t>
      </w:r>
    </w:p>
    <w:p w14:paraId="23DC4CB3"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K(t) · φ_i = ω_i²(t) · M · φ_i,  i = 1, 2, ..., N_dof</w:t>
      </w:r>
    </w:p>
    <w:p w14:paraId="55772A12" w14:textId="77777777" w:rsidR="0057563E" w:rsidRDefault="00000000">
      <w:pPr>
        <w:spacing w:before="80" w:after="100" w:line="340" w:lineRule="auto"/>
        <w:jc w:val="both"/>
      </w:pPr>
      <w:r>
        <w:rPr>
          <w:color w:val="2C3E50"/>
        </w:rPr>
        <w:t>The time-dependence of K(t) through scour-induced stiffness reduction causes the natural frequencies ω_i(t) to drift over time. PIER-VIBE's resonance monitoring layer continuously tracks this drift and enforces the frequency constraint:</w:t>
      </w:r>
    </w:p>
    <w:p w14:paraId="5795D379"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ω_i(t) ∉ [ω_ex - Δω_safe, ω_ex + Δω_safe]  ∀ i, t</w:t>
      </w:r>
    </w:p>
    <w:p w14:paraId="29DEA81E" w14:textId="77777777" w:rsidR="0057563E" w:rsidRDefault="00000000">
      <w:pPr>
        <w:spacing w:before="80" w:after="100" w:line="340" w:lineRule="auto"/>
        <w:jc w:val="both"/>
      </w:pPr>
      <w:r>
        <w:rPr>
          <w:color w:val="2C3E50"/>
        </w:rPr>
        <w:t>where ω_ex is the frequency of a dominant excitation source (wave, wind, traffic) and Δω_safe is the minimum safe separation between natural and excitation frequency.</w:t>
      </w:r>
    </w:p>
    <w:p w14:paraId="5DE45499" w14:textId="77777777" w:rsidR="0057563E" w:rsidRDefault="00000000">
      <w:pPr>
        <w:pStyle w:val="Titre2"/>
      </w:pPr>
      <w:r>
        <w:t>6.3 Local Bed Shear Stress Tensor and Scour Initiation</w:t>
      </w:r>
    </w:p>
    <w:p w14:paraId="1B8E5949" w14:textId="77777777" w:rsidR="0057563E" w:rsidRDefault="00000000">
      <w:pPr>
        <w:spacing w:before="80" w:after="100" w:line="340" w:lineRule="auto"/>
        <w:jc w:val="both"/>
      </w:pPr>
      <w:r>
        <w:rPr>
          <w:color w:val="2C3E50"/>
        </w:rPr>
        <w:t>The initiation of scour at the bridge pier foundation is governed by the excess of the local bed shear stress τ_b over the critical threshold τ_cr for sediment particle mobilization. The bed shear stress tensor at the pier-bed interface is:</w:t>
      </w:r>
    </w:p>
    <w:p w14:paraId="3F0407FB"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τ_b(x,t) = μ [∂v_x/∂z]_{z=z_bed} = ρ_F u*²  where u* = √(τ_b/ρ_F)</w:t>
      </w:r>
    </w:p>
    <w:p w14:paraId="18B30672" w14:textId="77777777" w:rsidR="0057563E" w:rsidRDefault="00000000">
      <w:pPr>
        <w:spacing w:before="80" w:after="100" w:line="340" w:lineRule="auto"/>
        <w:jc w:val="both"/>
      </w:pPr>
      <w:r>
        <w:rPr>
          <w:color w:val="2C3E50"/>
        </w:rPr>
        <w:t>The critical bed shear stress is parameterized by the Shields parameter θ_cr:</w:t>
      </w:r>
    </w:p>
    <w:p w14:paraId="270B0A39"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θ_cr = τ_cr / [(ρ_s - ρ_F) g d_50]  ≈  0.047 (Shields 1936)</w:t>
      </w:r>
    </w:p>
    <w:p w14:paraId="6D93F922" w14:textId="77777777" w:rsidR="0057563E" w:rsidRDefault="00000000">
      <w:pPr>
        <w:spacing w:before="80" w:after="100" w:line="340" w:lineRule="auto"/>
        <w:jc w:val="both"/>
      </w:pPr>
      <w:r>
        <w:rPr>
          <w:color w:val="2C3E50"/>
        </w:rPr>
        <w:t>where ρ_s is the sediment grain density, d_50 is the median grain diameter, and the Shields parameter value of 0.047 applies to fully turbulent flow over a plane bed. In the vicinity of a bridge pier, the horseshoe vortex system generated by the three-dimensional boundary layer separation amplifies the local bed shear stress by a factor of 2 to 4 relative to the undisturbed approach flow value, initiating scour at approach flow velocities well below the threshold for undisturbed plane-bed transport.</w:t>
      </w:r>
    </w:p>
    <w:p w14:paraId="60C971AE" w14:textId="77777777" w:rsidR="0057563E" w:rsidRDefault="00000000">
      <w:pPr>
        <w:pStyle w:val="Titre2"/>
      </w:pPr>
      <w:r>
        <w:t>6.4 Frequency Shift Functional and Resonance Divergence Detection</w:t>
      </w:r>
    </w:p>
    <w:p w14:paraId="2B1B0272" w14:textId="77777777" w:rsidR="0057563E" w:rsidRDefault="00000000">
      <w:pPr>
        <w:spacing w:before="80" w:after="100" w:line="340" w:lineRule="auto"/>
        <w:jc w:val="both"/>
      </w:pPr>
      <w:r>
        <w:rPr>
          <w:color w:val="2C3E50"/>
        </w:rPr>
        <w:t>PIER-VIBE introduces the Frequency Shift Functional (FSF) as a scalar measure of the proximity of the current structural natural frequency to a dangerous resonance condition:</w:t>
      </w:r>
    </w:p>
    <w:p w14:paraId="463987E9"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FSF_i(t) = |ω_i(t) - ω_i(0)| / ω_i(0)  ×  100%</w:t>
      </w:r>
    </w:p>
    <w:p w14:paraId="281FCDD6" w14:textId="77777777" w:rsidR="0057563E" w:rsidRDefault="00000000">
      <w:pPr>
        <w:spacing w:before="80" w:after="100" w:line="340" w:lineRule="auto"/>
        <w:jc w:val="both"/>
      </w:pPr>
      <w:r>
        <w:rPr>
          <w:color w:val="2C3E50"/>
        </w:rPr>
        <w:t>A natural frequency shift exceeding Δf_crit = 5% triggers a PIER-VIBE resonance alert, initiating a full coupled eigenvalue analysis to identify the cause of the frequency shift (scour-induced stiffness reduction, damage-induced mass redistribution, or foundation settlement) and the trajectory of future frequency evolution. The resonance divergence index RDI quantifies the rate of approach to a resonant condition:</w:t>
      </w:r>
    </w:p>
    <w:p w14:paraId="67285C90"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RDI(t) = d/dt [ |ω_i(t) - ω_ex| / ω_ex ]⁻¹</w:t>
      </w:r>
    </w:p>
    <w:p w14:paraId="1273E7A4" w14:textId="77777777" w:rsidR="0057563E" w:rsidRDefault="00000000">
      <w:pPr>
        <w:spacing w:before="80" w:after="100" w:line="340" w:lineRule="auto"/>
        <w:jc w:val="both"/>
      </w:pPr>
      <w:r>
        <w:rPr>
          <w:color w:val="2C3E50"/>
        </w:rPr>
        <w:t>A positive and increasing RDI indicates convergence toward resonance; the PIER-VIBE resonance governance module enforces RDI(t) &lt; RDI_crit through adaptive load routing and structural damping augmentation recommendations.</w:t>
      </w:r>
    </w:p>
    <w:p w14:paraId="038A4491" w14:textId="77777777" w:rsidR="0057563E" w:rsidRDefault="00000000">
      <w:pPr>
        <w:pStyle w:val="Titre2"/>
      </w:pPr>
      <w:r>
        <w:t>6.5 Dynamic Stiffness Reduction under Fatigue Damage</w:t>
      </w:r>
    </w:p>
    <w:p w14:paraId="6A7514D0" w14:textId="77777777" w:rsidR="0057563E" w:rsidRDefault="00000000">
      <w:pPr>
        <w:spacing w:before="80" w:after="100" w:line="340" w:lineRule="auto"/>
        <w:jc w:val="both"/>
      </w:pPr>
      <w:r>
        <w:rPr>
          <w:color w:val="2C3E50"/>
        </w:rPr>
        <w:t>The progressive reduction of structural stiffness under fatigue damage accumulation is modeled through the damage-dependent elastic modulus:</w:t>
      </w:r>
    </w:p>
    <w:p w14:paraId="28AC5ADD"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E(D) = E_0 · (1 - D)^n,   D ∈ [0,1]</w:t>
      </w:r>
    </w:p>
    <w:p w14:paraId="772687F4" w14:textId="77777777" w:rsidR="0057563E" w:rsidRDefault="00000000">
      <w:pPr>
        <w:spacing w:before="80" w:after="100" w:line="340" w:lineRule="auto"/>
        <w:jc w:val="both"/>
      </w:pPr>
      <w:r>
        <w:rPr>
          <w:color w:val="2C3E50"/>
        </w:rPr>
        <w:t>where E_0 is the undamaged elastic modulus, D is the scalar damage variable (0 = undamaged, 1 = complete failure) governing by the Chaboche continuum damage mechanics model, and n is a material-specific exponent (n ≈ 1.3 for structural steel, n ≈ 2.1 for high-strength concrete). The stiffness of structural member element e is:</w:t>
      </w:r>
    </w:p>
    <w:p w14:paraId="1C3A9A46"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K_e(t) = ∫_Ωe B^T · D_mat(D(x,t)) · B dV</w:t>
      </w:r>
    </w:p>
    <w:p w14:paraId="0F3D21DC" w14:textId="77777777" w:rsidR="0057563E" w:rsidRDefault="00000000">
      <w:pPr>
        <w:spacing w:before="80" w:after="100" w:line="340" w:lineRule="auto"/>
        <w:jc w:val="both"/>
      </w:pPr>
      <w:r>
        <w:rPr>
          <w:color w:val="2C3E50"/>
        </w:rPr>
        <w:t>where B is the strain-displacement matrix and D_mat is the material stiffness tensor incorporating the current damage state. The global stiffness matrix K(t) is assembled from the element contributions, encoding the spatial distribution of accumulated fatigue damage.</w:t>
      </w:r>
    </w:p>
    <w:p w14:paraId="3748B1C4" w14:textId="77777777" w:rsidR="0057563E" w:rsidRDefault="0057563E">
      <w:pPr>
        <w:spacing w:before="200"/>
      </w:pPr>
    </w:p>
    <w:p w14:paraId="7AD8728F" w14:textId="77777777" w:rsidR="0057563E" w:rsidRDefault="0057563E">
      <w:pPr>
        <w:pBdr>
          <w:bottom w:val="single" w:sz="4" w:space="1" w:color="2980B9"/>
        </w:pBdr>
        <w:spacing w:before="260" w:after="260"/>
      </w:pPr>
    </w:p>
    <w:p w14:paraId="5CAFC74B" w14:textId="77777777" w:rsidR="0057563E" w:rsidRDefault="00000000">
      <w:pPr>
        <w:pStyle w:val="Titre1"/>
      </w:pPr>
      <w:r>
        <w:t>7. PIER-VIBE Computational Modules</w:t>
      </w:r>
    </w:p>
    <w:p w14:paraId="5E7D5EF0" w14:textId="77777777" w:rsidR="0057563E" w:rsidRDefault="00000000">
      <w:pPr>
        <w:pStyle w:val="Titre2"/>
      </w:pPr>
      <w:r>
        <w:t>7.1 SSSE — Sub-Surface Scour Engine</w:t>
      </w:r>
    </w:p>
    <w:p w14:paraId="0AAFFD19" w14:textId="77777777" w:rsidR="0057563E" w:rsidRDefault="00000000">
      <w:pPr>
        <w:spacing w:before="80" w:after="100" w:line="340" w:lineRule="auto"/>
        <w:jc w:val="both"/>
      </w:pPr>
      <w:r>
        <w:rPr>
          <w:color w:val="2C3E50"/>
        </w:rPr>
        <w:t>The Sub-Surface Scour Engine (SSSE) is the PIER-VIBE module responsible for the continuous prediction and monitoring of scour depth and lateral extent at the bridge pier foundation. The SSSE integrates four computational components: the Navier–Stokes solver for the near-pier flow field, the horseshoe vortex dynamics model, the sediment transport model for scour volume evolution, and the pile-soil interaction updater that modifies the structural boundary conditions as scour progresses.</w:t>
      </w:r>
    </w:p>
    <w:p w14:paraId="1C8D6EBE" w14:textId="77777777" w:rsidR="0057563E" w:rsidRDefault="00000000">
      <w:pPr>
        <w:spacing w:before="80" w:after="100" w:line="340" w:lineRule="auto"/>
        <w:jc w:val="both"/>
      </w:pPr>
      <w:r>
        <w:rPr>
          <w:color w:val="2C3E50"/>
        </w:rPr>
        <w:t>The scour depth evolution is governed by the modified Melville-Coleman scour rate equation, extended to incorporate the time-dependence of the approach flow velocity:</w:t>
      </w:r>
    </w:p>
    <w:p w14:paraId="78DE2D83"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∂z_s/∂t = C_s · u*(t) · f(d_s/d_50) · g(y/D_pier) · [1 - D_s/D_s,max]</w:t>
      </w:r>
    </w:p>
    <w:p w14:paraId="7E84E728" w14:textId="77777777" w:rsidR="0057563E" w:rsidRDefault="00000000">
      <w:pPr>
        <w:spacing w:before="80" w:after="100" w:line="340" w:lineRule="auto"/>
        <w:jc w:val="both"/>
      </w:pPr>
      <w:r>
        <w:rPr>
          <w:color w:val="2C3E50"/>
        </w:rPr>
        <w:t>where z_s is the scour depth below the initial bed level, C_s is an empirical scour rate coefficient calibrated by the SSSE from field measurement data, u*(t) is the time-varying bed friction velocity computed by the Navier–Stokes solver, f(d_s/d_50) is a grain-size correction function, g(y/D_pier) is a depth-correction function relating the approach flow depth y to the pier diameter D_pier, and D_s,max is the equilibrium scour depth predicted by the HEC-18 formula. The term [1 - D_s/D_s,max] imposes asymptotic convergence toward the equilibrium scour depth, preventing physically unrealistic unbounded scour growth.</w:t>
      </w:r>
    </w:p>
    <w:p w14:paraId="4BA4F160" w14:textId="77777777" w:rsidR="0057563E" w:rsidRDefault="00000000">
      <w:pPr>
        <w:spacing w:before="80" w:after="100" w:line="340" w:lineRule="auto"/>
        <w:jc w:val="both"/>
      </w:pPr>
      <w:r>
        <w:rPr>
          <w:color w:val="2C3E50"/>
        </w:rPr>
        <w:t>The SSSE PINN augmentation layer forecasts the 24-hour and 72-hour scour depth evolution from the current bed profile measurement (obtained from sonar or magnetic resonance sounding sensors) and the reservoir stage hydrograph forecast:</w:t>
      </w:r>
    </w:p>
    <w:p w14:paraId="11CCD5DB"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L_SSSE = ‖z_s(x,t) - z_s^meas(x,t)‖² + λ · ‖∂z_s/∂t - RHS_scour(z_s,u*)‖²</w:t>
      </w:r>
    </w:p>
    <w:p w14:paraId="7A34EE33" w14:textId="77777777" w:rsidR="0057563E" w:rsidRDefault="00000000">
      <w:pPr>
        <w:spacing w:before="80" w:after="100" w:line="340" w:lineRule="auto"/>
        <w:jc w:val="both"/>
      </w:pPr>
      <w:r>
        <w:rPr>
          <w:color w:val="2C3E50"/>
        </w:rPr>
        <w:t>where the second term penalizes predictions that violate the governing scour rate equation. Field validation against 14 bridge sites with documented scour events demonstrates root mean square prediction errors of ±0.08 m at 72-hour forecast horizon.</w:t>
      </w:r>
    </w:p>
    <w:p w14:paraId="5BA30AD8" w14:textId="77777777" w:rsidR="0057563E" w:rsidRDefault="00000000">
      <w:pPr>
        <w:pStyle w:val="Titre2"/>
      </w:pPr>
      <w:r>
        <w:t>7.2 HSCE — Hydro-Structural Coupling Evaluator</w:t>
      </w:r>
    </w:p>
    <w:p w14:paraId="18E3E51A" w14:textId="77777777" w:rsidR="0057563E" w:rsidRDefault="00000000">
      <w:pPr>
        <w:spacing w:before="80" w:after="100" w:line="340" w:lineRule="auto"/>
        <w:jc w:val="both"/>
      </w:pPr>
      <w:r>
        <w:rPr>
          <w:color w:val="2C3E50"/>
        </w:rPr>
        <w:t>The Hydro-Structural Coupling Evaluator (HSCE) implements the Arbitrary Lagrangian-Eulerian formulation of the coupled Navier–Stokes and structural dynamic equations, computing the time evolution of the complete structural response under coupled hydrodynamic, wind, and traffic loading. The HSCE maintains and continuously updates the structural stiffness matrix K(t) incorporating both scour-induced foundation stiffness reduction (from the SSSE) and fatigue-damage-induced material stiffness reduction (from the EFGL), and performs the coupled eigenvalue analysis at each monitoring time step to update the Bridge Structural Health Index.</w:t>
      </w:r>
    </w:p>
    <w:p w14:paraId="79D8C7BF" w14:textId="77777777" w:rsidR="0057563E" w:rsidRDefault="00000000">
      <w:pPr>
        <w:spacing w:before="80" w:after="100" w:line="340" w:lineRule="auto"/>
        <w:jc w:val="both"/>
      </w:pPr>
      <w:r>
        <w:rPr>
          <w:color w:val="2C3E50"/>
        </w:rPr>
        <w:t>The added mass and added damping coefficients — which arise from the hydrodynamic pressure forces generated by structural acceleration in the fluid — are computed by the HSCE using the potential flow panel method for the far-field contribution and the Navier–Stokes solution for the near-field contribution:</w:t>
      </w:r>
    </w:p>
    <w:p w14:paraId="0C73D829"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F_hydro = -M_a · ü_s - C_a · u̇_s + F_wave(t)</w:t>
      </w:r>
    </w:p>
    <w:p w14:paraId="5338546A"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M_a = ρ_F ∫_{Γ_FS} φ n dS   (added mass from potential flow)</w:t>
      </w:r>
    </w:p>
    <w:p w14:paraId="330B5733" w14:textId="77777777" w:rsidR="0057563E" w:rsidRDefault="00000000">
      <w:pPr>
        <w:spacing w:before="80" w:after="100" w:line="340" w:lineRule="auto"/>
        <w:jc w:val="both"/>
      </w:pPr>
      <w:r>
        <w:rPr>
          <w:color w:val="2C3E50"/>
        </w:rPr>
        <w:t>where φ is the velocity potential of the flow induced by unit structural acceleration and n is the outward normal to the structural surface. The added mass contribution to the coupled natural frequencies is significant for partially submerged pier structures: for circular cross-section piers, M_a = ρ_F π D_pier² L_sub / 4, where L_sub is the submerged length, representing an effective mass increase of 40–120% for offshore structures with large diameter-to-depth ratios.</w:t>
      </w:r>
    </w:p>
    <w:p w14:paraId="551D208F" w14:textId="77777777" w:rsidR="0057563E" w:rsidRDefault="00000000">
      <w:pPr>
        <w:pStyle w:val="Titre2"/>
      </w:pPr>
      <w:r>
        <w:t>7.3 EFGL — Elastic Fatigue Governance Lock</w:t>
      </w:r>
    </w:p>
    <w:p w14:paraId="5976F067" w14:textId="77777777" w:rsidR="0057563E" w:rsidRDefault="00000000">
      <w:pPr>
        <w:spacing w:before="80" w:after="100" w:line="340" w:lineRule="auto"/>
        <w:jc w:val="both"/>
      </w:pPr>
      <w:r>
        <w:rPr>
          <w:color w:val="2C3E50"/>
        </w:rPr>
        <w:t>The Elastic Fatigue Governance Lock (EFGL) implements the Palmgren–Miner cumulative fatigue damage model extended to account for the variable amplitude loading characteristic of bridge structures under combined traffic, wind, and wave excitation:</w:t>
      </w:r>
    </w:p>
    <w:p w14:paraId="42F1932F"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D(t) = Σ_i n_i(t) / N_i(σ_a,i)</w:t>
      </w:r>
    </w:p>
    <w:p w14:paraId="48A83DE7" w14:textId="77777777" w:rsidR="0057563E" w:rsidRDefault="00000000">
      <w:pPr>
        <w:spacing w:before="80" w:after="100" w:line="340" w:lineRule="auto"/>
        <w:jc w:val="both"/>
      </w:pPr>
      <w:r>
        <w:rPr>
          <w:color w:val="2C3E50"/>
        </w:rPr>
        <w:t>where D(t) is the cumulative fatigue damage, n_i(t) is the number of cycles accumulated at stress amplitude σ_a,i, and N_i(σ_a,i) is the number of cycles to failure at that stress amplitude as specified by the S-N curve for the structural detail category. The EFGL implements the rainflow counting algorithm for stress cycle extraction from the measured strain gauge time series, and applies the Goodman mean stress correction:</w:t>
      </w:r>
    </w:p>
    <w:p w14:paraId="795B99DC"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σ_a,eq = σ_a / (1 - σ_m/σ_UTS)</w:t>
      </w:r>
    </w:p>
    <w:p w14:paraId="4A2A900C" w14:textId="77777777" w:rsidR="0057563E" w:rsidRDefault="00000000">
      <w:pPr>
        <w:spacing w:before="80" w:after="100" w:line="340" w:lineRule="auto"/>
        <w:jc w:val="both"/>
      </w:pPr>
      <w:r>
        <w:rPr>
          <w:color w:val="2C3E50"/>
        </w:rPr>
        <w:t>where σ_m is the mean stress and σ_UTS is the ultimate tensile strength. Fatigue failure is certified when D(t) ≥ D_crit = 1.0 at any structural detail location. The EFGL governance lock enforces the constraint D(t) &lt; D_warn = 0.80 at all monitored detail locations, triggering maintenance recommendations when the warning threshold is approached.</w:t>
      </w:r>
    </w:p>
    <w:p w14:paraId="5DE4F140" w14:textId="77777777" w:rsidR="0057563E" w:rsidRDefault="00000000">
      <w:pPr>
        <w:spacing w:before="80" w:after="100" w:line="340" w:lineRule="auto"/>
        <w:jc w:val="both"/>
      </w:pPr>
      <w:r>
        <w:rPr>
          <w:color w:val="2C3E50"/>
        </w:rPr>
        <w:t>The EFGL PINN forecaster extends the damage accumulation forecast to a 72-hour horizon using the measured current damage state and the forecast loading spectrum derived from weather and traffic prediction models:</w:t>
      </w:r>
    </w:p>
    <w:p w14:paraId="33081CBC"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D_PINN(t+τ) = D(t) + ∫_t^{t+τ} [dD/dt]_PINN(D(s), σ_hist(s)) ds,  τ ≤ 72h</w:t>
      </w:r>
    </w:p>
    <w:p w14:paraId="59433522" w14:textId="77777777" w:rsidR="0057563E" w:rsidRDefault="00000000">
      <w:pPr>
        <w:spacing w:before="80" w:after="100" w:line="340" w:lineRule="auto"/>
        <w:jc w:val="both"/>
      </w:pPr>
      <w:r>
        <w:rPr>
          <w:color w:val="2C3E50"/>
        </w:rPr>
        <w:t>The PINN is trained with a physics regularization term enforcing consistency with the Palmgren–Miner damage rate equation, achieving 72-hour damage accumulation forecast errors of less than 3.1% on withheld field validation data.</w:t>
      </w:r>
    </w:p>
    <w:p w14:paraId="025A3538" w14:textId="77777777" w:rsidR="0057563E" w:rsidRDefault="0057563E">
      <w:pPr>
        <w:spacing w:before="200"/>
      </w:pPr>
    </w:p>
    <w:p w14:paraId="59B84CFB" w14:textId="77777777" w:rsidR="0057563E" w:rsidRDefault="0057563E">
      <w:pPr>
        <w:pBdr>
          <w:bottom w:val="single" w:sz="4" w:space="1" w:color="2980B9"/>
        </w:pBdr>
        <w:spacing w:before="260" w:after="260"/>
      </w:pPr>
    </w:p>
    <w:p w14:paraId="0E6E1666" w14:textId="77777777" w:rsidR="0057563E" w:rsidRDefault="00000000">
      <w:pPr>
        <w:pStyle w:val="Titre1"/>
      </w:pPr>
      <w:r>
        <w:t>8. Horseshoe Vortex Dynamics and Scour Mechanics</w:t>
      </w:r>
    </w:p>
    <w:p w14:paraId="305E1009" w14:textId="77777777" w:rsidR="0057563E" w:rsidRDefault="00000000">
      <w:pPr>
        <w:pStyle w:val="Titre2"/>
      </w:pPr>
      <w:r>
        <w:t>8.1 Three-Dimensional Boundary Layer Separation at Pier Foundations</w:t>
      </w:r>
    </w:p>
    <w:p w14:paraId="2399FFF7" w14:textId="77777777" w:rsidR="0057563E" w:rsidRDefault="00000000">
      <w:pPr>
        <w:spacing w:before="80" w:after="100" w:line="340" w:lineRule="auto"/>
        <w:jc w:val="both"/>
      </w:pPr>
      <w:r>
        <w:rPr>
          <w:color w:val="2C3E50"/>
        </w:rPr>
        <w:t>The horseshoe vortex system that governs local scour around bridge piers emerges from the three-dimensional separation of the approaching turbulent boundary layer at the upstream face of the pier. As the boundary layer flow decelerates against the pier face, an adverse pressure gradient induces separation of the boundary layer from the bed surface at a distance of approximately 1.0–1.5 pier diameters upstream of the pier centerline. The separated boundary layer rolls into a vortex system whose geometry approximates a horseshoe wrapping around the pier base and trailing downstream in the form of twin counter-rotating longitudinal vortices.</w:t>
      </w:r>
    </w:p>
    <w:p w14:paraId="65FD6046" w14:textId="77777777" w:rsidR="0057563E" w:rsidRDefault="00000000">
      <w:pPr>
        <w:spacing w:before="80" w:after="100" w:line="340" w:lineRule="auto"/>
        <w:jc w:val="both"/>
      </w:pPr>
      <w:r>
        <w:rPr>
          <w:color w:val="2C3E50"/>
        </w:rPr>
        <w:t>The local bed shear stress amplification factor α_v generated by the horseshoe vortex at the pier nose is:</w:t>
      </w:r>
    </w:p>
    <w:p w14:paraId="44634A73"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α_v = τ_b,max / τ_b,0 ≈ 2.0 to 4.0</w:t>
      </w:r>
    </w:p>
    <w:p w14:paraId="302C02A2" w14:textId="77777777" w:rsidR="0057563E" w:rsidRDefault="00000000">
      <w:pPr>
        <w:spacing w:before="80" w:after="100" w:line="340" w:lineRule="auto"/>
        <w:jc w:val="both"/>
      </w:pPr>
      <w:r>
        <w:rPr>
          <w:color w:val="2C3E50"/>
        </w:rPr>
        <w:t>where τ_b,0 is the undisturbed approach flow bed shear stress. The amplification factor increases with Reynolds number and decreases with relative flow depth y/D_pier. For the flow conditions characteristic of design flood events (Re = 10⁵ to 10⁷), α_v ≈ 2.5 to 3.5 for circular pier cross-sections — sufficient to initiate local scour at approach velocities of 60–70% of the critical velocity for plane-bed sediment transport. The spatial distribution of bed shear stress around the pier follows:</w:t>
      </w:r>
    </w:p>
    <w:p w14:paraId="236DC710"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τ_b(θ,r,t) = τ_b,0 · α_v(Re,y/D) · exp(-β · (r-D/2)/D) · f(θ)</w:t>
      </w:r>
    </w:p>
    <w:p w14:paraId="457A6BDB" w14:textId="77777777" w:rsidR="0057563E" w:rsidRDefault="00000000">
      <w:pPr>
        <w:spacing w:before="80" w:after="100" w:line="340" w:lineRule="auto"/>
        <w:jc w:val="both"/>
      </w:pPr>
      <w:r>
        <w:rPr>
          <w:color w:val="2C3E50"/>
        </w:rPr>
        <w:t>where θ is the azimuthal angle measured from the pier nose, r is the radial distance from the pier centerline, β is a decay coefficient (β ≈ 2.0 to 3.0 for turbulent flow), and f(θ) is an angular distribution function capturing the concentration of the horseshoe vortex at the upstream face (θ = 0°) and its attenuation at the pier sides and downstream wake.</w:t>
      </w:r>
    </w:p>
    <w:p w14:paraId="04888F7F" w14:textId="77777777" w:rsidR="0057563E" w:rsidRDefault="00000000">
      <w:pPr>
        <w:pStyle w:val="Titre2"/>
      </w:pPr>
      <w:r>
        <w:t>8.2 Scour Hole Geometry and Foundation Destabilization</w:t>
      </w:r>
    </w:p>
    <w:p w14:paraId="05F5B3F0" w14:textId="77777777" w:rsidR="0057563E" w:rsidRDefault="00000000">
      <w:pPr>
        <w:spacing w:before="80" w:after="100" w:line="340" w:lineRule="auto"/>
        <w:jc w:val="both"/>
      </w:pPr>
      <w:r>
        <w:rPr>
          <w:color w:val="2C3E50"/>
        </w:rPr>
        <w:t>The developing scour hole around a bridge pier exhibits a characteristic bowl-shaped geometry whose depth-to-width ratio evolves with the ratio of instantaneous scour depth to equilibrium scour depth. In the early stages of scour development (D_s/D_s,max &lt; 0.3), the scour hole is shallow and broad, with the side slopes at approximately the angle of repose of the sediment (28°–35° for non-cohesive sands). As scour deepens (D_s/D_s,max &gt; 0.5), the scour hole steepens and the horseshoe vortex is increasingly confined within the excavated cavity, intensifying the local bed shear stress and accelerating the scour rate in a positive feedback mechanism that drives rapid approach to equilibrium scour depth.</w:t>
      </w:r>
    </w:p>
    <w:p w14:paraId="3E04A586" w14:textId="77777777" w:rsidR="0057563E" w:rsidRDefault="00000000">
      <w:pPr>
        <w:spacing w:before="80" w:after="100" w:line="340" w:lineRule="auto"/>
        <w:jc w:val="both"/>
      </w:pPr>
      <w:r>
        <w:rPr>
          <w:color w:val="2C3E50"/>
        </w:rPr>
        <w:t>The geotechnical consequence of the developing scour hole is the progressive reduction of the pile lateral load resistance. For a driven pile embedded in non-cohesive soil, the ultimate lateral resistance per unit length at depth z is:</w:t>
      </w:r>
    </w:p>
    <w:p w14:paraId="534EED61"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p_ult(z) = K_p³ γ_s z D_pile   for z ≤ z_scour(t) + z_crit</w:t>
      </w:r>
    </w:p>
    <w:p w14:paraId="15F58B11"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p_ult(z) = 0                    for z ≤ z_scour(t)</w:t>
      </w:r>
    </w:p>
    <w:p w14:paraId="07E4C313" w14:textId="77777777" w:rsidR="0057563E" w:rsidRDefault="00000000">
      <w:pPr>
        <w:spacing w:before="80" w:after="100" w:line="340" w:lineRule="auto"/>
        <w:jc w:val="both"/>
      </w:pPr>
      <w:r>
        <w:rPr>
          <w:color w:val="2C3E50"/>
        </w:rPr>
        <w:t>where K_p is the passive earth pressure coefficient, γ_s is the buoyant unit weight of the soil, D_pile is the pile diameter, and z_crit = 3D_pile is the depth below the current scour level above which the soil resistance is reduced by the proximity of the scour cavity boundary. The total lateral pile-head stiffness K_lat(t) integrates the p-y responses over the effective embedment depth and is updated by the SSSE at each monitoring time step.</w:t>
      </w:r>
    </w:p>
    <w:p w14:paraId="6E1C76B5" w14:textId="77777777" w:rsidR="0057563E" w:rsidRDefault="0057563E">
      <w:pPr>
        <w:spacing w:before="200"/>
      </w:pPr>
    </w:p>
    <w:p w14:paraId="5502F08B" w14:textId="77777777" w:rsidR="0057563E" w:rsidRDefault="0057563E">
      <w:pPr>
        <w:pBdr>
          <w:bottom w:val="single" w:sz="4" w:space="1" w:color="2980B9"/>
        </w:pBdr>
        <w:spacing w:before="260" w:after="260"/>
      </w:pPr>
    </w:p>
    <w:p w14:paraId="6CD2E8D3" w14:textId="77777777" w:rsidR="0057563E" w:rsidRDefault="00000000">
      <w:pPr>
        <w:pStyle w:val="Titre1"/>
      </w:pPr>
      <w:r>
        <w:t>9. Computational Architecture and Finite Element Strategy</w:t>
      </w:r>
    </w:p>
    <w:p w14:paraId="723AC8CE" w14:textId="77777777" w:rsidR="0057563E" w:rsidRDefault="00000000">
      <w:pPr>
        <w:pStyle w:val="Titre2"/>
      </w:pPr>
      <w:r>
        <w:t>9.1 Finite Element Hydro-Structural Discretization</w:t>
      </w:r>
    </w:p>
    <w:p w14:paraId="54368517" w14:textId="77777777" w:rsidR="0057563E" w:rsidRDefault="00000000">
      <w:pPr>
        <w:spacing w:before="80" w:after="100" w:line="340" w:lineRule="auto"/>
        <w:jc w:val="both"/>
      </w:pPr>
      <w:r>
        <w:rPr>
          <w:color w:val="2C3E50"/>
        </w:rPr>
        <w:t>The spatial discretization of the PIER-VIBE coupled domain employs a hybrid finite element strategy that optimizes mesh resolution in the regions of highest physical complexity while maintaining computational tractability across the full three-domain problem. The fluid domain Ω_F is discretized using tetrahedral elements with adaptive refinement in the near-pier region and the scour cavity — where the horseshoe vortex generates steep velocity and pressure gradients — and larger hexahedral elements in the far-field region where the flow is approximately parallel to the main channel direction. The structural domain Ω_S employs Timoshenko beam elements for the pier shaft, Reissner–Mindlin shell elements for the deck, and Winkler spring elements at the foundation interface. The soil domain Ω_G uses 8-node hexahedral elements with a p-y curve material model at the pile-soil interface nodes.</w:t>
      </w:r>
    </w:p>
    <w:p w14:paraId="4A9C9FBE" w14:textId="77777777" w:rsidR="0057563E" w:rsidRDefault="00000000">
      <w:pPr>
        <w:spacing w:before="80" w:after="100" w:line="340" w:lineRule="auto"/>
        <w:jc w:val="both"/>
      </w:pPr>
      <w:r>
        <w:rPr>
          <w:color w:val="2C3E50"/>
        </w:rPr>
        <w:t>The total number of degrees of freedom for a typical offshore bridge pier analysis is N_dof = 2.4 × 10⁶, distributed approximately as: fluid domain 1.8 × 10⁶ (75%), structural domain 3.2 × 10⁵ (13%), and soil domain 2.8 × 10⁵ (12%). The coupled system is solved using a partitioned approach with Aitken's delta-squared convergence acceleration on the interface displacement and traction vectors, achieving coupling convergence tolerances of 10⁻⁵ within 6–12 interface coupling iterations per time step.</w:t>
      </w:r>
    </w:p>
    <w:p w14:paraId="75A91470" w14:textId="77777777" w:rsidR="0057563E" w:rsidRDefault="00000000">
      <w:pPr>
        <w:pStyle w:val="Titre2"/>
      </w:pPr>
      <w:r>
        <w:t>9.2 Adaptive Mesh Refinement near Scour Cavities</w:t>
      </w:r>
    </w:p>
    <w:p w14:paraId="7281F369" w14:textId="77777777" w:rsidR="0057563E" w:rsidRDefault="00000000">
      <w:pPr>
        <w:spacing w:before="80" w:after="100" w:line="340" w:lineRule="auto"/>
        <w:jc w:val="both"/>
      </w:pPr>
      <w:r>
        <w:rPr>
          <w:color w:val="2C3E50"/>
        </w:rPr>
        <w:t>The evolving geometry of the scour cavity presents a particular challenge for the finite element mesh: as the scour hole deepens, the mesh must track the moving bed surface while maintaining adequate resolution of the intensifying near-bed flow gradients. PIER-VIBE implements an ALE mesh update algorithm that repositions the fluid domain nodes to conform to the evolving scour profile at each time step, subject to the mesh quality constraint that the minimum element aspect ratio does not fall below 0.15. When this constraint cannot be satisfied by node repositioning alone — which occurs when the scour depth gradient exceeds approximately 0.3 D_pier per meter — the mesh is remeshed locally using the advancing-front algorithm, with solution interpolation from the old mesh to the new mesh using the Shepard inverse-distance weighting method.</w:t>
      </w:r>
    </w:p>
    <w:p w14:paraId="7E64048B" w14:textId="77777777" w:rsidR="0057563E" w:rsidRDefault="00000000">
      <w:pPr>
        <w:pStyle w:val="Titre2"/>
      </w:pPr>
      <w:r>
        <w:t>9.3 Real-Time Telemetry and Structural Monitoring Architecture</w:t>
      </w:r>
    </w:p>
    <w:p w14:paraId="5E0F3D02" w14:textId="77777777" w:rsidR="0057563E" w:rsidRDefault="00000000">
      <w:pPr>
        <w:spacing w:before="80" w:after="100" w:line="340" w:lineRule="auto"/>
        <w:jc w:val="both"/>
      </w:pPr>
      <w:r>
        <w:rPr>
          <w:color w:val="2C3E50"/>
        </w:rPr>
        <w:t>PIER-VIBE's real-time operational mode requires the integration of sensor data streams from a distributed structural health monitoring system. The minimum sensor complement for a full PIER-VIBE deployment comprises: eight tri-axial accelerometers distributed along the pier shaft and at deck locations; sixteen vibrating-wire strain gauges at critical structural details (weld toes, cross-section transitions, bearing interfaces); four piezometers for monitoring foundation pore water pressure; a scour monitoring sensor at the pier foundation (sonar, magnetic resonance, or time-domain reflectometry type); and meteorological and oceanographic sensors providing wind speed and direction, wave height and period, current velocity profile, and water level time series. The combined sensor data stream is transmitted at 100 Hz sampling rate, generating approximately 2.8 GB of raw data per pier per day.</w:t>
      </w:r>
    </w:p>
    <w:p w14:paraId="09A460F4" w14:textId="77777777" w:rsidR="0057563E" w:rsidRDefault="00000000">
      <w:pPr>
        <w:spacing w:before="80" w:after="100" w:line="340" w:lineRule="auto"/>
        <w:jc w:val="both"/>
      </w:pPr>
      <w:r>
        <w:rPr>
          <w:color w:val="2C3E50"/>
        </w:rPr>
        <w:t>The sensor fusion pipeline implements a Kalman filter-based state estimation algorithm that fuses the direct sensor measurements with the PIER-VIBE physics model predictions to produce a minimum-variance state estimate of the structural health parameters. The measurement update equation of the Kalman filter is:</w:t>
      </w:r>
    </w:p>
    <w:p w14:paraId="02282159"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x̂(t|t) = x̂(t|t-1) + K(t) [z(t) - H · x̂(t|t-1)]</w:t>
      </w:r>
    </w:p>
    <w:p w14:paraId="5894095B"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K(t) = P(t|t-1) · H^T · [H · P(t|t-1) · H^T + R]⁻¹</w:t>
      </w:r>
    </w:p>
    <w:p w14:paraId="4237C07A" w14:textId="77777777" w:rsidR="0057563E" w:rsidRDefault="00000000">
      <w:pPr>
        <w:spacing w:before="80" w:after="100" w:line="340" w:lineRule="auto"/>
        <w:jc w:val="both"/>
      </w:pPr>
      <w:r>
        <w:rPr>
          <w:color w:val="2C3E50"/>
        </w:rPr>
        <w:t>where x̂ is the estimated state vector (containing current natural frequencies, damage index, scour depth, and foundation stiffness), K(t) is the Kalman gain, z(t) is the measurement vector, H is the measurement matrix, P is the state error covariance matrix, and R is the measurement noise covariance matrix.</w:t>
      </w:r>
    </w:p>
    <w:p w14:paraId="6FDFDFAF" w14:textId="77777777" w:rsidR="0057563E" w:rsidRDefault="00000000">
      <w:pPr>
        <w:pStyle w:val="Titre2"/>
      </w:pPr>
      <w:r>
        <w:t>9.4 Global Bridge Structural Health Index (BSHI) Formulation</w:t>
      </w:r>
    </w:p>
    <w:p w14:paraId="7A9534D5" w14:textId="77777777" w:rsidR="0057563E" w:rsidRDefault="00000000">
      <w:pPr>
        <w:spacing w:before="80" w:after="100" w:line="340" w:lineRule="auto"/>
        <w:jc w:val="both"/>
      </w:pPr>
      <w:r>
        <w:rPr>
          <w:color w:val="2C3E50"/>
        </w:rPr>
        <w:t>The Bridge Structural Health Index (BSHI) is PIER-VIBE's composite safety certification metric, integrating the outputs of the SSSE, HSCE, and EFGL into a single scalar index that quantifies the current margin of the bridge structure from critical safety thresholds:</w:t>
      </w:r>
    </w:p>
    <w:p w14:paraId="4918BDC0" w14:textId="77777777" w:rsidR="0057563E" w:rsidRDefault="00000000">
      <w:pPr>
        <w:shd w:val="clear" w:color="auto" w:fill="EBF5FB"/>
        <w:spacing w:before="160" w:after="160"/>
        <w:jc w:val="center"/>
      </w:pPr>
      <w:r>
        <w:rPr>
          <w:rFonts w:ascii="Courier New" w:eastAsia="Courier New" w:hAnsi="Courier New" w:cs="Courier New"/>
          <w:b/>
          <w:bCs/>
          <w:color w:val="073B5A"/>
          <w:sz w:val="20"/>
          <w:szCs w:val="20"/>
        </w:rPr>
        <w:t>BSHI(t) = w_s · (1 - D_s/D_s,crit) + w_f · (1 - D_fat/D_fat,crit) + w_r · Δf_safe/Δf_crit</w:t>
      </w:r>
    </w:p>
    <w:p w14:paraId="553437A7" w14:textId="77777777" w:rsidR="0057563E" w:rsidRDefault="00000000">
      <w:pPr>
        <w:spacing w:before="80" w:after="100" w:line="340" w:lineRule="auto"/>
        <w:jc w:val="both"/>
      </w:pPr>
      <w:r>
        <w:rPr>
          <w:color w:val="2C3E50"/>
        </w:rPr>
        <w:t>where D_s is the current maximum scour depth, D_s,crit is the critical scour depth at which foundation stability is compromised, D_fat is the maximum fatigue damage across all monitored details, D_fat,crit = 1.0 is the Palmgren–Miner failure criterion, Δf_safe is the current minimum separation between natural and excitation frequency, and Δf_crit is the minimum safe frequency separation. The weights w_s = 0.35, w_f = 0.35, w_r = 0.30 reflect the relative contribution of each failure mechanism to the historical bridge failure record. Governance certification requires BSHI(t) ≥ 0.75 at all times; values below 0.60 trigger Level 3 emergency alerts.</w:t>
      </w:r>
    </w:p>
    <w:p w14:paraId="4F47F7C1" w14:textId="77777777" w:rsidR="0057563E" w:rsidRDefault="0057563E">
      <w:pPr>
        <w:spacing w:before="200"/>
      </w:pPr>
    </w:p>
    <w:p w14:paraId="16F88B25" w14:textId="77777777" w:rsidR="0057563E" w:rsidRDefault="0057563E">
      <w:pPr>
        <w:pBdr>
          <w:bottom w:val="single" w:sz="4" w:space="1" w:color="2980B9"/>
        </w:pBdr>
        <w:spacing w:before="260" w:after="260"/>
      </w:pPr>
    </w:p>
    <w:p w14:paraId="57FED0B9" w14:textId="77777777" w:rsidR="0057563E" w:rsidRDefault="00000000">
      <w:pPr>
        <w:pStyle w:val="Titre1"/>
      </w:pPr>
      <w:r>
        <w:t>10. Experimental Validation and Comparative Analysis</w:t>
      </w:r>
    </w:p>
    <w:p w14:paraId="659A3195" w14:textId="77777777" w:rsidR="0057563E" w:rsidRDefault="00000000">
      <w:pPr>
        <w:pStyle w:val="Titre2"/>
      </w:pPr>
      <w:r>
        <w:t>10.1 Benchmark Configuration Matrix</w:t>
      </w:r>
    </w:p>
    <w:p w14:paraId="676CFBF1" w14:textId="77777777" w:rsidR="0057563E" w:rsidRDefault="00000000">
      <w:pPr>
        <w:spacing w:before="80" w:after="100" w:line="340" w:lineRule="auto"/>
        <w:jc w:val="both"/>
      </w:pPr>
      <w:r>
        <w:rPr>
          <w:color w:val="2C3E50"/>
        </w:rPr>
        <w:t>PIER-VIBE was validated against six canonical bridge configurations spanning the range from riverine single-span highway bridges to multi-span offshore cable-stayed structures. Each configuration was evaluated under five environmental loading scenarios: normal operating conditions, design flood event (100-year return period), design wave event (50-year return period), combined extreme flood and wave, and earthquake ground motion (2% probability of exceedance in 50 years).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1560"/>
        <w:gridCol w:w="1400"/>
        <w:gridCol w:w="1600"/>
        <w:gridCol w:w="1800"/>
      </w:tblGrid>
      <w:tr w:rsidR="0057563E" w14:paraId="7B1F13BF" w14:textId="77777777">
        <w:tblPrEx>
          <w:tblCellMar>
            <w:top w:w="0" w:type="dxa"/>
            <w:bottom w:w="0" w:type="dxa"/>
          </w:tblCellMar>
        </w:tblPrEx>
        <w:trPr>
          <w:tblHeader/>
        </w:trPr>
        <w:tc>
          <w:tcPr>
            <w:tcW w:w="800" w:type="dxa"/>
            <w:tcBorders>
              <w:top w:val="single" w:sz="1" w:space="0" w:color="AED6F1"/>
              <w:left w:val="single" w:sz="1" w:space="0" w:color="AED6F1"/>
              <w:bottom w:val="single" w:sz="1" w:space="0" w:color="AED6F1"/>
              <w:right w:val="single" w:sz="1" w:space="0" w:color="AED6F1"/>
            </w:tcBorders>
            <w:shd w:val="clear" w:color="auto" w:fill="073B5A"/>
            <w:tcMar>
              <w:top w:w="80" w:type="dxa"/>
              <w:left w:w="120" w:type="dxa"/>
              <w:bottom w:w="80" w:type="dxa"/>
              <w:right w:w="120" w:type="dxa"/>
            </w:tcMar>
            <w:vAlign w:val="center"/>
          </w:tcPr>
          <w:p w14:paraId="5B0A2C15" w14:textId="77777777" w:rsidR="0057563E" w:rsidRDefault="00000000">
            <w:pPr>
              <w:jc w:val="center"/>
            </w:pPr>
            <w:r>
              <w:rPr>
                <w:rFonts w:ascii="Syne" w:eastAsia="Syne" w:hAnsi="Syne" w:cs="Syne"/>
                <w:b/>
                <w:bCs/>
                <w:color w:val="FFFFFF"/>
                <w:sz w:val="20"/>
                <w:szCs w:val="20"/>
              </w:rPr>
              <w:t>Case</w:t>
            </w:r>
          </w:p>
        </w:tc>
        <w:tc>
          <w:tcPr>
            <w:tcW w:w="2200" w:type="dxa"/>
            <w:tcBorders>
              <w:top w:val="single" w:sz="1" w:space="0" w:color="AED6F1"/>
              <w:left w:val="single" w:sz="1" w:space="0" w:color="AED6F1"/>
              <w:bottom w:val="single" w:sz="1" w:space="0" w:color="AED6F1"/>
              <w:right w:val="single" w:sz="1" w:space="0" w:color="AED6F1"/>
            </w:tcBorders>
            <w:shd w:val="clear" w:color="auto" w:fill="073B5A"/>
            <w:tcMar>
              <w:top w:w="80" w:type="dxa"/>
              <w:left w:w="120" w:type="dxa"/>
              <w:bottom w:w="80" w:type="dxa"/>
              <w:right w:w="120" w:type="dxa"/>
            </w:tcMar>
            <w:vAlign w:val="center"/>
          </w:tcPr>
          <w:p w14:paraId="304A122C" w14:textId="77777777" w:rsidR="0057563E" w:rsidRDefault="00000000">
            <w:pPr>
              <w:jc w:val="center"/>
            </w:pPr>
            <w:r>
              <w:rPr>
                <w:rFonts w:ascii="Syne" w:eastAsia="Syne" w:hAnsi="Syne" w:cs="Syne"/>
                <w:b/>
                <w:bCs/>
                <w:color w:val="FFFFFF"/>
                <w:sz w:val="20"/>
                <w:szCs w:val="20"/>
              </w:rPr>
              <w:t>Configuration</w:t>
            </w:r>
          </w:p>
        </w:tc>
        <w:tc>
          <w:tcPr>
            <w:tcW w:w="1560" w:type="dxa"/>
            <w:tcBorders>
              <w:top w:val="single" w:sz="1" w:space="0" w:color="AED6F1"/>
              <w:left w:val="single" w:sz="1" w:space="0" w:color="AED6F1"/>
              <w:bottom w:val="single" w:sz="1" w:space="0" w:color="AED6F1"/>
              <w:right w:val="single" w:sz="1" w:space="0" w:color="AED6F1"/>
            </w:tcBorders>
            <w:shd w:val="clear" w:color="auto" w:fill="073B5A"/>
            <w:tcMar>
              <w:top w:w="80" w:type="dxa"/>
              <w:left w:w="120" w:type="dxa"/>
              <w:bottom w:w="80" w:type="dxa"/>
              <w:right w:w="120" w:type="dxa"/>
            </w:tcMar>
            <w:vAlign w:val="center"/>
          </w:tcPr>
          <w:p w14:paraId="24A7F515" w14:textId="77777777" w:rsidR="0057563E" w:rsidRDefault="00000000">
            <w:pPr>
              <w:jc w:val="center"/>
            </w:pPr>
            <w:r>
              <w:rPr>
                <w:rFonts w:ascii="Syne" w:eastAsia="Syne" w:hAnsi="Syne" w:cs="Syne"/>
                <w:b/>
                <w:bCs/>
                <w:color w:val="FFFFFF"/>
                <w:sz w:val="20"/>
                <w:szCs w:val="20"/>
              </w:rPr>
              <w:t>Scour RMSE</w:t>
            </w:r>
          </w:p>
        </w:tc>
        <w:tc>
          <w:tcPr>
            <w:tcW w:w="1400" w:type="dxa"/>
            <w:tcBorders>
              <w:top w:val="single" w:sz="1" w:space="0" w:color="AED6F1"/>
              <w:left w:val="single" w:sz="1" w:space="0" w:color="AED6F1"/>
              <w:bottom w:val="single" w:sz="1" w:space="0" w:color="AED6F1"/>
              <w:right w:val="single" w:sz="1" w:space="0" w:color="AED6F1"/>
            </w:tcBorders>
            <w:shd w:val="clear" w:color="auto" w:fill="073B5A"/>
            <w:tcMar>
              <w:top w:w="80" w:type="dxa"/>
              <w:left w:w="120" w:type="dxa"/>
              <w:bottom w:w="80" w:type="dxa"/>
              <w:right w:w="120" w:type="dxa"/>
            </w:tcMar>
            <w:vAlign w:val="center"/>
          </w:tcPr>
          <w:p w14:paraId="5A71EAF6" w14:textId="77777777" w:rsidR="0057563E" w:rsidRDefault="00000000">
            <w:pPr>
              <w:jc w:val="center"/>
            </w:pPr>
            <w:r>
              <w:rPr>
                <w:rFonts w:ascii="Syne" w:eastAsia="Syne" w:hAnsi="Syne" w:cs="Syne"/>
                <w:b/>
                <w:bCs/>
                <w:color w:val="FFFFFF"/>
                <w:sz w:val="20"/>
                <w:szCs w:val="20"/>
              </w:rPr>
              <w:t>F_s Sensitivity</w:t>
            </w:r>
          </w:p>
        </w:tc>
        <w:tc>
          <w:tcPr>
            <w:tcW w:w="1600" w:type="dxa"/>
            <w:tcBorders>
              <w:top w:val="single" w:sz="1" w:space="0" w:color="AED6F1"/>
              <w:left w:val="single" w:sz="1" w:space="0" w:color="AED6F1"/>
              <w:bottom w:val="single" w:sz="1" w:space="0" w:color="AED6F1"/>
              <w:right w:val="single" w:sz="1" w:space="0" w:color="AED6F1"/>
            </w:tcBorders>
            <w:shd w:val="clear" w:color="auto" w:fill="073B5A"/>
            <w:tcMar>
              <w:top w:w="80" w:type="dxa"/>
              <w:left w:w="120" w:type="dxa"/>
              <w:bottom w:w="80" w:type="dxa"/>
              <w:right w:w="120" w:type="dxa"/>
            </w:tcMar>
            <w:vAlign w:val="center"/>
          </w:tcPr>
          <w:p w14:paraId="5F4FD261" w14:textId="77777777" w:rsidR="0057563E" w:rsidRDefault="00000000">
            <w:pPr>
              <w:jc w:val="center"/>
            </w:pPr>
            <w:r>
              <w:rPr>
                <w:rFonts w:ascii="Syne" w:eastAsia="Syne" w:hAnsi="Syne" w:cs="Syne"/>
                <w:b/>
                <w:bCs/>
                <w:color w:val="FFFFFF"/>
                <w:sz w:val="20"/>
                <w:szCs w:val="20"/>
              </w:rPr>
              <w:t>Fatigue MAE</w:t>
            </w:r>
          </w:p>
        </w:tc>
        <w:tc>
          <w:tcPr>
            <w:tcW w:w="1800" w:type="dxa"/>
            <w:tcBorders>
              <w:top w:val="single" w:sz="1" w:space="0" w:color="AED6F1"/>
              <w:left w:val="single" w:sz="1" w:space="0" w:color="AED6F1"/>
              <w:bottom w:val="single" w:sz="1" w:space="0" w:color="AED6F1"/>
              <w:right w:val="single" w:sz="1" w:space="0" w:color="AED6F1"/>
            </w:tcBorders>
            <w:shd w:val="clear" w:color="auto" w:fill="073B5A"/>
            <w:tcMar>
              <w:top w:w="80" w:type="dxa"/>
              <w:left w:w="120" w:type="dxa"/>
              <w:bottom w:w="80" w:type="dxa"/>
              <w:right w:w="120" w:type="dxa"/>
            </w:tcMar>
            <w:vAlign w:val="center"/>
          </w:tcPr>
          <w:p w14:paraId="1446CC7A" w14:textId="77777777" w:rsidR="0057563E" w:rsidRDefault="00000000">
            <w:pPr>
              <w:jc w:val="center"/>
            </w:pPr>
            <w:r>
              <w:rPr>
                <w:rFonts w:ascii="Syne" w:eastAsia="Syne" w:hAnsi="Syne" w:cs="Syne"/>
                <w:b/>
                <w:bCs/>
                <w:color w:val="FFFFFF"/>
                <w:sz w:val="20"/>
                <w:szCs w:val="20"/>
              </w:rPr>
              <w:t>BSHI Accuracy</w:t>
            </w:r>
          </w:p>
        </w:tc>
      </w:tr>
      <w:tr w:rsidR="0057563E" w14:paraId="5273C2DD" w14:textId="77777777">
        <w:tblPrEx>
          <w:tblCellMar>
            <w:top w:w="0" w:type="dxa"/>
            <w:bottom w:w="0" w:type="dxa"/>
          </w:tblCellMar>
        </w:tblPrEx>
        <w:tc>
          <w:tcPr>
            <w:tcW w:w="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24585C3" w14:textId="77777777" w:rsidR="0057563E" w:rsidRDefault="00000000">
            <w:r>
              <w:rPr>
                <w:color w:val="2C3E50"/>
                <w:sz w:val="20"/>
                <w:szCs w:val="20"/>
              </w:rPr>
              <w:t>B1</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02981F3" w14:textId="77777777" w:rsidR="0057563E" w:rsidRDefault="00000000">
            <w:pPr>
              <w:jc w:val="center"/>
            </w:pPr>
            <w:r>
              <w:rPr>
                <w:color w:val="2C3E50"/>
                <w:sz w:val="20"/>
                <w:szCs w:val="20"/>
              </w:rPr>
              <w:t>Single pier — sandy riverbed</w:t>
            </w:r>
          </w:p>
        </w:tc>
        <w:tc>
          <w:tcPr>
            <w:tcW w:w="1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36B27B7" w14:textId="77777777" w:rsidR="0057563E" w:rsidRDefault="00000000">
            <w:pPr>
              <w:jc w:val="center"/>
            </w:pPr>
            <w:r>
              <w:rPr>
                <w:color w:val="2C3E50"/>
                <w:sz w:val="20"/>
                <w:szCs w:val="20"/>
              </w:rPr>
              <w:t>0.06 m</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0DF4244" w14:textId="77777777" w:rsidR="0057563E" w:rsidRDefault="00000000">
            <w:pPr>
              <w:jc w:val="center"/>
            </w:pPr>
            <w:r>
              <w:rPr>
                <w:color w:val="2C3E50"/>
                <w:sz w:val="20"/>
                <w:szCs w:val="20"/>
              </w:rPr>
              <w:t>94.8%</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FFDF9AD" w14:textId="77777777" w:rsidR="0057563E" w:rsidRDefault="00000000">
            <w:pPr>
              <w:jc w:val="center"/>
            </w:pPr>
            <w:r>
              <w:rPr>
                <w:color w:val="2C3E50"/>
                <w:sz w:val="20"/>
                <w:szCs w:val="20"/>
              </w:rPr>
              <w:t>2.4%</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D604CEB" w14:textId="77777777" w:rsidR="0057563E" w:rsidRDefault="00000000">
            <w:pPr>
              <w:jc w:val="center"/>
            </w:pPr>
            <w:r>
              <w:rPr>
                <w:color w:val="2C3E50"/>
                <w:sz w:val="20"/>
                <w:szCs w:val="20"/>
              </w:rPr>
              <w:t>97.2%</w:t>
            </w:r>
          </w:p>
        </w:tc>
      </w:tr>
      <w:tr w:rsidR="0057563E" w14:paraId="4D93439D" w14:textId="77777777">
        <w:tblPrEx>
          <w:tblCellMar>
            <w:top w:w="0" w:type="dxa"/>
            <w:bottom w:w="0" w:type="dxa"/>
          </w:tblCellMar>
        </w:tblPrEx>
        <w:tc>
          <w:tcPr>
            <w:tcW w:w="8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3E077CEA" w14:textId="77777777" w:rsidR="0057563E" w:rsidRDefault="00000000">
            <w:r>
              <w:rPr>
                <w:color w:val="2C3E50"/>
                <w:sz w:val="20"/>
                <w:szCs w:val="20"/>
              </w:rPr>
              <w:t>B2</w:t>
            </w:r>
          </w:p>
        </w:tc>
        <w:tc>
          <w:tcPr>
            <w:tcW w:w="22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404FF4AD" w14:textId="77777777" w:rsidR="0057563E" w:rsidRDefault="00000000">
            <w:pPr>
              <w:jc w:val="center"/>
            </w:pPr>
            <w:r>
              <w:rPr>
                <w:color w:val="2C3E50"/>
                <w:sz w:val="20"/>
                <w:szCs w:val="20"/>
              </w:rPr>
              <w:t>Twin pier — gravel riverbed</w:t>
            </w:r>
          </w:p>
        </w:tc>
        <w:tc>
          <w:tcPr>
            <w:tcW w:w="156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566A5841" w14:textId="77777777" w:rsidR="0057563E" w:rsidRDefault="00000000">
            <w:pPr>
              <w:jc w:val="center"/>
            </w:pPr>
            <w:r>
              <w:rPr>
                <w:color w:val="2C3E50"/>
                <w:sz w:val="20"/>
                <w:szCs w:val="20"/>
              </w:rPr>
              <w:t>0.08 m</w:t>
            </w:r>
          </w:p>
        </w:tc>
        <w:tc>
          <w:tcPr>
            <w:tcW w:w="14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48C8936C" w14:textId="77777777" w:rsidR="0057563E" w:rsidRDefault="00000000">
            <w:pPr>
              <w:jc w:val="center"/>
            </w:pPr>
            <w:r>
              <w:rPr>
                <w:color w:val="2C3E50"/>
                <w:sz w:val="20"/>
                <w:szCs w:val="20"/>
              </w:rPr>
              <w:t>93.7%</w:t>
            </w:r>
          </w:p>
        </w:tc>
        <w:tc>
          <w:tcPr>
            <w:tcW w:w="16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51CC7FF5" w14:textId="77777777" w:rsidR="0057563E" w:rsidRDefault="00000000">
            <w:pPr>
              <w:jc w:val="center"/>
            </w:pPr>
            <w:r>
              <w:rPr>
                <w:color w:val="2C3E50"/>
                <w:sz w:val="20"/>
                <w:szCs w:val="20"/>
              </w:rPr>
              <w:t>2.9%</w:t>
            </w:r>
          </w:p>
        </w:tc>
        <w:tc>
          <w:tcPr>
            <w:tcW w:w="18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2D55BF29" w14:textId="77777777" w:rsidR="0057563E" w:rsidRDefault="00000000">
            <w:pPr>
              <w:jc w:val="center"/>
            </w:pPr>
            <w:r>
              <w:rPr>
                <w:color w:val="2C3E50"/>
                <w:sz w:val="20"/>
                <w:szCs w:val="20"/>
              </w:rPr>
              <w:t>96.5%</w:t>
            </w:r>
          </w:p>
        </w:tc>
      </w:tr>
      <w:tr w:rsidR="0057563E" w14:paraId="4D92AABD" w14:textId="77777777">
        <w:tblPrEx>
          <w:tblCellMar>
            <w:top w:w="0" w:type="dxa"/>
            <w:bottom w:w="0" w:type="dxa"/>
          </w:tblCellMar>
        </w:tblPrEx>
        <w:tc>
          <w:tcPr>
            <w:tcW w:w="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595AEF6" w14:textId="77777777" w:rsidR="0057563E" w:rsidRDefault="00000000">
            <w:r>
              <w:rPr>
                <w:color w:val="2C3E50"/>
                <w:sz w:val="20"/>
                <w:szCs w:val="20"/>
              </w:rPr>
              <w:t>B3</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A65CD6F" w14:textId="77777777" w:rsidR="0057563E" w:rsidRDefault="00000000">
            <w:pPr>
              <w:jc w:val="center"/>
            </w:pPr>
            <w:r>
              <w:rPr>
                <w:color w:val="2C3E50"/>
                <w:sz w:val="20"/>
                <w:szCs w:val="20"/>
              </w:rPr>
              <w:t>Offshore monopile — sand</w:t>
            </w:r>
          </w:p>
        </w:tc>
        <w:tc>
          <w:tcPr>
            <w:tcW w:w="1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E8712C3" w14:textId="77777777" w:rsidR="0057563E" w:rsidRDefault="00000000">
            <w:pPr>
              <w:jc w:val="center"/>
            </w:pPr>
            <w:r>
              <w:rPr>
                <w:color w:val="2C3E50"/>
                <w:sz w:val="20"/>
                <w:szCs w:val="20"/>
              </w:rPr>
              <w:t>0.07 m</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EE78AD9" w14:textId="77777777" w:rsidR="0057563E" w:rsidRDefault="00000000">
            <w:pPr>
              <w:jc w:val="center"/>
            </w:pPr>
            <w:r>
              <w:rPr>
                <w:color w:val="2C3E50"/>
                <w:sz w:val="20"/>
                <w:szCs w:val="20"/>
              </w:rPr>
              <w:t>95.1%</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3C66FA9" w14:textId="77777777" w:rsidR="0057563E" w:rsidRDefault="00000000">
            <w:pPr>
              <w:jc w:val="center"/>
            </w:pPr>
            <w:r>
              <w:rPr>
                <w:color w:val="2C3E50"/>
                <w:sz w:val="20"/>
                <w:szCs w:val="20"/>
              </w:rPr>
              <w:t>2.6%</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EB69583" w14:textId="77777777" w:rsidR="0057563E" w:rsidRDefault="00000000">
            <w:pPr>
              <w:jc w:val="center"/>
            </w:pPr>
            <w:r>
              <w:rPr>
                <w:color w:val="2C3E50"/>
                <w:sz w:val="20"/>
                <w:szCs w:val="20"/>
              </w:rPr>
              <w:t>97.8%</w:t>
            </w:r>
          </w:p>
        </w:tc>
      </w:tr>
      <w:tr w:rsidR="0057563E" w14:paraId="4AF1D89D" w14:textId="77777777">
        <w:tblPrEx>
          <w:tblCellMar>
            <w:top w:w="0" w:type="dxa"/>
            <w:bottom w:w="0" w:type="dxa"/>
          </w:tblCellMar>
        </w:tblPrEx>
        <w:tc>
          <w:tcPr>
            <w:tcW w:w="8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0EAD00EF" w14:textId="77777777" w:rsidR="0057563E" w:rsidRDefault="00000000">
            <w:r>
              <w:rPr>
                <w:color w:val="2C3E50"/>
                <w:sz w:val="20"/>
                <w:szCs w:val="20"/>
              </w:rPr>
              <w:t>B4</w:t>
            </w:r>
          </w:p>
        </w:tc>
        <w:tc>
          <w:tcPr>
            <w:tcW w:w="22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1E09965C" w14:textId="77777777" w:rsidR="0057563E" w:rsidRDefault="00000000">
            <w:pPr>
              <w:jc w:val="center"/>
            </w:pPr>
            <w:r>
              <w:rPr>
                <w:color w:val="2C3E50"/>
                <w:sz w:val="20"/>
                <w:szCs w:val="20"/>
              </w:rPr>
              <w:t>Jacket foundation — rock-clay</w:t>
            </w:r>
          </w:p>
        </w:tc>
        <w:tc>
          <w:tcPr>
            <w:tcW w:w="156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70DA1079" w14:textId="77777777" w:rsidR="0057563E" w:rsidRDefault="00000000">
            <w:pPr>
              <w:jc w:val="center"/>
            </w:pPr>
            <w:r>
              <w:rPr>
                <w:color w:val="2C3E50"/>
                <w:sz w:val="20"/>
                <w:szCs w:val="20"/>
              </w:rPr>
              <w:t>0.09 m</w:t>
            </w:r>
          </w:p>
        </w:tc>
        <w:tc>
          <w:tcPr>
            <w:tcW w:w="14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78B6F5FA" w14:textId="77777777" w:rsidR="0057563E" w:rsidRDefault="00000000">
            <w:pPr>
              <w:jc w:val="center"/>
            </w:pPr>
            <w:r>
              <w:rPr>
                <w:color w:val="2C3E50"/>
                <w:sz w:val="20"/>
                <w:szCs w:val="20"/>
              </w:rPr>
              <w:t>92.8%</w:t>
            </w:r>
          </w:p>
        </w:tc>
        <w:tc>
          <w:tcPr>
            <w:tcW w:w="16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1E0779F9" w14:textId="77777777" w:rsidR="0057563E" w:rsidRDefault="00000000">
            <w:pPr>
              <w:jc w:val="center"/>
            </w:pPr>
            <w:r>
              <w:rPr>
                <w:color w:val="2C3E50"/>
                <w:sz w:val="20"/>
                <w:szCs w:val="20"/>
              </w:rPr>
              <w:t>3.1%</w:t>
            </w:r>
          </w:p>
        </w:tc>
        <w:tc>
          <w:tcPr>
            <w:tcW w:w="18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1FDF0C91" w14:textId="77777777" w:rsidR="0057563E" w:rsidRDefault="00000000">
            <w:pPr>
              <w:jc w:val="center"/>
            </w:pPr>
            <w:r>
              <w:rPr>
                <w:color w:val="2C3E50"/>
                <w:sz w:val="20"/>
                <w:szCs w:val="20"/>
              </w:rPr>
              <w:t>95.9%</w:t>
            </w:r>
          </w:p>
        </w:tc>
      </w:tr>
      <w:tr w:rsidR="0057563E" w14:paraId="067929C5" w14:textId="77777777">
        <w:tblPrEx>
          <w:tblCellMar>
            <w:top w:w="0" w:type="dxa"/>
            <w:bottom w:w="0" w:type="dxa"/>
          </w:tblCellMar>
        </w:tblPrEx>
        <w:tc>
          <w:tcPr>
            <w:tcW w:w="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B0FD2E1" w14:textId="77777777" w:rsidR="0057563E" w:rsidRDefault="00000000">
            <w:r>
              <w:rPr>
                <w:color w:val="2C3E50"/>
                <w:sz w:val="20"/>
                <w:szCs w:val="20"/>
              </w:rPr>
              <w:t>B5</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919E564" w14:textId="77777777" w:rsidR="0057563E" w:rsidRDefault="00000000">
            <w:pPr>
              <w:jc w:val="center"/>
            </w:pPr>
            <w:r>
              <w:rPr>
                <w:color w:val="2C3E50"/>
                <w:sz w:val="20"/>
                <w:szCs w:val="20"/>
              </w:rPr>
              <w:t>Cable-stayed — composite deck</w:t>
            </w:r>
          </w:p>
        </w:tc>
        <w:tc>
          <w:tcPr>
            <w:tcW w:w="1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1821D7F" w14:textId="77777777" w:rsidR="0057563E" w:rsidRDefault="00000000">
            <w:pPr>
              <w:jc w:val="center"/>
            </w:pPr>
            <w:r>
              <w:rPr>
                <w:color w:val="2C3E50"/>
                <w:sz w:val="20"/>
                <w:szCs w:val="20"/>
              </w:rPr>
              <w:t>0.07 m</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7B267C2" w14:textId="77777777" w:rsidR="0057563E" w:rsidRDefault="00000000">
            <w:pPr>
              <w:jc w:val="center"/>
            </w:pPr>
            <w:r>
              <w:rPr>
                <w:color w:val="2C3E50"/>
                <w:sz w:val="20"/>
                <w:szCs w:val="20"/>
              </w:rPr>
              <w:t>94.6%</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243300E" w14:textId="77777777" w:rsidR="0057563E" w:rsidRDefault="00000000">
            <w:pPr>
              <w:jc w:val="center"/>
            </w:pPr>
            <w:r>
              <w:rPr>
                <w:color w:val="2C3E50"/>
                <w:sz w:val="20"/>
                <w:szCs w:val="20"/>
              </w:rPr>
              <w:t>2.8%</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69753DD" w14:textId="77777777" w:rsidR="0057563E" w:rsidRDefault="00000000">
            <w:pPr>
              <w:jc w:val="center"/>
            </w:pPr>
            <w:r>
              <w:rPr>
                <w:color w:val="2C3E50"/>
                <w:sz w:val="20"/>
                <w:szCs w:val="20"/>
              </w:rPr>
              <w:t>96.8%</w:t>
            </w:r>
          </w:p>
        </w:tc>
      </w:tr>
      <w:tr w:rsidR="0057563E" w14:paraId="1BCD5D7C" w14:textId="77777777">
        <w:tblPrEx>
          <w:tblCellMar>
            <w:top w:w="0" w:type="dxa"/>
            <w:bottom w:w="0" w:type="dxa"/>
          </w:tblCellMar>
        </w:tblPrEx>
        <w:tc>
          <w:tcPr>
            <w:tcW w:w="8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71440DEE" w14:textId="77777777" w:rsidR="0057563E" w:rsidRDefault="00000000">
            <w:r>
              <w:rPr>
                <w:color w:val="2C3E50"/>
                <w:sz w:val="20"/>
                <w:szCs w:val="20"/>
              </w:rPr>
              <w:t>B6</w:t>
            </w:r>
          </w:p>
        </w:tc>
        <w:tc>
          <w:tcPr>
            <w:tcW w:w="22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5AD75979" w14:textId="77777777" w:rsidR="0057563E" w:rsidRDefault="00000000">
            <w:pPr>
              <w:jc w:val="center"/>
            </w:pPr>
            <w:r>
              <w:rPr>
                <w:color w:val="2C3E50"/>
                <w:sz w:val="20"/>
                <w:szCs w:val="20"/>
              </w:rPr>
              <w:t>Suspension — deep-water pier</w:t>
            </w:r>
          </w:p>
        </w:tc>
        <w:tc>
          <w:tcPr>
            <w:tcW w:w="156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12905419" w14:textId="77777777" w:rsidR="0057563E" w:rsidRDefault="00000000">
            <w:pPr>
              <w:jc w:val="center"/>
            </w:pPr>
            <w:r>
              <w:rPr>
                <w:color w:val="2C3E50"/>
                <w:sz w:val="20"/>
                <w:szCs w:val="20"/>
              </w:rPr>
              <w:t>0.08 m</w:t>
            </w:r>
          </w:p>
        </w:tc>
        <w:tc>
          <w:tcPr>
            <w:tcW w:w="14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45F6EE17" w14:textId="77777777" w:rsidR="0057563E" w:rsidRDefault="00000000">
            <w:pPr>
              <w:jc w:val="center"/>
            </w:pPr>
            <w:r>
              <w:rPr>
                <w:color w:val="2C3E50"/>
                <w:sz w:val="20"/>
                <w:szCs w:val="20"/>
              </w:rPr>
              <w:t>95.3%</w:t>
            </w:r>
          </w:p>
        </w:tc>
        <w:tc>
          <w:tcPr>
            <w:tcW w:w="16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2D18CC3D" w14:textId="77777777" w:rsidR="0057563E" w:rsidRDefault="00000000">
            <w:pPr>
              <w:jc w:val="center"/>
            </w:pPr>
            <w:r>
              <w:rPr>
                <w:color w:val="2C3E50"/>
                <w:sz w:val="20"/>
                <w:szCs w:val="20"/>
              </w:rPr>
              <w:t>3.0%</w:t>
            </w:r>
          </w:p>
        </w:tc>
        <w:tc>
          <w:tcPr>
            <w:tcW w:w="18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2B5FF882" w14:textId="77777777" w:rsidR="0057563E" w:rsidRDefault="00000000">
            <w:pPr>
              <w:jc w:val="center"/>
            </w:pPr>
            <w:r>
              <w:rPr>
                <w:color w:val="2C3E50"/>
                <w:sz w:val="20"/>
                <w:szCs w:val="20"/>
              </w:rPr>
              <w:t>97.1%</w:t>
            </w:r>
          </w:p>
        </w:tc>
      </w:tr>
      <w:tr w:rsidR="0057563E" w14:paraId="4B35DECB" w14:textId="77777777">
        <w:tblPrEx>
          <w:tblCellMar>
            <w:top w:w="0" w:type="dxa"/>
            <w:bottom w:w="0" w:type="dxa"/>
          </w:tblCellMar>
        </w:tblPrEx>
        <w:tc>
          <w:tcPr>
            <w:tcW w:w="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08811C0" w14:textId="77777777" w:rsidR="0057563E" w:rsidRDefault="00000000">
            <w:r>
              <w:rPr>
                <w:color w:val="2C3E50"/>
                <w:sz w:val="20"/>
                <w:szCs w:val="20"/>
              </w:rPr>
              <w:t>Mean</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F1DB2F6" w14:textId="77777777" w:rsidR="0057563E" w:rsidRDefault="00000000">
            <w:pPr>
              <w:jc w:val="center"/>
            </w:pPr>
            <w:r>
              <w:rPr>
                <w:color w:val="2C3E50"/>
                <w:sz w:val="20"/>
                <w:szCs w:val="20"/>
              </w:rPr>
              <w:t>—</w:t>
            </w:r>
          </w:p>
        </w:tc>
        <w:tc>
          <w:tcPr>
            <w:tcW w:w="1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1677AC1" w14:textId="77777777" w:rsidR="0057563E" w:rsidRDefault="00000000">
            <w:pPr>
              <w:jc w:val="center"/>
            </w:pPr>
            <w:r>
              <w:rPr>
                <w:color w:val="2C3E50"/>
                <w:sz w:val="20"/>
                <w:szCs w:val="20"/>
              </w:rPr>
              <w:t>0.075 m</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9DD33D3" w14:textId="77777777" w:rsidR="0057563E" w:rsidRDefault="00000000">
            <w:pPr>
              <w:jc w:val="center"/>
            </w:pPr>
            <w:r>
              <w:rPr>
                <w:color w:val="2C3E50"/>
                <w:sz w:val="20"/>
                <w:szCs w:val="20"/>
              </w:rPr>
              <w:t>94.4%</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61A0D35" w14:textId="77777777" w:rsidR="0057563E" w:rsidRDefault="00000000">
            <w:pPr>
              <w:jc w:val="center"/>
            </w:pPr>
            <w:r>
              <w:rPr>
                <w:color w:val="2C3E50"/>
                <w:sz w:val="20"/>
                <w:szCs w:val="20"/>
              </w:rPr>
              <w:t>2.8%</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0795EC8" w14:textId="77777777" w:rsidR="0057563E" w:rsidRDefault="00000000">
            <w:pPr>
              <w:jc w:val="center"/>
            </w:pPr>
            <w:r>
              <w:rPr>
                <w:color w:val="2C3E50"/>
                <w:sz w:val="20"/>
                <w:szCs w:val="20"/>
              </w:rPr>
              <w:t>96.9%</w:t>
            </w:r>
          </w:p>
        </w:tc>
      </w:tr>
    </w:tbl>
    <w:p w14:paraId="6CB0FE2B" w14:textId="77777777" w:rsidR="0057563E" w:rsidRDefault="0057563E">
      <w:pPr>
        <w:spacing w:before="80"/>
      </w:pPr>
    </w:p>
    <w:p w14:paraId="5D13968E" w14:textId="77777777" w:rsidR="0057563E" w:rsidRDefault="00000000">
      <w:pPr>
        <w:spacing w:before="60" w:after="160"/>
        <w:jc w:val="center"/>
      </w:pPr>
      <w:r>
        <w:rPr>
          <w:i/>
          <w:iCs/>
          <w:color w:val="839192"/>
          <w:sz w:val="18"/>
          <w:szCs w:val="18"/>
        </w:rPr>
        <w:t>Table 1. PIER-VIBE benchmark validation results across six bridge configurations and five environmental loading scenarios.</w:t>
      </w:r>
    </w:p>
    <w:p w14:paraId="5383A4D2" w14:textId="77777777" w:rsidR="0057563E" w:rsidRDefault="00000000">
      <w:pPr>
        <w:pStyle w:val="Titre2"/>
      </w:pPr>
      <w:r>
        <w:t>10.2 Comparative Performance Analysis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100"/>
        <w:gridCol w:w="2460"/>
      </w:tblGrid>
      <w:tr w:rsidR="0057563E" w14:paraId="2B69D412" w14:textId="77777777">
        <w:tblPrEx>
          <w:tblCellMar>
            <w:top w:w="0" w:type="dxa"/>
            <w:bottom w:w="0" w:type="dxa"/>
          </w:tblCellMar>
        </w:tblPrEx>
        <w:trPr>
          <w:tblHeader/>
        </w:trPr>
        <w:tc>
          <w:tcPr>
            <w:tcW w:w="2800" w:type="dxa"/>
            <w:tcBorders>
              <w:top w:val="single" w:sz="1" w:space="0" w:color="AED6F1"/>
              <w:left w:val="single" w:sz="1" w:space="0" w:color="AED6F1"/>
              <w:bottom w:val="single" w:sz="1" w:space="0" w:color="AED6F1"/>
              <w:right w:val="single" w:sz="1" w:space="0" w:color="AED6F1"/>
            </w:tcBorders>
            <w:shd w:val="clear" w:color="auto" w:fill="073B5A"/>
            <w:tcMar>
              <w:top w:w="80" w:type="dxa"/>
              <w:left w:w="120" w:type="dxa"/>
              <w:bottom w:w="80" w:type="dxa"/>
              <w:right w:w="120" w:type="dxa"/>
            </w:tcMar>
            <w:vAlign w:val="center"/>
          </w:tcPr>
          <w:p w14:paraId="7C56E0F4" w14:textId="77777777" w:rsidR="0057563E" w:rsidRDefault="00000000">
            <w:pPr>
              <w:jc w:val="center"/>
            </w:pPr>
            <w:r>
              <w:rPr>
                <w:rFonts w:ascii="Syne" w:eastAsia="Syne" w:hAnsi="Syne" w:cs="Syne"/>
                <w:b/>
                <w:bCs/>
                <w:color w:val="FFFFFF"/>
                <w:sz w:val="20"/>
                <w:szCs w:val="20"/>
              </w:rPr>
              <w:t>Performance Metric</w:t>
            </w:r>
          </w:p>
        </w:tc>
        <w:tc>
          <w:tcPr>
            <w:tcW w:w="2000" w:type="dxa"/>
            <w:tcBorders>
              <w:top w:val="single" w:sz="1" w:space="0" w:color="AED6F1"/>
              <w:left w:val="single" w:sz="1" w:space="0" w:color="AED6F1"/>
              <w:bottom w:val="single" w:sz="1" w:space="0" w:color="AED6F1"/>
              <w:right w:val="single" w:sz="1" w:space="0" w:color="AED6F1"/>
            </w:tcBorders>
            <w:shd w:val="clear" w:color="auto" w:fill="073B5A"/>
            <w:tcMar>
              <w:top w:w="80" w:type="dxa"/>
              <w:left w:w="120" w:type="dxa"/>
              <w:bottom w:w="80" w:type="dxa"/>
              <w:right w:w="120" w:type="dxa"/>
            </w:tcMar>
            <w:vAlign w:val="center"/>
          </w:tcPr>
          <w:p w14:paraId="2C00FA96" w14:textId="77777777" w:rsidR="0057563E" w:rsidRDefault="00000000">
            <w:pPr>
              <w:jc w:val="center"/>
            </w:pPr>
            <w:r>
              <w:rPr>
                <w:rFonts w:ascii="Syne" w:eastAsia="Syne" w:hAnsi="Syne" w:cs="Syne"/>
                <w:b/>
                <w:bCs/>
                <w:color w:val="FFFFFF"/>
                <w:sz w:val="20"/>
                <w:szCs w:val="20"/>
              </w:rPr>
              <w:t>Conventional SHM</w:t>
            </w:r>
          </w:p>
        </w:tc>
        <w:tc>
          <w:tcPr>
            <w:tcW w:w="2100" w:type="dxa"/>
            <w:tcBorders>
              <w:top w:val="single" w:sz="1" w:space="0" w:color="AED6F1"/>
              <w:left w:val="single" w:sz="1" w:space="0" w:color="AED6F1"/>
              <w:bottom w:val="single" w:sz="1" w:space="0" w:color="AED6F1"/>
              <w:right w:val="single" w:sz="1" w:space="0" w:color="AED6F1"/>
            </w:tcBorders>
            <w:shd w:val="clear" w:color="auto" w:fill="073B5A"/>
            <w:tcMar>
              <w:top w:w="80" w:type="dxa"/>
              <w:left w:w="120" w:type="dxa"/>
              <w:bottom w:w="80" w:type="dxa"/>
              <w:right w:w="120" w:type="dxa"/>
            </w:tcMar>
            <w:vAlign w:val="center"/>
          </w:tcPr>
          <w:p w14:paraId="3C9A0F67" w14:textId="77777777" w:rsidR="0057563E" w:rsidRDefault="00000000">
            <w:pPr>
              <w:jc w:val="center"/>
            </w:pPr>
            <w:r>
              <w:rPr>
                <w:rFonts w:ascii="Syne" w:eastAsia="Syne" w:hAnsi="Syne" w:cs="Syne"/>
                <w:b/>
                <w:bCs/>
                <w:color w:val="FFFFFF"/>
                <w:sz w:val="20"/>
                <w:szCs w:val="20"/>
              </w:rPr>
              <w:t>Periodic Inspection</w:t>
            </w:r>
          </w:p>
        </w:tc>
        <w:tc>
          <w:tcPr>
            <w:tcW w:w="2460" w:type="dxa"/>
            <w:tcBorders>
              <w:top w:val="single" w:sz="1" w:space="0" w:color="AED6F1"/>
              <w:left w:val="single" w:sz="1" w:space="0" w:color="AED6F1"/>
              <w:bottom w:val="single" w:sz="1" w:space="0" w:color="AED6F1"/>
              <w:right w:val="single" w:sz="1" w:space="0" w:color="AED6F1"/>
            </w:tcBorders>
            <w:shd w:val="clear" w:color="auto" w:fill="073B5A"/>
            <w:tcMar>
              <w:top w:w="80" w:type="dxa"/>
              <w:left w:w="120" w:type="dxa"/>
              <w:bottom w:w="80" w:type="dxa"/>
              <w:right w:w="120" w:type="dxa"/>
            </w:tcMar>
            <w:vAlign w:val="center"/>
          </w:tcPr>
          <w:p w14:paraId="7D4DC41F" w14:textId="77777777" w:rsidR="0057563E" w:rsidRDefault="00000000">
            <w:pPr>
              <w:jc w:val="center"/>
            </w:pPr>
            <w:r>
              <w:rPr>
                <w:rFonts w:ascii="Syne" w:eastAsia="Syne" w:hAnsi="Syne" w:cs="Syne"/>
                <w:b/>
                <w:bCs/>
                <w:color w:val="FFFFFF"/>
                <w:sz w:val="20"/>
                <w:szCs w:val="20"/>
              </w:rPr>
              <w:t>PIER-VIBE v1.0.0</w:t>
            </w:r>
          </w:p>
        </w:tc>
      </w:tr>
      <w:tr w:rsidR="0057563E" w14:paraId="79CDB246"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5F9854B" w14:textId="77777777" w:rsidR="0057563E" w:rsidRDefault="00000000">
            <w:r>
              <w:rPr>
                <w:color w:val="2C3E50"/>
                <w:sz w:val="20"/>
                <w:szCs w:val="20"/>
              </w:rPr>
              <w:t>Scour detection lead time</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07B3E0D" w14:textId="77777777" w:rsidR="0057563E" w:rsidRDefault="00000000">
            <w:pPr>
              <w:jc w:val="center"/>
            </w:pPr>
            <w:r>
              <w:rPr>
                <w:color w:val="2C3E50"/>
                <w:sz w:val="20"/>
                <w:szCs w:val="20"/>
              </w:rPr>
              <w:t>2–4 hours</w:t>
            </w:r>
          </w:p>
        </w:tc>
        <w:tc>
          <w:tcPr>
            <w:tcW w:w="21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3084E38" w14:textId="77777777" w:rsidR="0057563E" w:rsidRDefault="00000000">
            <w:pPr>
              <w:jc w:val="center"/>
            </w:pPr>
            <w:r>
              <w:rPr>
                <w:color w:val="2C3E50"/>
                <w:sz w:val="20"/>
                <w:szCs w:val="20"/>
              </w:rPr>
              <w:t>0 h (post-event)</w:t>
            </w:r>
          </w:p>
        </w:tc>
        <w:tc>
          <w:tcPr>
            <w:tcW w:w="24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0AD777C" w14:textId="77777777" w:rsidR="0057563E" w:rsidRDefault="00000000">
            <w:pPr>
              <w:jc w:val="center"/>
            </w:pPr>
            <w:r>
              <w:rPr>
                <w:color w:val="2C3E50"/>
                <w:sz w:val="20"/>
                <w:szCs w:val="20"/>
              </w:rPr>
              <w:t>24–72 h (PINN forecast)</w:t>
            </w:r>
          </w:p>
        </w:tc>
      </w:tr>
      <w:tr w:rsidR="0057563E" w14:paraId="718C35C0"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633D2CA6" w14:textId="77777777" w:rsidR="0057563E" w:rsidRDefault="00000000">
            <w:r>
              <w:rPr>
                <w:color w:val="2C3E50"/>
                <w:sz w:val="20"/>
                <w:szCs w:val="20"/>
              </w:rPr>
              <w:t>Resonance frequency drift</w:t>
            </w:r>
          </w:p>
        </w:tc>
        <w:tc>
          <w:tcPr>
            <w:tcW w:w="20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3CE6DADC" w14:textId="77777777" w:rsidR="0057563E" w:rsidRDefault="00000000">
            <w:pPr>
              <w:jc w:val="center"/>
            </w:pPr>
            <w:r>
              <w:rPr>
                <w:color w:val="2C3E50"/>
                <w:sz w:val="20"/>
                <w:szCs w:val="20"/>
              </w:rPr>
              <w:t>Manual analysis</w:t>
            </w:r>
          </w:p>
        </w:tc>
        <w:tc>
          <w:tcPr>
            <w:tcW w:w="21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7F66FBBD" w14:textId="77777777" w:rsidR="0057563E" w:rsidRDefault="00000000">
            <w:pPr>
              <w:jc w:val="center"/>
            </w:pPr>
            <w:r>
              <w:rPr>
                <w:color w:val="2C3E50"/>
                <w:sz w:val="20"/>
                <w:szCs w:val="20"/>
              </w:rPr>
              <w:t>Not detected</w:t>
            </w:r>
          </w:p>
        </w:tc>
        <w:tc>
          <w:tcPr>
            <w:tcW w:w="246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2CD48F5A" w14:textId="77777777" w:rsidR="0057563E" w:rsidRDefault="00000000">
            <w:pPr>
              <w:jc w:val="center"/>
            </w:pPr>
            <w:r>
              <w:rPr>
                <w:color w:val="2C3E50"/>
                <w:sz w:val="20"/>
                <w:szCs w:val="20"/>
              </w:rPr>
              <w:t>Real-time (94.4% sensitivity)</w:t>
            </w:r>
          </w:p>
        </w:tc>
      </w:tr>
      <w:tr w:rsidR="0057563E" w14:paraId="1CE5A58A"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AF70096" w14:textId="77777777" w:rsidR="0057563E" w:rsidRDefault="00000000">
            <w:r>
              <w:rPr>
                <w:color w:val="2C3E50"/>
                <w:sz w:val="20"/>
                <w:szCs w:val="20"/>
              </w:rPr>
              <w:t>Fatigue accumulation forecast</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0DE3B4E" w14:textId="77777777" w:rsidR="0057563E" w:rsidRDefault="00000000">
            <w:pPr>
              <w:jc w:val="center"/>
            </w:pPr>
            <w:r>
              <w:rPr>
                <w:color w:val="2C3E50"/>
                <w:sz w:val="20"/>
                <w:szCs w:val="20"/>
              </w:rPr>
              <w:t>Empirical estimate</w:t>
            </w:r>
          </w:p>
        </w:tc>
        <w:tc>
          <w:tcPr>
            <w:tcW w:w="21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895FDBF" w14:textId="77777777" w:rsidR="0057563E" w:rsidRDefault="00000000">
            <w:pPr>
              <w:jc w:val="center"/>
            </w:pPr>
            <w:r>
              <w:rPr>
                <w:color w:val="2C3E50"/>
                <w:sz w:val="20"/>
                <w:szCs w:val="20"/>
              </w:rPr>
              <w:t>Post-inspection</w:t>
            </w:r>
          </w:p>
        </w:tc>
        <w:tc>
          <w:tcPr>
            <w:tcW w:w="24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D345D22" w14:textId="77777777" w:rsidR="0057563E" w:rsidRDefault="00000000">
            <w:pPr>
              <w:jc w:val="center"/>
            </w:pPr>
            <w:r>
              <w:rPr>
                <w:color w:val="2C3E50"/>
                <w:sz w:val="20"/>
                <w:szCs w:val="20"/>
              </w:rPr>
              <w:t>72h PINN, MAE ≤ 3.1%</w:t>
            </w:r>
          </w:p>
        </w:tc>
      </w:tr>
      <w:tr w:rsidR="0057563E" w14:paraId="445EB568"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310C5DD9" w14:textId="77777777" w:rsidR="0057563E" w:rsidRDefault="00000000">
            <w:r>
              <w:rPr>
                <w:color w:val="2C3E50"/>
                <w:sz w:val="20"/>
                <w:szCs w:val="20"/>
              </w:rPr>
              <w:t>Foundation stiffness update</w:t>
            </w:r>
          </w:p>
        </w:tc>
        <w:tc>
          <w:tcPr>
            <w:tcW w:w="20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427928F2" w14:textId="77777777" w:rsidR="0057563E" w:rsidRDefault="00000000">
            <w:pPr>
              <w:jc w:val="center"/>
            </w:pPr>
            <w:r>
              <w:rPr>
                <w:color w:val="2C3E50"/>
                <w:sz w:val="20"/>
                <w:szCs w:val="20"/>
              </w:rPr>
              <w:t>Annual inspection</w:t>
            </w:r>
          </w:p>
        </w:tc>
        <w:tc>
          <w:tcPr>
            <w:tcW w:w="21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3D24A0F5" w14:textId="77777777" w:rsidR="0057563E" w:rsidRDefault="00000000">
            <w:pPr>
              <w:jc w:val="center"/>
            </w:pPr>
            <w:r>
              <w:rPr>
                <w:color w:val="2C3E50"/>
                <w:sz w:val="20"/>
                <w:szCs w:val="20"/>
              </w:rPr>
              <w:t>2-year cycle</w:t>
            </w:r>
          </w:p>
        </w:tc>
        <w:tc>
          <w:tcPr>
            <w:tcW w:w="246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413FB710" w14:textId="77777777" w:rsidR="0057563E" w:rsidRDefault="00000000">
            <w:pPr>
              <w:jc w:val="center"/>
            </w:pPr>
            <w:r>
              <w:rPr>
                <w:color w:val="2C3E50"/>
                <w:sz w:val="20"/>
                <w:szCs w:val="20"/>
              </w:rPr>
              <w:t>Continuous (sensor-fused)</w:t>
            </w:r>
          </w:p>
        </w:tc>
      </w:tr>
      <w:tr w:rsidR="0057563E" w14:paraId="34D50168"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0623366" w14:textId="77777777" w:rsidR="0057563E" w:rsidRDefault="00000000">
            <w:r>
              <w:rPr>
                <w:color w:val="2C3E50"/>
                <w:sz w:val="20"/>
                <w:szCs w:val="20"/>
              </w:rPr>
              <w:t>BSHI (composite safety index)</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25A70A6" w14:textId="77777777" w:rsidR="0057563E" w:rsidRDefault="00000000">
            <w:pPr>
              <w:jc w:val="center"/>
            </w:pPr>
            <w:r>
              <w:rPr>
                <w:color w:val="2C3E50"/>
                <w:sz w:val="20"/>
                <w:szCs w:val="20"/>
              </w:rPr>
              <w:t>Not available</w:t>
            </w:r>
          </w:p>
        </w:tc>
        <w:tc>
          <w:tcPr>
            <w:tcW w:w="21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2A06AAB" w14:textId="77777777" w:rsidR="0057563E" w:rsidRDefault="00000000">
            <w:pPr>
              <w:jc w:val="center"/>
            </w:pPr>
            <w:r>
              <w:rPr>
                <w:color w:val="2C3E50"/>
                <w:sz w:val="20"/>
                <w:szCs w:val="20"/>
              </w:rPr>
              <w:t>Not available</w:t>
            </w:r>
          </w:p>
        </w:tc>
        <w:tc>
          <w:tcPr>
            <w:tcW w:w="24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F290C99" w14:textId="77777777" w:rsidR="0057563E" w:rsidRDefault="00000000">
            <w:pPr>
              <w:jc w:val="center"/>
            </w:pPr>
            <w:r>
              <w:rPr>
                <w:color w:val="2C3E50"/>
                <w:sz w:val="20"/>
                <w:szCs w:val="20"/>
              </w:rPr>
              <w:t>Continuous, ±2.8% FAR</w:t>
            </w:r>
          </w:p>
        </w:tc>
      </w:tr>
      <w:tr w:rsidR="0057563E" w14:paraId="66BE6876"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6AA3B29E" w14:textId="77777777" w:rsidR="0057563E" w:rsidRDefault="00000000">
            <w:r>
              <w:rPr>
                <w:color w:val="2C3E50"/>
                <w:sz w:val="20"/>
                <w:szCs w:val="20"/>
              </w:rPr>
              <w:t>Fluid-structure coupling</w:t>
            </w:r>
          </w:p>
        </w:tc>
        <w:tc>
          <w:tcPr>
            <w:tcW w:w="20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25084E50" w14:textId="77777777" w:rsidR="0057563E" w:rsidRDefault="00000000">
            <w:pPr>
              <w:jc w:val="center"/>
            </w:pPr>
            <w:r>
              <w:rPr>
                <w:color w:val="2C3E50"/>
                <w:sz w:val="20"/>
                <w:szCs w:val="20"/>
              </w:rPr>
              <w:t>Decoupled</w:t>
            </w:r>
          </w:p>
        </w:tc>
        <w:tc>
          <w:tcPr>
            <w:tcW w:w="210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4AB110A7" w14:textId="77777777" w:rsidR="0057563E" w:rsidRDefault="00000000">
            <w:pPr>
              <w:jc w:val="center"/>
            </w:pPr>
            <w:r>
              <w:rPr>
                <w:color w:val="2C3E50"/>
                <w:sz w:val="20"/>
                <w:szCs w:val="20"/>
              </w:rPr>
              <w:t>Not modeled</w:t>
            </w:r>
          </w:p>
        </w:tc>
        <w:tc>
          <w:tcPr>
            <w:tcW w:w="2460" w:type="dxa"/>
            <w:tcBorders>
              <w:top w:val="single" w:sz="1" w:space="0" w:color="AED6F1"/>
              <w:left w:val="single" w:sz="1" w:space="0" w:color="AED6F1"/>
              <w:bottom w:val="single" w:sz="1" w:space="0" w:color="AED6F1"/>
              <w:right w:val="single" w:sz="1" w:space="0" w:color="AED6F1"/>
            </w:tcBorders>
            <w:shd w:val="clear" w:color="auto" w:fill="F0F7FC"/>
            <w:tcMar>
              <w:top w:w="80" w:type="dxa"/>
              <w:left w:w="120" w:type="dxa"/>
              <w:bottom w:w="80" w:type="dxa"/>
              <w:right w:w="120" w:type="dxa"/>
            </w:tcMar>
          </w:tcPr>
          <w:p w14:paraId="05D8BC59" w14:textId="77777777" w:rsidR="0057563E" w:rsidRDefault="00000000">
            <w:pPr>
              <w:jc w:val="center"/>
            </w:pPr>
            <w:r>
              <w:rPr>
                <w:color w:val="2C3E50"/>
                <w:sz w:val="20"/>
                <w:szCs w:val="20"/>
              </w:rPr>
              <w:t>Fully coupled ALE-NS</w:t>
            </w:r>
          </w:p>
        </w:tc>
      </w:tr>
      <w:tr w:rsidR="0057563E" w14:paraId="0FBE7D59"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1BA77AC" w14:textId="77777777" w:rsidR="0057563E" w:rsidRDefault="00000000">
            <w:r>
              <w:rPr>
                <w:color w:val="2C3E50"/>
                <w:sz w:val="20"/>
                <w:szCs w:val="20"/>
              </w:rPr>
              <w:t>False critical alert rate</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98DBE2D" w14:textId="77777777" w:rsidR="0057563E" w:rsidRDefault="00000000">
            <w:pPr>
              <w:jc w:val="center"/>
            </w:pPr>
            <w:r>
              <w:rPr>
                <w:color w:val="2C3E50"/>
                <w:sz w:val="20"/>
                <w:szCs w:val="20"/>
              </w:rPr>
              <w:t>15–22%</w:t>
            </w:r>
          </w:p>
        </w:tc>
        <w:tc>
          <w:tcPr>
            <w:tcW w:w="21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DC5A322" w14:textId="77777777" w:rsidR="0057563E" w:rsidRDefault="00000000">
            <w:pPr>
              <w:jc w:val="center"/>
            </w:pPr>
            <w:r>
              <w:rPr>
                <w:color w:val="2C3E50"/>
                <w:sz w:val="20"/>
                <w:szCs w:val="20"/>
              </w:rPr>
              <w:t>N/A</w:t>
            </w:r>
          </w:p>
        </w:tc>
        <w:tc>
          <w:tcPr>
            <w:tcW w:w="24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2102094" w14:textId="77777777" w:rsidR="0057563E" w:rsidRDefault="00000000">
            <w:pPr>
              <w:jc w:val="center"/>
            </w:pPr>
            <w:r>
              <w:rPr>
                <w:color w:val="2C3E50"/>
                <w:sz w:val="20"/>
                <w:szCs w:val="20"/>
              </w:rPr>
              <w:t>2.8%</w:t>
            </w:r>
          </w:p>
        </w:tc>
      </w:tr>
    </w:tbl>
    <w:p w14:paraId="19DB7FEC" w14:textId="77777777" w:rsidR="0057563E" w:rsidRDefault="0057563E">
      <w:pPr>
        <w:spacing w:before="80"/>
      </w:pPr>
    </w:p>
    <w:p w14:paraId="14C74A3E" w14:textId="77777777" w:rsidR="0057563E" w:rsidRDefault="00000000">
      <w:pPr>
        <w:spacing w:before="60" w:after="160"/>
        <w:jc w:val="center"/>
      </w:pPr>
      <w:r>
        <w:rPr>
          <w:i/>
          <w:iCs/>
          <w:color w:val="839192"/>
          <w:sz w:val="18"/>
          <w:szCs w:val="18"/>
        </w:rPr>
        <w:t>Table 2. Comparative performance: PIER-VIBE versus conventional SHM and periodic inspection approaches.</w:t>
      </w:r>
    </w:p>
    <w:p w14:paraId="3C77E745" w14:textId="77777777" w:rsidR="0057563E" w:rsidRDefault="00000000">
      <w:pPr>
        <w:pStyle w:val="Titre2"/>
      </w:pPr>
      <w:r>
        <w:t>10.3 Resonance Catastrophe Prevention Analysis</w:t>
      </w:r>
    </w:p>
    <w:p w14:paraId="5EF00520" w14:textId="77777777" w:rsidR="0057563E" w:rsidRDefault="00000000">
      <w:pPr>
        <w:spacing w:before="80" w:after="100" w:line="340" w:lineRule="auto"/>
        <w:jc w:val="both"/>
      </w:pPr>
      <w:r>
        <w:rPr>
          <w:color w:val="2C3E50"/>
        </w:rPr>
        <w:t>The most safety-critical validation scenario was the wind-induced resonance approach test applied to the cable-stayed bridge configuration (B5). Under sustained wind loading at 22 m/s — a speed within the operating range of the structure but generating a Strouhal vortex shedding frequency within 12% of the first torsional natural frequency — PIER-VIBE detected the developing resonance condition 48.3 hours before the frequency separation fell below the Δf_crit threshold. The conventional SHM system (accelerometer-based threshold alarm) did not trigger until the frequency separation fell below 3%, with a warning lead time of 4.2 hours — insufficient for the implementation of aerodynamic countermeasures (tuned mass damper re-tuning or traffic load restriction) before the structure entered the resonant response regime.</w:t>
      </w:r>
    </w:p>
    <w:p w14:paraId="39018C45" w14:textId="77777777" w:rsidR="0057563E" w:rsidRDefault="00000000">
      <w:pPr>
        <w:spacing w:before="80" w:after="100" w:line="340" w:lineRule="auto"/>
        <w:jc w:val="both"/>
      </w:pPr>
      <w:r>
        <w:rPr>
          <w:color w:val="2C3E50"/>
        </w:rPr>
        <w:t>The PIER-VIBE resonance prevention response in this scenario comprised: (i) automated recommendation to restrict heavy vehicle traffic to reduce the deck mass and shift the torsional natural frequency by +0.8%; (ii) automated tuned mass damper re-tuning recommendation to increase structural damping in the torsional mode by a factor of 2.3; and (iii) alert to the bridge operator with full diagnostic report identifying the approaching resonance condition, its trajectory, and the projected timing of critical frequency coincidence. All three responses were implemented within 2 hours of the initial PIER-VIBE alert, successfully preventing the resonant response condition.</w:t>
      </w:r>
    </w:p>
    <w:p w14:paraId="0B6EFF46" w14:textId="77777777" w:rsidR="0057563E" w:rsidRDefault="0057563E">
      <w:pPr>
        <w:spacing w:before="200"/>
      </w:pPr>
    </w:p>
    <w:p w14:paraId="3C43C97E" w14:textId="77777777" w:rsidR="0057563E" w:rsidRDefault="0057563E">
      <w:pPr>
        <w:pBdr>
          <w:bottom w:val="single" w:sz="4" w:space="1" w:color="2980B9"/>
        </w:pBdr>
        <w:spacing w:before="260" w:after="260"/>
      </w:pPr>
    </w:p>
    <w:p w14:paraId="0F95AEEF" w14:textId="77777777" w:rsidR="0057563E" w:rsidRDefault="00000000">
      <w:pPr>
        <w:pStyle w:val="Titre1"/>
      </w:pPr>
      <w:r>
        <w:t>11. Engineering Implications and Future Directions</w:t>
      </w:r>
    </w:p>
    <w:p w14:paraId="7C64B739" w14:textId="77777777" w:rsidR="0057563E" w:rsidRDefault="00000000">
      <w:pPr>
        <w:pStyle w:val="Titre2"/>
      </w:pPr>
      <w:r>
        <w:t>11.1 Implications for Marine Infrastructure Safety</w:t>
      </w:r>
    </w:p>
    <w:p w14:paraId="3ED612F2" w14:textId="77777777" w:rsidR="0057563E" w:rsidRDefault="00000000">
      <w:pPr>
        <w:spacing w:before="80" w:after="100" w:line="340" w:lineRule="auto"/>
        <w:jc w:val="both"/>
      </w:pPr>
      <w:r>
        <w:rPr>
          <w:color w:val="2C3E50"/>
        </w:rPr>
        <w:t>The deployment of PIER-VIBE in offshore bridge infrastructure represents a paradigmatic shift in the practice of marine structural safety management: from episodic inspection-based assessment to continuous AI-augmented governance. The most consequential practical implication of this shift is the transformation of the human operator's role from reactive damage assessor to proactive safety governor. Under a PIER-VIBE governance regime, the bridge safety engineer receives not a retrospective inventory of observed damage but a prospective safety forecast specifying the current BSHI, its projected 72-hour trajectory under current environmental conditions, and a ranked list of recommended interventions with quantified BSHI impact estimates.</w:t>
      </w:r>
    </w:p>
    <w:p w14:paraId="35A1B6E4" w14:textId="77777777" w:rsidR="0057563E" w:rsidRDefault="00000000">
      <w:pPr>
        <w:spacing w:before="80" w:after="100" w:line="340" w:lineRule="auto"/>
        <w:jc w:val="both"/>
      </w:pPr>
      <w:r>
        <w:rPr>
          <w:color w:val="2C3E50"/>
        </w:rPr>
        <w:t>The economic implications are substantial: the Federal Highway Administration estimates the annual cost of US bridge failures and emergency closures at approximately $1.2 billion, of which approximately 65% is attributable to scour-induced events that would be detectable at 24–72 hour forecast horizons by a system of PIER-VIBE's capability. Avoided failure costs at this magnitude would justify the instrumentation and operational costs of PIER-VIBE deployment at all high-consequence bridge sites — those whose failure would result in significant life safety risk or supply chain disruption — with a net present value benefit-to-cost ratio exceeding 8:1 over a 30-year operational horizon.</w:t>
      </w:r>
    </w:p>
    <w:p w14:paraId="17F20EAA" w14:textId="77777777" w:rsidR="0057563E" w:rsidRDefault="00000000">
      <w:pPr>
        <w:pStyle w:val="Titre2"/>
      </w:pPr>
      <w:r>
        <w:t>11.2 Implications for Smart Autonomous Infrastructure Systems</w:t>
      </w:r>
    </w:p>
    <w:p w14:paraId="3C294E53" w14:textId="77777777" w:rsidR="0057563E" w:rsidRDefault="00000000">
      <w:pPr>
        <w:spacing w:before="80" w:after="100" w:line="340" w:lineRule="auto"/>
        <w:jc w:val="both"/>
      </w:pPr>
      <w:r>
        <w:rPr>
          <w:color w:val="2C3E50"/>
        </w:rPr>
        <w:t>PIER-VIBE establishes the conceptual and computational foundation for a future generation of smart autonomous bridge infrastructure systems — structures that not only report their current safety status but actively manage their structural response through integrated actuation systems. The natural extension of the PIER-VIBE governance architecture toward full autonomy would incorporate: automated actuation of tuned liquid column dampers and active mass dampers for real-time vibration control; automated control of foundation drainage systems to manage scour-induced pore pressure evolution; and autonomous traffic load management through variable message sign control to prevent resonance approach under specific wind and wave loading combinations.</w:t>
      </w:r>
    </w:p>
    <w:p w14:paraId="17AE9355" w14:textId="77777777" w:rsidR="0057563E" w:rsidRDefault="00000000">
      <w:pPr>
        <w:pStyle w:val="Titre2"/>
      </w:pPr>
      <w:r>
        <w:t>11.3 Future Extensions toward 4D Structural Governance</w:t>
      </w:r>
    </w:p>
    <w:p w14:paraId="1F56DACE" w14:textId="77777777" w:rsidR="0057563E" w:rsidRDefault="00000000">
      <w:pPr>
        <w:spacing w:before="80" w:after="100" w:line="340" w:lineRule="auto"/>
        <w:jc w:val="both"/>
      </w:pPr>
      <w:r>
        <w:rPr>
          <w:color w:val="2C3E50"/>
        </w:rPr>
        <w:t>The fourth dimension of structural governance — the temporal dimension — remains incompletely exploited in current PIER-VIBE v1.0.0. Future development will extend the framework's predictive horizon from 72 hours to seasonal and annual timescales through the integration of climate and hydrological projections into the SSSE scour evolution model, and the application of structural reliability theory to compute the time-dependent probability of BSHI falling below the critical threshold over the remaining service lifetime of the structure. This extension will enable evidence-based service lifetime extension assessments — replacing the current conservative practice of applying fixed design lifetime limits regardless of actual structural condition — and will support the optimization of inspection and maintenance schedules through minimization of expected lifecycle costs subject to safety constraints.</w:t>
      </w:r>
    </w:p>
    <w:p w14:paraId="6214C9C8" w14:textId="77777777" w:rsidR="0057563E" w:rsidRDefault="00000000">
      <w:pPr>
        <w:pStyle w:val="Titre1"/>
      </w:pPr>
      <w:r>
        <w:t>12. Conclusion</w:t>
      </w:r>
    </w:p>
    <w:p w14:paraId="528DD94B" w14:textId="77777777" w:rsidR="0057563E" w:rsidRDefault="00000000">
      <w:pPr>
        <w:spacing w:before="80" w:after="100" w:line="340" w:lineRule="auto"/>
        <w:jc w:val="both"/>
      </w:pPr>
      <w:r>
        <w:rPr>
          <w:color w:val="2C3E50"/>
        </w:rPr>
        <w:t>We have presented PIER-VIBE (Predictive Intelligence Engine for Resonance, Vibration, and Integrity in Bridge Environments), a comprehensive hydro-structural governance framework that unifies fully coupled fluid-structure-soil interaction modeling, physics-informed neural network augmentation, real-time telemetry fusion, and dynamic safety certification in a single operational architecture for long-span offshore and riverine bridge infrastructure. The three computational modules — the Sub-Surface Scour Engine (SSSE), the Hydro-Structural Coupling Evaluator (HSCE), and the Elastic Fatigue Governance Lock (EFGL) — address the three dominant bridge failure mechanisms identified in the historical failure record, providing warning lead times of 24–72 hours compared to the 2–6 hours achievable by conventional structural health monitoring systems.</w:t>
      </w:r>
    </w:p>
    <w:p w14:paraId="26D5F1B5" w14:textId="77777777" w:rsidR="0057563E" w:rsidRDefault="00000000">
      <w:pPr>
        <w:spacing w:before="80" w:after="100" w:line="340" w:lineRule="auto"/>
        <w:jc w:val="both"/>
      </w:pPr>
      <w:r>
        <w:rPr>
          <w:color w:val="2C3E50"/>
        </w:rPr>
        <w:t>Benchmark validation across six canonical bridge configurations demonstrates mean scour depth prediction accuracy of ±0.075 m, resonance frequency shift detection sensitivity of 94.4%, and fatigue accumulation forecast errors of 2.8% — all achieved with a false critical alert rate of 2.8%. The Bridge Structural Health Index (BSHI) provides a rigorously grounded and continuously updated composite safety certification that replaces the static safety factor of conventional practice with a dynamical invariant maintained through continuous physics-grounded AI-augmented feedback. The 48.3-hour resonance warning lead time demonstrated in the cable-stayed bridge validation scenario — compared to 4.2 hours for conventional SHM — illustrates the life-safety significance of the PIER-VIBE prediction advantage in the most safety-critical failure scenario.</w:t>
      </w:r>
    </w:p>
    <w:p w14:paraId="78A66FF6" w14:textId="77777777" w:rsidR="0057563E" w:rsidRDefault="00000000">
      <w:pPr>
        <w:spacing w:before="80" w:after="100" w:line="340" w:lineRule="auto"/>
        <w:jc w:val="both"/>
      </w:pPr>
      <w:r>
        <w:rPr>
          <w:color w:val="2C3E50"/>
        </w:rPr>
        <w:t>PIER-VIBE is classified within the Systems Safety and Engineering (AI-augmented) research domain, alongside DAMS-SLIP (earth dam structural integrity), OSEF (aviation safety systems), and Limit Cycle Flight Dynamics (aerospace engineering). This portfolio is unified by a common epistemological commitment: structural and operational safety in complex engineering systems is not a static design property but a dynamical invariant, requiring continuous physics-grounded AI-augmented governance throughout the operational lifetime of the governed system. Structural integrity is not negotiated with environmental loading — it is enforced through real-time physics, adaptive intelligence, and principled constraint design.</w:t>
      </w:r>
    </w:p>
    <w:p w14:paraId="24222DF3" w14:textId="77777777" w:rsidR="0057563E" w:rsidRDefault="00000000">
      <w:pPr>
        <w:spacing w:before="80" w:after="100" w:line="340" w:lineRule="auto"/>
        <w:jc w:val="both"/>
      </w:pPr>
      <w:r>
        <w:rPr>
          <w:color w:val="2C3E50"/>
        </w:rPr>
        <w:t>PIER-VIBE v1.0.0 is available as an open-source implementation under MIT License, archived at DOI: 10.5281/zenodo.20390646 and maintained at https://github.com/gitdeeper12/PIER-VIBE.</w:t>
      </w:r>
    </w:p>
    <w:p w14:paraId="4E49873D" w14:textId="77777777" w:rsidR="0057563E" w:rsidRDefault="0057563E">
      <w:pPr>
        <w:spacing w:before="200"/>
      </w:pPr>
    </w:p>
    <w:p w14:paraId="75D5FF55" w14:textId="77777777" w:rsidR="0057563E" w:rsidRDefault="0057563E">
      <w:pPr>
        <w:pBdr>
          <w:bottom w:val="single" w:sz="4" w:space="1" w:color="2980B9"/>
        </w:pBdr>
        <w:spacing w:before="260" w:after="260"/>
      </w:pPr>
    </w:p>
    <w:p w14:paraId="2DB1475B" w14:textId="77777777" w:rsidR="0057563E" w:rsidRDefault="00000000">
      <w:pPr>
        <w:pStyle w:val="Titre1"/>
      </w:pPr>
      <w:r>
        <w:t>About the Author</w:t>
      </w:r>
    </w:p>
    <w:p w14:paraId="050B420F" w14:textId="77777777" w:rsidR="0057563E" w:rsidRDefault="0057563E">
      <w:pPr>
        <w:spacing w:before="60"/>
      </w:pPr>
    </w:p>
    <w:p w14:paraId="1BF1DE51" w14:textId="77777777" w:rsidR="0057563E" w:rsidRDefault="00000000">
      <w:pPr>
        <w:spacing w:before="80" w:after="100" w:line="340" w:lineRule="auto"/>
        <w:jc w:val="both"/>
      </w:pPr>
      <w:r>
        <w:rPr>
          <w:color w:val="2C3E50"/>
        </w:rPr>
        <w:t>Samir Baladi is an interdisciplinary researcher whose work spans the domains of computational physics, biomedical AI, and engineering systems safety. Affiliated with the Ronin Institute and the Rite of Renaissance research program, his portfolio is organized within the EntropyLab research series and encompasses four convergent themes: the governance of dissipative AI systems (ENTRO-DASA); causal discrimination in data-driven models (COREX); AI-augmented structural integrity enforcement in geotechnical hydraulic structures (DAMS-SLIP); and, in the present work, AI-augmented hydro-structural governance in long-span bridge infrastructure (PIER-VIBE). The unifying principle across all four themes is the same: safety, coherence, and structural integrity are dynamical invariants, not statistical emergent properties, and their maintenance requires continuous physics-grounded AI-augmented governance architectures rather than periodic empirical assessment.</w:t>
      </w:r>
    </w:p>
    <w:p w14:paraId="28EA8AFD" w14:textId="77777777" w:rsidR="0057563E" w:rsidRDefault="0057563E">
      <w:pPr>
        <w:spacing w:before="60"/>
      </w:pPr>
    </w:p>
    <w:p w14:paraId="48E2E347" w14:textId="77777777" w:rsidR="0057563E" w:rsidRDefault="00000000">
      <w:pPr>
        <w:spacing w:before="80" w:after="100" w:line="340" w:lineRule="auto"/>
        <w:jc w:val="both"/>
      </w:pPr>
      <w:r>
        <w:rPr>
          <w:color w:val="2C3E50"/>
        </w:rPr>
        <w:t>Baladi's contribution to bridge engineering systems safety is grounded in his broader intellectual commitment to empirical rationalism in computational science: the position that claims about the physical behavior of complex engineering structures must be grounded in continuously validated physics models, not frozen at the moment of design commissioning. PIER-VIBE is the direct expression of this commitment in the hydro-structural domain: a framework that refuses the approximation of static safety factors and periodic inspection cycles, and instead enforces a continuously certified safety guarantee against the full complexity of real-time environmental loading and progressive structural degradation. He can be reached at gitdeeper@gmail.com. All projects are maintained at https://github.com/gitdeeper12 and distributed across research archival and package platforms for maximum accessibility and scientific reproducibility.</w:t>
      </w:r>
    </w:p>
    <w:p w14:paraId="4335ECB1" w14:textId="77777777" w:rsidR="0057563E" w:rsidRDefault="0057563E">
      <w:pPr>
        <w:spacing w:before="200"/>
      </w:pPr>
    </w:p>
    <w:p w14:paraId="30B77383" w14:textId="77777777" w:rsidR="00052258" w:rsidRDefault="00052258" w:rsidP="003B14D6">
      <w:pPr>
        <w:pStyle w:val="Titre1"/>
      </w:pPr>
      <w:r>
        <w:t>References</w:t>
      </w:r>
    </w:p>
    <w:p w14:paraId="06C60A3C" w14:textId="77777777" w:rsidR="0057563E" w:rsidRDefault="0057563E">
      <w:pPr>
        <w:pBdr>
          <w:bottom w:val="single" w:sz="4" w:space="1" w:color="2980B9"/>
        </w:pBdr>
        <w:spacing w:before="260" w:after="260"/>
      </w:pPr>
    </w:p>
    <w:p w14:paraId="29465D46" w14:textId="77777777" w:rsidR="0057563E" w:rsidRDefault="00000000">
      <w:pPr>
        <w:spacing w:before="80" w:after="100" w:line="340" w:lineRule="auto"/>
        <w:jc w:val="both"/>
      </w:pPr>
      <w:r>
        <w:rPr>
          <w:color w:val="2C3E50"/>
        </w:rPr>
        <w:t>[1] Melville, B.W., &amp; Coleman, S.E. (2000). Bridge Scour. Water Resources Publications, Highlands Ranch, CO.</w:t>
      </w:r>
    </w:p>
    <w:p w14:paraId="0B7507D8" w14:textId="77777777" w:rsidR="0057563E" w:rsidRDefault="00000000">
      <w:pPr>
        <w:spacing w:before="80" w:after="100" w:line="340" w:lineRule="auto"/>
        <w:jc w:val="both"/>
      </w:pPr>
      <w:r>
        <w:rPr>
          <w:color w:val="2C3E50"/>
        </w:rPr>
        <w:t>[2] Richardson, E.V., &amp; Davis, S.R. (2001). Evaluating Scour at Bridges (HEC-18, 4th ed.). FHWA-NHI-01-001. Federal Highway Administration, Washington DC.</w:t>
      </w:r>
    </w:p>
    <w:p w14:paraId="23BAB2E7" w14:textId="77777777" w:rsidR="0057563E" w:rsidRDefault="00000000">
      <w:pPr>
        <w:spacing w:before="80" w:after="100" w:line="340" w:lineRule="auto"/>
        <w:jc w:val="both"/>
      </w:pPr>
      <w:r>
        <w:rPr>
          <w:color w:val="2C3E50"/>
        </w:rPr>
        <w:t>[3] Morison, J.R., O'Brien, M.P., Johnson, J.W., &amp; Shaaf, S.A. (1950). The force exerted by surface waves on piles. Petroleum Transactions of AIME, 189, 149–154.</w:t>
      </w:r>
    </w:p>
    <w:p w14:paraId="4C6DFBB1" w14:textId="77777777" w:rsidR="0057563E" w:rsidRDefault="00000000">
      <w:pPr>
        <w:spacing w:before="80" w:after="100" w:line="340" w:lineRule="auto"/>
        <w:jc w:val="both"/>
      </w:pPr>
      <w:r>
        <w:rPr>
          <w:color w:val="2C3E50"/>
        </w:rPr>
        <w:t>[4] Shields, A. (1936). Application of similarity principles and turbulence research to bed-load movement. Mitteilungen der Preußischen Versuchsanstalt für Wasserbau, Berlin.</w:t>
      </w:r>
    </w:p>
    <w:p w14:paraId="325DA2D9" w14:textId="77777777" w:rsidR="0057563E" w:rsidRDefault="00000000">
      <w:pPr>
        <w:spacing w:before="80" w:after="100" w:line="340" w:lineRule="auto"/>
        <w:jc w:val="both"/>
      </w:pPr>
      <w:r>
        <w:rPr>
          <w:color w:val="2C3E50"/>
        </w:rPr>
        <w:t>[5] Palmgren, A. (1924). Die Lebensdauer von Kugellagern. Zeitschrift des Vereines Deutscher Ingenieure, 68(14), 339–341.</w:t>
      </w:r>
    </w:p>
    <w:p w14:paraId="4D3D27BD" w14:textId="77777777" w:rsidR="0057563E" w:rsidRDefault="00000000">
      <w:pPr>
        <w:spacing w:before="80" w:after="100" w:line="340" w:lineRule="auto"/>
        <w:jc w:val="both"/>
      </w:pPr>
      <w:r>
        <w:rPr>
          <w:color w:val="2C3E50"/>
        </w:rPr>
        <w:t>[6] Miner, M.A. (1945). Cumulative damage in fatigue. Journal of Applied Mechanics, 12(3), A159–A164.</w:t>
      </w:r>
    </w:p>
    <w:p w14:paraId="3E2A4D62" w14:textId="77777777" w:rsidR="0057563E" w:rsidRDefault="00000000">
      <w:pPr>
        <w:spacing w:before="80" w:after="100" w:line="340" w:lineRule="auto"/>
        <w:jc w:val="both"/>
      </w:pPr>
      <w:r>
        <w:rPr>
          <w:color w:val="2C3E50"/>
        </w:rPr>
        <w:t>[7] Raissi, M., Perdikaris, P., &amp; Karniadakis, G.E. (2019). Physics-informed neural networks. Journal of Computational Physics, 378, 686–707.</w:t>
      </w:r>
    </w:p>
    <w:p w14:paraId="77E78CA1" w14:textId="77777777" w:rsidR="0057563E" w:rsidRDefault="00000000">
      <w:pPr>
        <w:spacing w:before="80" w:after="100" w:line="340" w:lineRule="auto"/>
        <w:jc w:val="both"/>
      </w:pPr>
      <w:r>
        <w:rPr>
          <w:color w:val="2C3E50"/>
        </w:rPr>
        <w:t>[8] Menter, F.R. (1994). Two-equation eddy-viscosity turbulence models for engineering applications. AIAA Journal, 32(8), 1598–1605.</w:t>
      </w:r>
    </w:p>
    <w:p w14:paraId="090AE923" w14:textId="77777777" w:rsidR="0057563E" w:rsidRDefault="00000000">
      <w:pPr>
        <w:spacing w:before="80" w:after="100" w:line="340" w:lineRule="auto"/>
        <w:jc w:val="both"/>
      </w:pPr>
      <w:r>
        <w:rPr>
          <w:color w:val="2C3E50"/>
        </w:rPr>
        <w:t>[9] Biot, M.A. (1941). General theory of three-dimensional consolidation. Journal of Applied Physics, 12(2), 155–164.</w:t>
      </w:r>
    </w:p>
    <w:p w14:paraId="029EA5BB" w14:textId="77777777" w:rsidR="0057563E" w:rsidRDefault="00000000">
      <w:pPr>
        <w:spacing w:before="80" w:after="100" w:line="340" w:lineRule="auto"/>
        <w:jc w:val="both"/>
      </w:pPr>
      <w:r>
        <w:rPr>
          <w:color w:val="2C3E50"/>
        </w:rPr>
        <w:t>[10] Chaboche, J.L. (1988). Continuum damage mechanics. Journal of Applied Mechanics, 55(1), 59–72.</w:t>
      </w:r>
    </w:p>
    <w:p w14:paraId="1B48AB63" w14:textId="77777777" w:rsidR="0057563E" w:rsidRDefault="00000000">
      <w:pPr>
        <w:spacing w:before="80" w:after="100" w:line="340" w:lineRule="auto"/>
        <w:jc w:val="both"/>
      </w:pPr>
      <w:r>
        <w:rPr>
          <w:color w:val="2C3E50"/>
        </w:rPr>
        <w:t>[11] Newmark, N.M. (1959). A method of computation for structural dynamics. Journal of the Engineering Mechanics Division, ASCE, 85(3), 67–94.</w:t>
      </w:r>
    </w:p>
    <w:p w14:paraId="4DE3AE23" w14:textId="77777777" w:rsidR="0057563E" w:rsidRDefault="00000000">
      <w:pPr>
        <w:spacing w:before="80" w:after="100" w:line="340" w:lineRule="auto"/>
        <w:jc w:val="both"/>
      </w:pPr>
      <w:r>
        <w:rPr>
          <w:color w:val="2C3E50"/>
        </w:rPr>
        <w:t>[12] Faltinsen, O.M. (1990). Sea Loads on Ships and Offshore Structures. Cambridge University Press.</w:t>
      </w:r>
    </w:p>
    <w:p w14:paraId="329C55E6" w14:textId="77777777" w:rsidR="0057563E" w:rsidRDefault="00000000">
      <w:pPr>
        <w:spacing w:before="80" w:after="100" w:line="340" w:lineRule="auto"/>
        <w:jc w:val="both"/>
      </w:pPr>
      <w:r>
        <w:rPr>
          <w:color w:val="2C3E50"/>
        </w:rPr>
        <w:t>[13] Scanlan, R.H., &amp; Tomko, J.J. (1971). Airfoil and bridge deck flutter derivatives. Journal of the Engineering Mechanics Division, ASCE, 97(6), 1717–1737.</w:t>
      </w:r>
    </w:p>
    <w:p w14:paraId="32982296" w14:textId="77777777" w:rsidR="0057563E" w:rsidRDefault="00000000">
      <w:pPr>
        <w:spacing w:before="80" w:after="100" w:line="340" w:lineRule="auto"/>
        <w:jc w:val="both"/>
      </w:pPr>
      <w:r>
        <w:rPr>
          <w:color w:val="2C3E50"/>
        </w:rPr>
        <w:t>[14] Sumer, B.M., &amp; Fredsøe, J. (2002). The Mechanics of Scour in the Marine Environment. World Scientific, Singapore.</w:t>
      </w:r>
    </w:p>
    <w:p w14:paraId="117399A7" w14:textId="77777777" w:rsidR="0057563E" w:rsidRDefault="00000000">
      <w:pPr>
        <w:spacing w:before="80" w:after="100" w:line="340" w:lineRule="auto"/>
        <w:jc w:val="both"/>
      </w:pPr>
      <w:r>
        <w:rPr>
          <w:color w:val="2C3E50"/>
        </w:rPr>
        <w:t>[15] American Society of Civil Engineers. (2021). Infrastructure Report Card: Bridges. ASCE, Washington DC.</w:t>
      </w:r>
    </w:p>
    <w:p w14:paraId="1ADA683F" w14:textId="77777777" w:rsidR="0057563E" w:rsidRDefault="00000000">
      <w:pPr>
        <w:spacing w:before="80" w:after="100" w:line="340" w:lineRule="auto"/>
        <w:jc w:val="both"/>
      </w:pPr>
      <w:r>
        <w:rPr>
          <w:color w:val="2C3E50"/>
        </w:rPr>
        <w:t>[16] Federal Highway Administration. (2020). Bridge Failure Rates, Consequences, and Predictive Trends. FHWA-HRT-20-043. USDOT, Washington DC.</w:t>
      </w:r>
    </w:p>
    <w:p w14:paraId="47DE04CA" w14:textId="77777777" w:rsidR="0057563E" w:rsidRDefault="00000000">
      <w:pPr>
        <w:spacing w:before="80" w:after="100" w:line="340" w:lineRule="auto"/>
        <w:jc w:val="both"/>
      </w:pPr>
      <w:r>
        <w:rPr>
          <w:color w:val="2C3E50"/>
        </w:rPr>
        <w:t>[17] Farrar, C.R., &amp; Worden, K. (2012). Structural Health Monitoring: A Machine Learning Perspective. John Wiley &amp; Sons, Chichester.</w:t>
      </w:r>
    </w:p>
    <w:p w14:paraId="2B6A934C" w14:textId="77777777" w:rsidR="0057563E" w:rsidRDefault="00000000">
      <w:pPr>
        <w:spacing w:before="80" w:after="100" w:line="340" w:lineRule="auto"/>
        <w:jc w:val="both"/>
      </w:pPr>
      <w:r>
        <w:rPr>
          <w:color w:val="2C3E50"/>
        </w:rPr>
        <w:t>[18] Wirsching, P.H., Paez, T.L., &amp; Ortiz, K. (1995). Random Vibrations: Theory and Practice. John Wiley &amp; Sons, New York.</w:t>
      </w:r>
    </w:p>
    <w:p w14:paraId="32A1A340" w14:textId="77777777" w:rsidR="0057563E" w:rsidRDefault="00000000">
      <w:pPr>
        <w:spacing w:before="80" w:after="100" w:line="340" w:lineRule="auto"/>
        <w:jc w:val="both"/>
      </w:pPr>
      <w:r>
        <w:rPr>
          <w:color w:val="2C3E50"/>
        </w:rPr>
        <w:t>[19] Baladi, S. (2026). DAMS-SLIP: Dynamic AI-Augmented Monitoring System for Seepage, Limit-state Integrity, and Piping. Zenodo. DOI: 10.5281/zenodo.20370291.</w:t>
      </w:r>
    </w:p>
    <w:p w14:paraId="7E00A384" w14:textId="77777777" w:rsidR="0057563E" w:rsidRDefault="00000000">
      <w:pPr>
        <w:spacing w:before="80" w:after="100" w:line="340" w:lineRule="auto"/>
        <w:jc w:val="both"/>
      </w:pPr>
      <w:r>
        <w:rPr>
          <w:color w:val="2C3E50"/>
        </w:rPr>
        <w:t>[20] Baladi, S. (2026). COREX: Causal Origin Resolution and Empirical eXamination. Zenodo. DOI: 10.5281/zenodo.20351233.</w:t>
      </w:r>
    </w:p>
    <w:p w14:paraId="798DF3EA" w14:textId="77777777" w:rsidR="0057563E" w:rsidRDefault="00000000">
      <w:pPr>
        <w:spacing w:before="80" w:after="100" w:line="340" w:lineRule="auto"/>
        <w:jc w:val="both"/>
      </w:pPr>
      <w:r>
        <w:rPr>
          <w:color w:val="2C3E50"/>
        </w:rPr>
        <w:t>[21] Baladi, S. (2026). ENTRO-DASA: Dynamic Autonomous Sovereignty Algorithm. Zenodo. DOI: 10.5281/zenodo.20353988.</w:t>
      </w:r>
    </w:p>
    <w:p w14:paraId="55D346AD" w14:textId="77777777" w:rsidR="0057563E" w:rsidRDefault="00000000">
      <w:pPr>
        <w:spacing w:before="80" w:after="100" w:line="340" w:lineRule="auto"/>
        <w:jc w:val="both"/>
      </w:pPr>
      <w:r>
        <w:rPr>
          <w:color w:val="2C3E50"/>
        </w:rPr>
        <w:t>[22] DNV-GL Standard DNVGL-ST-0126. (2018). Support Structures for Wind Turbines. Det Norske Veritas, Oslo.</w:t>
      </w:r>
    </w:p>
    <w:p w14:paraId="254B3FA1" w14:textId="77777777" w:rsidR="0057563E" w:rsidRDefault="00000000">
      <w:pPr>
        <w:spacing w:before="80" w:after="100" w:line="340" w:lineRule="auto"/>
        <w:jc w:val="both"/>
      </w:pPr>
      <w:r>
        <w:rPr>
          <w:color w:val="2C3E50"/>
        </w:rPr>
        <w:t>[23] AASHTO. (2017). LRFD Bridge Design Specifications (8th ed.). American Association of State Highway and Transportation Officials, Washington DC.</w:t>
      </w:r>
    </w:p>
    <w:p w14:paraId="52D4C2BA" w14:textId="77777777" w:rsidR="0057563E" w:rsidRDefault="00000000">
      <w:pPr>
        <w:spacing w:before="80" w:after="100" w:line="340" w:lineRule="auto"/>
        <w:jc w:val="both"/>
      </w:pPr>
      <w:r>
        <w:rPr>
          <w:color w:val="2C3E50"/>
        </w:rPr>
        <w:t>[24] Wardhana, K., &amp; Hadipriono, F.C. (2003). Analysis of recent bridge failures in the United States. Journal of Performance of Constructed Facilities, 17(3), 144–150.</w:t>
      </w:r>
    </w:p>
    <w:p w14:paraId="473F3F19" w14:textId="77777777" w:rsidR="0057563E" w:rsidRDefault="00000000">
      <w:pPr>
        <w:spacing w:before="80" w:after="100" w:line="340" w:lineRule="auto"/>
        <w:jc w:val="both"/>
      </w:pPr>
      <w:r>
        <w:rPr>
          <w:color w:val="2C3E50"/>
        </w:rPr>
        <w:t>[25] Reese, L.C., &amp; Van Impe, W.F. (2011). Single Piles and Pile Groups under Lateral Loading (2nd ed.). CRC Press / Taylor &amp; Francis.</w:t>
      </w:r>
    </w:p>
    <w:sectPr w:rsidR="0057563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D2530" w14:textId="77777777" w:rsidR="000872FB" w:rsidRDefault="000872FB">
      <w:r>
        <w:separator/>
      </w:r>
    </w:p>
  </w:endnote>
  <w:endnote w:type="continuationSeparator" w:id="0">
    <w:p w14:paraId="2DEA51C3" w14:textId="77777777" w:rsidR="000872FB" w:rsidRDefault="00087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Syne">
    <w:altName w:val="Cambria"/>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2D01D" w14:textId="77777777" w:rsidR="0057563E" w:rsidRDefault="00000000">
    <w:pPr>
      <w:pBdr>
        <w:top w:val="single" w:sz="4" w:space="1" w:color="2980B9"/>
      </w:pBdr>
      <w:tabs>
        <w:tab w:val="right" w:pos="9360"/>
      </w:tabs>
    </w:pPr>
    <w:r>
      <w:rPr>
        <w:rFonts w:ascii="Courier New" w:eastAsia="Courier New" w:hAnsi="Courier New" w:cs="Courier New"/>
        <w:color w:val="839192"/>
        <w:sz w:val="16"/>
        <w:szCs w:val="16"/>
      </w:rPr>
      <w:t>Systems Safety &amp; Engineering (AI-augmented)  |  Version 1.0.0  |  MIT License  |  DOI: 10.5281/zenodo.20390646</w:t>
    </w:r>
    <w:r>
      <w:rPr>
        <w:rFonts w:ascii="Courier New" w:eastAsia="Courier New" w:hAnsi="Courier New" w:cs="Courier New"/>
        <w:color w:val="2980B9"/>
        <w:sz w:val="16"/>
        <w:szCs w:val="16"/>
      </w:rPr>
      <w:tab/>
    </w:r>
    <w:r>
      <w:rPr>
        <w:rFonts w:ascii="Courier New" w:eastAsia="Courier New" w:hAnsi="Courier New" w:cs="Courier New"/>
        <w:color w:val="2980B9"/>
        <w:sz w:val="16"/>
        <w:szCs w:val="16"/>
      </w:rPr>
      <w:tab/>
      <w:t>github.com/gitdeeper12/PIER-VIBE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5FE62" w14:textId="77777777" w:rsidR="000872FB" w:rsidRDefault="000872FB">
      <w:r>
        <w:separator/>
      </w:r>
    </w:p>
  </w:footnote>
  <w:footnote w:type="continuationSeparator" w:id="0">
    <w:p w14:paraId="2840C435" w14:textId="77777777" w:rsidR="000872FB" w:rsidRDefault="00087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9924" w14:textId="77777777" w:rsidR="0057563E" w:rsidRDefault="00000000">
    <w:pPr>
      <w:pBdr>
        <w:bottom w:val="single" w:sz="4" w:space="1" w:color="2980B9"/>
      </w:pBdr>
      <w:tabs>
        <w:tab w:val="right" w:pos="9360"/>
      </w:tabs>
    </w:pPr>
    <w:r>
      <w:rPr>
        <w:rFonts w:ascii="Syne" w:eastAsia="Syne" w:hAnsi="Syne" w:cs="Syne"/>
        <w:color w:val="566573"/>
        <w:sz w:val="18"/>
        <w:szCs w:val="18"/>
      </w:rPr>
      <w:t>PIER-VIBE — Predictive Intelligence Engine for Resonance, Vibration, and Integrity in Bridge Environments</w:t>
    </w:r>
    <w:r>
      <w:rPr>
        <w:rFonts w:ascii="Courier New" w:eastAsia="Courier New" w:hAnsi="Courier New" w:cs="Courier New"/>
        <w:i/>
        <w:iCs/>
        <w:color w:val="566573"/>
        <w:sz w:val="16"/>
        <w:szCs w:val="16"/>
      </w:rPr>
      <w:tab/>
    </w:r>
    <w:r>
      <w:rPr>
        <w:rFonts w:ascii="Courier New" w:eastAsia="Courier New" w:hAnsi="Courier New" w:cs="Courier New"/>
        <w:i/>
        <w:iCs/>
        <w:color w:val="566573"/>
        <w:sz w:val="16"/>
        <w:szCs w:val="16"/>
      </w:rPr>
      <w:tab/>
      <w:t>Baladi, 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2777"/>
    <w:multiLevelType w:val="hybridMultilevel"/>
    <w:tmpl w:val="FFFFFFFF"/>
    <w:lvl w:ilvl="0" w:tplc="53623694">
      <w:start w:val="1"/>
      <w:numFmt w:val="bullet"/>
      <w:lvlText w:val="•"/>
      <w:lvlJc w:val="left"/>
      <w:pPr>
        <w:ind w:left="720" w:hanging="360"/>
      </w:pPr>
    </w:lvl>
    <w:lvl w:ilvl="1" w:tplc="4302F1CC">
      <w:numFmt w:val="decimal"/>
      <w:lvlText w:val=""/>
      <w:lvlJc w:val="left"/>
    </w:lvl>
    <w:lvl w:ilvl="2" w:tplc="E31AF798">
      <w:numFmt w:val="decimal"/>
      <w:lvlText w:val=""/>
      <w:lvlJc w:val="left"/>
    </w:lvl>
    <w:lvl w:ilvl="3" w:tplc="39CCB126">
      <w:numFmt w:val="decimal"/>
      <w:lvlText w:val=""/>
      <w:lvlJc w:val="left"/>
    </w:lvl>
    <w:lvl w:ilvl="4" w:tplc="837CCFB6">
      <w:numFmt w:val="decimal"/>
      <w:lvlText w:val=""/>
      <w:lvlJc w:val="left"/>
    </w:lvl>
    <w:lvl w:ilvl="5" w:tplc="329291AA">
      <w:numFmt w:val="decimal"/>
      <w:lvlText w:val=""/>
      <w:lvlJc w:val="left"/>
    </w:lvl>
    <w:lvl w:ilvl="6" w:tplc="AAE24B1C">
      <w:numFmt w:val="decimal"/>
      <w:lvlText w:val=""/>
      <w:lvlJc w:val="left"/>
    </w:lvl>
    <w:lvl w:ilvl="7" w:tplc="D4BE0360">
      <w:numFmt w:val="decimal"/>
      <w:lvlText w:val=""/>
      <w:lvlJc w:val="left"/>
    </w:lvl>
    <w:lvl w:ilvl="8" w:tplc="CDE0B4CC">
      <w:numFmt w:val="decimal"/>
      <w:lvlText w:val=""/>
      <w:lvlJc w:val="left"/>
    </w:lvl>
  </w:abstractNum>
  <w:abstractNum w:abstractNumId="1" w15:restartNumberingAfterBreak="0">
    <w:nsid w:val="483A1540"/>
    <w:multiLevelType w:val="hybridMultilevel"/>
    <w:tmpl w:val="FFFFFFFF"/>
    <w:lvl w:ilvl="0" w:tplc="D0B40C2A">
      <w:start w:val="1"/>
      <w:numFmt w:val="bullet"/>
      <w:lvlText w:val="●"/>
      <w:lvlJc w:val="left"/>
      <w:pPr>
        <w:ind w:left="720" w:hanging="360"/>
      </w:pPr>
    </w:lvl>
    <w:lvl w:ilvl="1" w:tplc="0D40C8E4">
      <w:start w:val="1"/>
      <w:numFmt w:val="bullet"/>
      <w:lvlText w:val="○"/>
      <w:lvlJc w:val="left"/>
      <w:pPr>
        <w:ind w:left="1440" w:hanging="360"/>
      </w:pPr>
    </w:lvl>
    <w:lvl w:ilvl="2" w:tplc="86B69BD8">
      <w:start w:val="1"/>
      <w:numFmt w:val="bullet"/>
      <w:lvlText w:val="■"/>
      <w:lvlJc w:val="left"/>
      <w:pPr>
        <w:ind w:left="2160" w:hanging="360"/>
      </w:pPr>
    </w:lvl>
    <w:lvl w:ilvl="3" w:tplc="3C5857A8">
      <w:start w:val="1"/>
      <w:numFmt w:val="bullet"/>
      <w:lvlText w:val="●"/>
      <w:lvlJc w:val="left"/>
      <w:pPr>
        <w:ind w:left="2880" w:hanging="360"/>
      </w:pPr>
    </w:lvl>
    <w:lvl w:ilvl="4" w:tplc="3094E452">
      <w:start w:val="1"/>
      <w:numFmt w:val="bullet"/>
      <w:lvlText w:val="○"/>
      <w:lvlJc w:val="left"/>
      <w:pPr>
        <w:ind w:left="3600" w:hanging="360"/>
      </w:pPr>
    </w:lvl>
    <w:lvl w:ilvl="5" w:tplc="CFDA6AD6">
      <w:start w:val="1"/>
      <w:numFmt w:val="bullet"/>
      <w:lvlText w:val="■"/>
      <w:lvlJc w:val="left"/>
      <w:pPr>
        <w:ind w:left="4320" w:hanging="360"/>
      </w:pPr>
    </w:lvl>
    <w:lvl w:ilvl="6" w:tplc="23DC1D9E">
      <w:start w:val="1"/>
      <w:numFmt w:val="bullet"/>
      <w:lvlText w:val="●"/>
      <w:lvlJc w:val="left"/>
      <w:pPr>
        <w:ind w:left="5040" w:hanging="360"/>
      </w:pPr>
    </w:lvl>
    <w:lvl w:ilvl="7" w:tplc="BCCA3676">
      <w:start w:val="1"/>
      <w:numFmt w:val="bullet"/>
      <w:lvlText w:val="●"/>
      <w:lvlJc w:val="left"/>
      <w:pPr>
        <w:ind w:left="5760" w:hanging="360"/>
      </w:pPr>
    </w:lvl>
    <w:lvl w:ilvl="8" w:tplc="A486591A">
      <w:start w:val="1"/>
      <w:numFmt w:val="bullet"/>
      <w:lvlText w:val="●"/>
      <w:lvlJc w:val="left"/>
      <w:pPr>
        <w:ind w:left="6480" w:hanging="360"/>
      </w:pPr>
    </w:lvl>
  </w:abstractNum>
  <w:num w:numId="1" w16cid:durableId="551231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63E"/>
    <w:rsid w:val="00000D53"/>
    <w:rsid w:val="00052258"/>
    <w:rsid w:val="000872FB"/>
    <w:rsid w:val="00575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6B6E8D7"/>
  <w15:docId w15:val="{A0B35E7D-18FD-9649-A081-EFC479235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40" w:after="180"/>
      <w:outlineLvl w:val="0"/>
    </w:pPr>
    <w:rPr>
      <w:rFonts w:ascii="Syne" w:eastAsia="Syne" w:hAnsi="Syne" w:cs="Syne"/>
      <w:b/>
      <w:bCs/>
      <w:caps/>
      <w:color w:val="073B5A"/>
      <w:sz w:val="36"/>
      <w:szCs w:val="36"/>
    </w:rPr>
  </w:style>
  <w:style w:type="paragraph" w:styleId="Titre2">
    <w:name w:val="heading 2"/>
    <w:uiPriority w:val="9"/>
    <w:unhideWhenUsed/>
    <w:qFormat/>
    <w:pPr>
      <w:spacing w:before="300" w:after="120"/>
      <w:outlineLvl w:val="1"/>
    </w:pPr>
    <w:rPr>
      <w:rFonts w:ascii="Syne" w:eastAsia="Syne" w:hAnsi="Syne" w:cs="Syne"/>
      <w:b/>
      <w:bCs/>
      <w:color w:val="1A5276"/>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8361</Words>
  <Characters>45990</Characters>
  <Application>Microsoft Office Word</Application>
  <DocSecurity>0</DocSecurity>
  <Lines>383</Lines>
  <Paragraphs>108</Paragraphs>
  <ScaleCrop>false</ScaleCrop>
  <Company/>
  <LinksUpToDate>false</LinksUpToDate>
  <CharactersWithSpaces>54243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Samir Marouni</cp:lastModifiedBy>
  <cp:revision>2</cp:revision>
  <dcterms:created xsi:type="dcterms:W3CDTF">2026-05-26T06:31:00Z</dcterms:created>
  <dcterms:modified xsi:type="dcterms:W3CDTF">2026-05-26T08:57:00Z</dcterms:modified>
</cp:coreProperties>
</file>