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172A"/>
          <w:sz w:val="48"/>
        </w:rPr>
        <w:t>Domain-Driven Design (DDD) Document</w:t>
      </w:r>
    </w:p>
    <w:p>
      <w:pPr>
        <w:spacing w:after="320"/>
      </w:pPr>
      <w:r>
        <w:rPr>
          <w:color w:val="64748B"/>
          <w:sz w:val="26"/>
        </w:rPr>
        <w:t>Strategic Domain Analysis, Bounded Contexts &amp; Aggregate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Document Ref: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DDD-MCP-1.0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Version: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1.0.0 (Air-Gapped Enterprise Edition)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July 2026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Classification: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Internal Technical &amp; Operational Document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1. Strategic Domain Analysis &amp; Bounded Contexts</w:t>
      </w:r>
    </w:p>
    <w:p>
      <w:r>
        <w:t>The MCP Server Manager application is organized into four core Bounded Contexts: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Bounded Context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Ubiquitous Language Terms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Tool &amp; API Catalog Context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ToolDefinition, OpenAPI Spec, CatalogSync, RawAPI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Parses OpenAPI specs, extracts request/response schemas, manages tool registry.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Agent Execution Context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AgentQuery, ToolCall, SchemaValidation, StreamChunk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Constructs LLM prompts, executes tools, enforces parameter rules, streams responses.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IAM &amp; Access Control Context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Role, FeatureAccess, UserRoleAssignment, Permission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Manages Keycloak tokens, RBAC permission matrix, user-to-role mappings.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Governance &amp; Audit Context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AuditLog, HealthStatus, SyncError, RegistryState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Tracks sync health, consecutive failures, records immutable audit trails.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2. Ubiquitous Language Dictionary</w:t>
      </w:r>
    </w:p>
    <w:p>
      <w:r>
        <w:t>• Tool: An executable API unit (OpenAPI path or MCP tool) with defined input schema.</w:t>
      </w:r>
    </w:p>
    <w:p>
      <w:r>
        <w:t>• Feature Access Matrix: A mapping of System Roles to Feature Keys controlling module permissions.</w:t>
      </w:r>
    </w:p>
    <w:p>
      <w:r>
        <w:t>• Air-Gapped Mode: Operation mode wherein external network calls are blocked and fallback tools are invoked locally.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