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172A"/>
          <w:sz w:val="48"/>
        </w:rPr>
        <w:t>Software Design Document (SDD)</w:t>
      </w:r>
    </w:p>
    <w:p>
      <w:pPr>
        <w:spacing w:after="320"/>
      </w:pPr>
      <w:r>
        <w:rPr>
          <w:color w:val="64748B"/>
          <w:sz w:val="26"/>
        </w:rPr>
        <w:t>Comprehensive System Architecture &amp; Technical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Document Ref: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SDD-MCP-1.0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Version: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1.0.0 (Air-Gapped Enterprise Edition)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July 2026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9"/>
              </w:rPr>
              <w:t>Classification: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Internal Technical &amp; Operational Document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1. Architecture Overview</w:t>
      </w:r>
    </w:p>
    <w:p>
      <w:r>
        <w:t>The MCP Server Manager is built on a decoupled microservices architecture designed for air-gapped high-availability deployments. The system comprises a Next.js 15 frontend container, a FastAPI Python 3.11 backend container, PostgreSQL 17 primary database, Redis caching &amp; state store, Keycloak identity manager, and a local Ollama LLM execution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Container Service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 &amp; Responsibilities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mcp-frontend-dev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Next.js 15, React 19, Tailwind CSS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3000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Responsive user interface, auth state management, streaming chat UI.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mcp-backend-dev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FastAPI, Python 3.11, SQLAlchemy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8000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Tool catalog management, agent routing, OpenAPI parsing, RBAC enforcement.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keycloak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Keycloak 26, Quarkus Engine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8080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OpenID Connect (OIDC) authentication, token issuance, user identity store.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langfuse_postgres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PostgreSQL 17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5432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Relational database for servers, raw APIs, tools, endpoints, RBAC matrix, audit logs.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mcp-redis-dev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Redis Alpine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6380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Distributed session storage, catalog caching, streaming event queues.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ollama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Ollama LLM Server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11434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Local air-gapped inference server (gemma4:31b, llama3, qwen).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2. Database Schema &amp; Object Data Model</w:t>
      </w:r>
    </w:p>
    <w:p>
      <w:r>
        <w:t>The persistent database layer utilizes SQLAlchemy ORM models backed by PostgreSQL 17: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Model Class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Columns &amp; Constraints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BaseURLModel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raw_apis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name (unique), url, openapi_path, sync_mode, registry_state, is_enabled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ServerModel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mcp_servers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name (unique), url, domain_type, health_status, selected_tools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MCPToolModel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mcp_tools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source_type, owner_id, name, method, path, description, is_enabled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APIEndpointModel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api_endpoints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owner_id, method, path, description, exposed_to_mcp, exposure_approved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FeatureAccessModel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feature_access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role_name, feature_key, is_allowed (unique: role_name + feature_key)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UserRoleAssignmentModel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user_role_assignments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username (unique), role_name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AuditLogModel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audit_logs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id, actor, action, resource_type, resource_id, before_state, after_state, created_on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b/>
          <w:color w:val="1E3A8A"/>
          <w:sz w:val="36"/>
        </w:rPr>
        <w:t>3. Security &amp; Authentication Architecture</w:t>
      </w:r>
    </w:p>
    <w:p>
      <w:r>
        <w:t>Authentication uses OAuth 2.0 / OpenID Connect (OIDC) Code Flow with PKCE (Proof Key for Code Exchange). For non-secure HTTP IP origins where Web Crypto APIs are restricted by browsers, PKCE challenges are computed via a 100% pure JavaScript SHA-256 implementation (sha256PureJs) in auth.ts.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