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b/>
          <w:color w:val="0F172A"/>
          <w:sz w:val="48"/>
        </w:rPr>
        <w:t>Software Requirements Specification (SRS)</w:t>
      </w:r>
    </w:p>
    <w:p>
      <w:pPr>
        <w:spacing w:after="320"/>
      </w:pPr>
      <w:r>
        <w:rPr>
          <w:color w:val="64748B"/>
          <w:sz w:val="26"/>
        </w:rPr>
        <w:t>Functional, Non-Functional, and Interface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Document Ref: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SRS-MCP-1.0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Version: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1.0.0 (Air-Gapped Enterprise Edition)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Date: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July 2026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Classification: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Internal Technical &amp; Operational Document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b/>
          <w:color w:val="1E3A8A"/>
          <w:sz w:val="36"/>
        </w:rPr>
        <w:t>1. 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REQ-ID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Requirement Specification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FR-01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Tool Catalog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The system shall automatically parse OpenAPI specs and register REST paths as usable tools.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FR-02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MCP Transport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The system shall establish SSE / HTTP stream connections to remote MCP servers.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FR-03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Agent Execution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The LLM agent shall evaluate natural language queries, extract arguments, and invoke target tools.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FR-04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Parameter Rules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The agent prompt shall inject full OpenAPI Request Schemas and prompt users for missing required fields.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FR-05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User RBAC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The system shall enforce feature-level permissions per role and enable dynamic admin configuration.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FR-06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SSO Auth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The application shall support Keycloak OpenID Connect authentication with offline PKCE fallback.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Medium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FR-07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Audit Trail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All administrative mutations (creates, updates, deletes, toggles) shall record an audit log entry.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Medium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b/>
          <w:color w:val="1E3A8A"/>
          <w:sz w:val="36"/>
        </w:rPr>
        <w:t>2. Non-Functional Requirements</w:t>
      </w:r>
    </w:p>
    <w:p>
      <w:r>
        <w:t>• NFR-01 (Air-Gapped Operation): The system MUST operate without internet connectivity or CDN downloads.</w:t>
      </w:r>
    </w:p>
    <w:p>
      <w:r>
        <w:t>• NFR-02 (Performance): Tool execution stream turnaround time shall be less than 4.0 seconds.</w:t>
      </w:r>
    </w:p>
    <w:p>
      <w:r>
        <w:t>• NFR-03 (Availability): Container restart resilience with persistent PostgreSQL and Redis state.</w:t>
      </w:r>
    </w:p>
    <w:p>
      <w:r>
        <w:t>• NFR-04 (Usability): Responsive dark/light theme support with automatic input focus and copy fallbacks.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