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Software Requirements Specification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SRS Document for MCP Server Manager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Executive Summary &amp; Purpose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This document specifies the functional, non-functional, and interface requirements for the MCP Server Manager. The platform acts as a centralized gateway for exposing OpenAPI microservices and native MCP tools to AI assistants and external clients with strict role-based access control (RBAC).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8"/>
        </w:rPr>
        <w:t>Figure: Core System Functional Modules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Key Functional Requirements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FR-01: Multi-Tenant Data Isolation: </w:t>
      </w:r>
      <w:r>
        <w:rPr>
          <w:rFonts w:ascii="Arial" w:hAnsi="Arial"/>
          <w:color w:val="1E293B"/>
          <w:sz w:val="20"/>
        </w:rPr>
        <w:t>Developers must strictly view and modify only applications, servers, tools, and endpoints registered by their own user ID.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FR-02: Role-Based Access Control: </w:t>
      </w:r>
      <w:r>
        <w:rPr>
          <w:rFonts w:ascii="Arial" w:hAnsi="Arial"/>
          <w:color w:val="1E293B"/>
          <w:sz w:val="20"/>
        </w:rPr>
        <w:t>Admins maintain full system oversight. Audit logs and global tenant settings are strictly restricted to admin roles.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FR-03: Combined FastMCP Server: </w:t>
      </w:r>
      <w:r>
        <w:rPr>
          <w:rFonts w:ascii="Arial" w:hAnsi="Arial"/>
          <w:color w:val="1E293B"/>
          <w:sz w:val="20"/>
        </w:rPr>
        <w:t>Expose unified OpenAPI operations and MCP tools under `/mcp/apps` via Streamable HTTP &amp; SSE transport with JSON-RPC 2.0 protocol.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FR-04: Dynamic Database Schema Sync: </w:t>
      </w:r>
      <w:r>
        <w:rPr>
          <w:rFonts w:ascii="Arial" w:hAnsi="Arial"/>
          <w:color w:val="1E293B"/>
          <w:sz w:val="20"/>
        </w:rPr>
        <w:t>On startup, inspect all model schemas and automatically issue `ALTER TABLE ... ADD COLUMN IF NOT EXISTS` for altered models.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3.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Requirement Specification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Target Metric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Security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JWT validation via Bearer Header, Cookie, or Token Query Param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0 Unauthenticated Data Leaks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Performance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Cached catalog responses &amp; Redis namespaced key lookups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&lt; 50ms Catalog Response Time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Reliability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Automatic DB reconnect &amp; startup health diagnostics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99.9% Uptime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