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4"/>
        </w:rPr>
        <w:t>MCP Server Manager</w:t>
      </w:r>
    </w:p>
    <w:p>
      <w:pPr>
        <w:jc w:val="center"/>
      </w:pPr>
      <w:r>
        <w:rPr>
          <w:rFonts w:ascii="Arial" w:hAnsi="Arial"/>
          <w:i/>
          <w:color w:val="0891B2"/>
          <w:sz w:val="24"/>
        </w:rPr>
        <w:t>System Architecture, Component Breakdown &amp; Workflow Presentation Guide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8FF"/>
          </w:tcPr>
          <w:p>
            <w:pPr>
              <w:spacing w:before="120" w:after="120"/>
              <w:ind w:left="120"/>
            </w:pPr>
            <w:r>
              <w:rPr>
                <w:rFonts w:ascii="Arial" w:hAnsi="Arial"/>
                <w:b/>
                <w:sz w:val="19"/>
              </w:rPr>
              <w:t xml:space="preserve">[EXECUTIVE] </w:t>
            </w:r>
            <w:r>
              <w:rPr>
                <w:rFonts w:ascii="Arial" w:hAnsi="Arial"/>
                <w:sz w:val="19"/>
              </w:rPr>
              <w:t>This guide is designed for technical presentation to engineering leadership and management. It details the end-to-end operational architecture, exact file locations, primary function signatures, security enforcement, and workflow flowcharts.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0"/>
        </w:rPr>
        <w:t>1. Executive System Architecture &amp; Operating Principles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The MCP Server Manager (MCP-Server-Manager) is an enterprise control plane that centralizes microservice OpenAPI registrations and native Model Context Protocol (MCP) servers into a unified, security-hardened gateway (`/mcp/apps`).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Unified Tool Gateway: </w:t>
      </w:r>
      <w:r>
        <w:rPr>
          <w:rFonts w:ascii="Arial" w:hAnsi="Arial"/>
          <w:color w:val="1E293B"/>
          <w:sz w:val="19"/>
        </w:rPr>
        <w:t>Exposes REST microservices and MCP servers as standard MCP tools via FastMCP 3.4.4 streamable HTTP and SSE transports.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Strict Multi-Tenant Isolation: </w:t>
      </w:r>
      <w:r>
        <w:rPr>
          <w:rFonts w:ascii="Arial" w:hAnsi="Arial"/>
          <w:color w:val="1E293B"/>
          <w:sz w:val="19"/>
        </w:rPr>
        <w:t>Developers can only view, manage, and execute tools registered under their own user ID (`created_by_user_id`), preventing cross-tenant data leakage.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Role-Based Access Control (RBAC): </w:t>
      </w:r>
      <w:r>
        <w:rPr>
          <w:rFonts w:ascii="Arial" w:hAnsi="Arial"/>
          <w:color w:val="1E293B"/>
          <w:sz w:val="19"/>
        </w:rPr>
        <w:t>Integrated with Keycloak OIDC identity provider. Audit logs, global tenant policies, and user management are strictly restricted to Admin roles.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Dynamic Startup Schema Auto-Sync: </w:t>
      </w:r>
      <w:r>
        <w:rPr>
          <w:rFonts w:ascii="Arial" w:hAnsi="Arial"/>
          <w:color w:val="1E293B"/>
          <w:sz w:val="19"/>
        </w:rPr>
        <w:t>On application boot, `ensure_dynamic_schema_migrations()` automatically inspects all SQLAlchemy model declarations against live database tables and executes `ALTER TABLE ... ADD COLUMN IF NOT EXISTS` seamlessly.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Figure: End-to-End User Authentication &amp; Tenant Isolation Request Flowchart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0"/>
        </w:rPr>
        <w:t>2. Frontend Architecture &amp; Component Matrix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The frontend layer is built with Next.js 16 (App Router), TailwindCSS, and TypeScript. All client requests route through a serverless proxy layer to enforce HMAC signature validation and credentials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Primary Functions &amp; Components</w:t>
            </w:r>
          </w:p>
        </w:tc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Operational Responsibility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frontend/app/api/proxy/[...path]/route.ts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handleProxy(req, { params })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Next.js API proxy handler. Signs outgoing requests with HMAC headers (X-Signature, X-Timestamp), forwards HttpOnly auth cookies, and manages failover routing across target origins.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frontend/services/http.ts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authenticatedFetch(input, init)</w:t>
              <w:br/>
              <w:t>http&lt;T&gt;(path, options)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Centralized HTTP utility layer. Manages credentials inclusion (`credentials: 'include'`), handles 401 session expiration redirects, and formats standard JSON responses.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frontend/components/Navigation.tsx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Navigation({ pageTitle })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Main layout navigation bar. Dynamically fetches current user role from `/api/me` and renders navigation tabs (Admin tab rendered for both Admin and Developer roles).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frontend/app/admin/page.tsx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loadCurrentUser()</w:t>
              <w:br/>
              <w:t>fetchAll()</w:t>
              <w:br/>
              <w:t>TABS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Admin Panel. Displays dashboard statistics, registered applications, MCP servers, tools, and API endpoints. Developers view only their owned resources; Audit tab is restricted to Admins.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frontend/app/playground/page.tsx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PlaygroundPage()</w:t>
              <w:br/>
              <w:t>fetchData()</w:t>
              <w:br/>
              <w:t>handleAppSelect()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Interactive AI Tool Testing Playground. Loads application tool catalog via `/mcp/openapi/catalog` and sends prompt test queries to `/agent/playground/query`.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frontend/app/mcp-endpoints/page.tsx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McpEndpointsPage()</w:t>
              <w:br/>
              <w:t>fetchData()</w:t>
              <w:br/>
              <w:t>copyUrl()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Combined MCP Endpoints Hero page. Displays the absolute server URL (`/api/proxy/mcp/apps`), combined tool count, health summary, and fallback text copy utilities.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0"/>
        </w:rPr>
        <w:t>3. Backend Engine Architecture &amp; Function Reference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The backend is implemented in FastAPI (Python 3.11) with SQLAlchemy ORM, Redis caching, Keycloak OIDC validation, and FastMCP runtime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 Function / Class Signatures</w:t>
            </w:r>
          </w:p>
        </w:tc>
        <w:tc>
          <w:tcPr>
            <w:tcW w:type="dxa" w:w="288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Operational Responsibility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backend/app/main.py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init_db()</w:t>
              <w:br/>
              <w:t>ensure_dynamic_schema_migrations()</w:t>
              <w:br/>
              <w:t>JWTAuthASGIMiddleware</w:t>
              <w:br/>
              <w:t>CombinedAppsOpenAPIMCP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 entrypoint. Initializes database schema auto-migrations on boot, mounts `/mcp/apps` FastMCP ASGI application, and validates Bearer/Cookie/Query JWT auth.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backend/app/core/rbac.py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get_request_actor(request)</w:t>
              <w:br/>
              <w:t>require_role(allowed_roles)</w:t>
              <w:br/>
              <w:t>verify_resource_ownership()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RBAC &amp; Security core module. Decodes Keycloak JWT tokens, extracts primary role (`admin`, `developer`), and enforces tenant resource ownership validation.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backend/app/core/cache.py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cache_get_json(key)</w:t>
              <w:br/>
              <w:t>cache_set_json(key, value)</w:t>
              <w:br/>
              <w:t>cache_delete_prefix(prefix)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Redis cache layer. Caches status responses using user-namespaced keys (`status:servers:...:{sub}`) to prevent cross-tenant cache contamination.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backend/app/routers/catalog.py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create_catalog_router()</w:t>
              <w:br/>
              <w:t>get_openapi_tool_catalog()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Unified Catalog Router. Serves `/mcp/openapi/catalog`. Filters active apps and tools by `created_by_user_id` for developers and returns aligned `summary` stats.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backend/app/routers/base_urls.py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create_base_urls_router()</w:t>
              <w:br/>
              <w:t>list_base_urls()</w:t>
              <w:br/>
              <w:t>register_base_url()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Application Registry Router. Handles `/base-urls` CRUD operations. Enforces regex URL validation, duplicate URL checks, and developer tenant isolation.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backend/app/routers/servers.py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create_servers_router()</w:t>
              <w:br/>
              <w:t>list_servers()</w:t>
              <w:br/>
              <w:t>register_server()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MCP Server Router. Manages `/servers` registrations, performs connectivity probing (`discover_server_tools`), and isolates server queries by developer ID.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backend/app/routers/tools.py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create_tools_router()</w:t>
              <w:br/>
              <w:t>list_tools()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Tool Registry Router. Manages `/tools` query listings and status updates. Filters tools based on active parent server/app ownership.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backend/app/routers/endpoints.py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create_endpoints_router()</w:t>
              <w:br/>
              <w:t>list_endpoints()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API Endpoint Router. Manages `/endpoints` registry with owner ID prefixes (`app:{name}` and `mcp:{name}`) and MCP exposure toggle states.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backend/app/routers/audit.py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create_audit_router()</w:t>
              <w:br/>
              <w:t>get_audit_logs()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Audit Log Router. Strictly guarded by `Depends(require_role(['admin']))`. Returns system activity logs for compliance.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backend/app/routers/agent.py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create_agent_router()</w:t>
              <w:br/>
              <w:t>agent_query()</w:t>
              <w:br/>
              <w:t>playground_query()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AI Agent Execution Router. Interfaces with Ollama LLM (`/agent/query`) and restricts available tools strictly to the developer's owned applications.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backend/app/services/registry/exposure_service.py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resolve_exposable_tools()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Exposure Calculation Engine. Computes effective tool access modes (`allow`, `approval`, `deny`) against `access_policies` and DB registry tables.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0"/>
        </w:rPr>
        <w:t>4. Combined MCP Endpoint &amp; Client Protocol Compatibility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External AI assistants and MCP clients (e.g. Claude Desktop, Cursor, AGY CLI) connect to the combined endpoint (`/mcp/apps`) using standard JSON-RPC 2.0 over FastMCP Streamable HTTP / SSE transport.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8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_cli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Figure: MCP Client Interaction Sequence (Handshake, Discovery &amp; Tool Invocation)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891B2"/>
          <w:sz w:val="24"/>
        </w:rPr>
        <w:t>MCP Protocol Step-by-Step Execution Sequence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1. Authentication Handshake: </w:t>
      </w:r>
      <w:r>
        <w:rPr>
          <w:rFonts w:ascii="Arial" w:hAnsi="Arial"/>
          <w:color w:val="1E293B"/>
          <w:sz w:val="19"/>
        </w:rPr>
        <w:t>The MCP client connects to `/mcp/apps/` providing authentication via `Authorization: Bearer &lt;token&gt;`, `access_token` cookie, or URL parameter `?token=&lt;token&gt;`.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2. Protocol Initialization: </w:t>
      </w:r>
      <w:r>
        <w:rPr>
          <w:rFonts w:ascii="Arial" w:hAnsi="Arial"/>
          <w:color w:val="1E293B"/>
          <w:sz w:val="19"/>
        </w:rPr>
        <w:t>Client sends `initialize` JSON-RPC 2.0 request (`Accept: application/json, text/event-stream`). Server responds with `200 OK`, returning server capabilities and `Mcp-Session-Id` header.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3. Tool Discovery (tools/list): </w:t>
      </w:r>
      <w:r>
        <w:rPr>
          <w:rFonts w:ascii="Arial" w:hAnsi="Arial"/>
          <w:color w:val="1E293B"/>
          <w:sz w:val="19"/>
        </w:rPr>
        <w:t>Client calls `tools/list` with `Mcp-Session-Id` header. Server returns full JSON schema for all 30 exposed tools.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19"/>
        </w:rPr>
        <w:t xml:space="preserve">4. Tool Invocation (tools/call): </w:t>
      </w:r>
      <w:r>
        <w:rPr>
          <w:rFonts w:ascii="Arial" w:hAnsi="Arial"/>
          <w:color w:val="1E293B"/>
          <w:sz w:val="19"/>
        </w:rPr>
        <w:t>Client executes a tool (e.g. `mcp_client_secure__health_health_get`). Server verifies access policy, executes upstream HTTP call, and returns `structuredContent` result.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120" w:after="120"/>
              <w:ind w:left="120"/>
            </w:pPr>
            <w:r>
              <w:rPr>
                <w:rFonts w:ascii="Arial" w:hAnsi="Arial"/>
                <w:b/>
                <w:sz w:val="19"/>
              </w:rPr>
              <w:t xml:space="preserve">[SUCCESS] </w:t>
            </w:r>
            <w:r>
              <w:rPr>
                <w:rFonts w:ascii="Arial" w:hAnsi="Arial"/>
                <w:sz w:val="19"/>
              </w:rPr>
              <w:t>All 6 approval documents (.docx) and architecture guides have been compiled and verified in the documents/ directory.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