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C3AED"/>
          <w:sz w:val="48"/>
        </w:rPr>
        <w:t>Test Plan &amp; Verification Report</w:t>
      </w:r>
    </w:p>
    <w:p>
      <w:pPr>
        <w:jc w:val="center"/>
      </w:pPr>
      <w:r>
        <w:rPr>
          <w:rFonts w:ascii="Arial" w:hAnsi="Arial"/>
          <w:i/>
          <w:color w:val="0891B2"/>
          <w:sz w:val="26"/>
        </w:rPr>
        <w:t>Comprehensive QA Specification</w:t>
      </w:r>
    </w:p>
    <w:p>
      <w:pPr>
        <w:spacing w:after="24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2"/>
        </w:rPr>
        <w:t>1. Scope &amp; Verification Strategy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The QA strategy covers unit testing, integration testing, cross-tenant isolation verification, and MCP JSON-RPC protocol compliance testing.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2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2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4748B"/>
          <w:sz w:val="18"/>
        </w:rPr>
        <w:t>Figure: Test Execution Verification Breakdown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2"/>
        </w:rPr>
        <w:t>2. Execution Results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C3AE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Test Suite</w:t>
            </w:r>
          </w:p>
        </w:tc>
        <w:tc>
          <w:tcPr>
            <w:tcW w:type="dxa" w:w="2160"/>
            <w:shd w:fill="7C3AE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Focus Area</w:t>
            </w:r>
          </w:p>
        </w:tc>
        <w:tc>
          <w:tcPr>
            <w:tcW w:type="dxa" w:w="2160"/>
            <w:shd w:fill="7C3AE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Executions</w:t>
            </w:r>
          </w:p>
        </w:tc>
        <w:tc>
          <w:tcPr>
            <w:tcW w:type="dxa" w:w="2160"/>
            <w:shd w:fill="7C3AE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test_security.py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Tenant Isolation &amp; Auth Guards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4 Tests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PASSED (100%)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test_ws_ticket_suite.py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WebSocket Ticket Security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5 Tests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PASSED (100%)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FastMCP Protocol Verification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JSON-RPC initialize, tools/list, tools/call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3 Specs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PASSED (100%)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Startup Schema Auto-Sync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Dynamic ALTER TABLE Column Sync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1 Spec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PASSED (100%)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CFDF5"/>
          </w:tcPr>
          <w:p>
            <w:pPr>
              <w:spacing w:before="120" w:after="120"/>
              <w:ind w:left="120"/>
            </w:pPr>
            <w:r>
              <w:rPr>
                <w:rFonts w:ascii="Arial" w:hAnsi="Arial"/>
                <w:b/>
                <w:sz w:val="20"/>
              </w:rPr>
              <w:t xml:space="preserve">[SUCCESS] </w:t>
            </w:r>
            <w:r>
              <w:rPr>
                <w:rFonts w:ascii="Arial" w:hAnsi="Arial"/>
                <w:sz w:val="20"/>
              </w:rPr>
              <w:t>All 9/9 backend unit tests passed cleanly with 0 failures or regressions.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