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48"/>
        </w:rPr>
        <w:t>User Manual</w:t>
      </w:r>
    </w:p>
    <w:p>
      <w:pPr>
        <w:jc w:val="center"/>
      </w:pPr>
      <w:r>
        <w:rPr>
          <w:rFonts w:ascii="Arial" w:hAnsi="Arial"/>
          <w:i/>
          <w:color w:val="0891B2"/>
          <w:sz w:val="26"/>
        </w:rPr>
        <w:t>Operational Guide for MCP Server Manager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1. Getting Started &amp; Authentication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Log in using your organizational credentials via Keycloak OIDC. Depending on your assigned role (Admin or Developer), your accessible features and dashboard views are automatically tailored.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2. Role-Based Capabilities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Developer Role: </w:t>
      </w:r>
      <w:r>
        <w:rPr>
          <w:rFonts w:ascii="Arial" w:hAnsi="Arial"/>
          <w:color w:val="1E293B"/>
          <w:sz w:val="20"/>
        </w:rPr>
        <w:t>Access your registered applications, MCP servers, Playground testing environment, and API endpoints. You only see tools owned by your account.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Admin Role: </w:t>
      </w:r>
      <w:r>
        <w:rPr>
          <w:rFonts w:ascii="Arial" w:hAnsi="Arial"/>
          <w:color w:val="1E293B"/>
          <w:sz w:val="20"/>
        </w:rPr>
        <w:t>Access system-wide overview, manage all developer applications, approve exposure policies, and view Audit Logs.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3. Connecting MCP Clients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To connect Claude Desktop, Cursor, or AGY CLI to the Combined MCP Server, use the absolute URL provided on the MCP Endpoints page: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</w:tcPr>
          <w:p>
            <w:pPr>
              <w:spacing w:before="120" w:after="120"/>
              <w:ind w:left="120"/>
            </w:pPr>
            <w:r>
              <w:rPr>
                <w:rFonts w:ascii="Arial" w:hAnsi="Arial"/>
                <w:b/>
                <w:sz w:val="20"/>
              </w:rPr>
              <w:t xml:space="preserve">[NOTE] </w:t>
            </w:r>
            <w:r>
              <w:rPr>
                <w:rFonts w:ascii="Arial" w:hAnsi="Arial"/>
                <w:sz w:val="20"/>
              </w:rPr>
              <w:t>URL: http://&lt;your-domain&gt;:3000/api/proxy/mcp/apps/</w:t>
              <w:br/>
              <w:t>Header: Authorization: Bearer &lt;JWT_TOKEN&gt;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