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7C3AED"/>
          <w:sz w:val="48"/>
        </w:rPr>
        <w:t>Domain-Driven Design (DDD)</w:t>
      </w:r>
    </w:p>
    <w:p>
      <w:pPr>
        <w:jc w:val="center"/>
      </w:pPr>
      <w:r>
        <w:rPr>
          <w:rFonts w:ascii="Arial" w:hAnsi="Arial"/>
          <w:i/>
          <w:color w:val="0891B2"/>
          <w:sz w:val="26"/>
        </w:rPr>
        <w:t>Architectural Bounded Contexts &amp; Aggregate Models</w:t>
      </w:r>
    </w:p>
    <w:p>
      <w:pPr>
        <w:spacing w:after="240"/>
      </w:pPr>
    </w:p>
    <w:p>
      <w:pPr>
        <w:pStyle w:val="Heading1"/>
        <w:spacing w:before="320" w:after="120"/>
      </w:pPr>
      <w:r>
        <w:rPr>
          <w:rFonts w:ascii="Arial" w:hAnsi="Arial"/>
          <w:b/>
          <w:color w:val="7C3AED"/>
          <w:sz w:val="32"/>
        </w:rPr>
        <w:t>1. Strategic Design &amp; Bounded Contexts</w:t>
      </w:r>
    </w:p>
    <w:p>
      <w:pPr>
        <w:spacing w:after="120" w:line="276" w:lineRule="auto"/>
      </w:pPr>
      <w:r>
        <w:rPr>
          <w:rFonts w:ascii="Arial" w:hAnsi="Arial"/>
          <w:color w:val="1E293B"/>
          <w:sz w:val="21"/>
        </w:rPr>
        <w:t>The system architecture is structured into three primary Bounded Contexts: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23571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dd_context_ma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357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hAnsi="Arial"/>
          <w:i/>
          <w:color w:val="64748B"/>
          <w:sz w:val="18"/>
        </w:rPr>
        <w:t>Figure: Bounded Context Map and Relationships</w:t>
      </w:r>
    </w:p>
    <w:p>
      <w:pPr>
        <w:pStyle w:val="Heading1"/>
        <w:spacing w:before="320" w:after="120"/>
      </w:pPr>
      <w:r>
        <w:rPr>
          <w:rFonts w:ascii="Arial" w:hAnsi="Arial"/>
          <w:b/>
          <w:color w:val="7C3AED"/>
          <w:sz w:val="32"/>
        </w:rPr>
        <w:t>2. Domain Aggregates &amp; Repositories</w:t>
      </w:r>
    </w:p>
    <w:p>
      <w:pPr>
        <w:pStyle w:val="ListBullet"/>
        <w:spacing w:after="60"/>
      </w:pPr>
      <w:r>
        <w:rPr>
          <w:rFonts w:ascii="Arial" w:hAnsi="Arial"/>
          <w:b/>
          <w:color w:val="7C3AED"/>
          <w:sz w:val="20"/>
        </w:rPr>
        <w:t xml:space="preserve">Application Aggregate: </w:t>
      </w:r>
      <w:r>
        <w:rPr>
          <w:rFonts w:ascii="Arial" w:hAnsi="Arial"/>
          <w:color w:val="1E293B"/>
          <w:sz w:val="20"/>
        </w:rPr>
        <w:t>Root: BaseURLModel. Encapsulates registered base URLs, openapi path, and selected endpoints.</w:t>
      </w:r>
    </w:p>
    <w:p>
      <w:pPr>
        <w:pStyle w:val="ListBullet"/>
        <w:spacing w:after="60"/>
      </w:pPr>
      <w:r>
        <w:rPr>
          <w:rFonts w:ascii="Arial" w:hAnsi="Arial"/>
          <w:b/>
          <w:color w:val="7C3AED"/>
          <w:sz w:val="20"/>
        </w:rPr>
        <w:t xml:space="preserve">MCP Server Aggregate: </w:t>
      </w:r>
      <w:r>
        <w:rPr>
          <w:rFonts w:ascii="Arial" w:hAnsi="Arial"/>
          <w:color w:val="1E293B"/>
          <w:sz w:val="20"/>
        </w:rPr>
        <w:t>Root: ServerModel. Encapsulates MCP server metadata, health status, and tool selections.</w:t>
      </w:r>
    </w:p>
    <w:p>
      <w:pPr>
        <w:pStyle w:val="ListBullet"/>
        <w:spacing w:after="60"/>
      </w:pPr>
      <w:r>
        <w:rPr>
          <w:rFonts w:ascii="Arial" w:hAnsi="Arial"/>
          <w:b/>
          <w:color w:val="7C3AED"/>
          <w:sz w:val="20"/>
        </w:rPr>
        <w:t xml:space="preserve">Exposure Aggregate: </w:t>
      </w:r>
      <w:r>
        <w:rPr>
          <w:rFonts w:ascii="Arial" w:hAnsi="Arial"/>
          <w:color w:val="1E293B"/>
          <w:sz w:val="20"/>
        </w:rPr>
        <w:t>Root: AccessPolicyModel. Defines effective access modes (allow, approval, deny) per tool.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