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Standort Krypto — 7. September 2026</w:t>
      </w:r>
    </w:p>
    <w:p>
      <w:pPr>
        <w:spacing w:after="40"/>
      </w:pPr>
      <w:r>
        <w:rPr>
          <w:b w:val="0"/>
          <w:color w:val="555555"/>
          <w:sz w:val="22"/>
        </w:rPr>
        <w:t>Wo die Bewertungsebene steht, je Strategie und je Kettenstufe. Alle Zahlen beim Erzeugen aus dem laufenden System gelesen.</w:t>
      </w:r>
    </w:p>
    <w:p>
      <w:pPr>
        <w:spacing w:after="280"/>
      </w:pPr>
      <w:r>
        <w:rPr>
          <w:b w:val="0"/>
          <w:color w:val="555555"/>
          <w:sz w:val="18"/>
        </w:rPr>
        <w:t>Messbasis 524 Krypto-Symbole · Watchlist 44 Krypto · Suite 2.000 Prüfungen, alle bestanden</w:t>
      </w:r>
    </w:p>
    <w:p>
      <w:pPr>
        <w:pStyle w:val="Heading1"/>
      </w:pPr>
      <w:r>
        <w:t>Die Lage in drei Sätzen</w:t>
      </w:r>
    </w:p>
    <w:p>
      <w:pPr>
        <w:spacing w:before="120" w:after="200"/>
        <w:ind w:left="340"/>
      </w:pPr>
      <w:r>
        <w:rPr>
          <w:b/>
          <w:color w:val="1F3D6B"/>
          <w:sz w:val="21"/>
        </w:rPr>
        <w:t>Für `einstieg` entscheidet die Bewertung mit zwei belegten Beiträgen. Für `akkumulation` entscheidet sie gar nicht — dort gilt kein Beitrag, und die Stufe winkt bewusst durch.</w:t>
      </w:r>
    </w:p>
    <w:p>
      <w:pPr>
        <w:spacing w:after="120"/>
      </w:pPr>
      <w:r>
        <w:rPr>
          <w:b w:val="0"/>
          <w:sz w:val="21"/>
        </w:rPr>
        <w:t>Es gibt einen dritten Kandidaten, der beide Strategien bedienen könnte: der Abstand zum eigenen 200-Tage-Schnitt. Er deckt als einziger alle Symbole ab, ist kaum redundant — und seine Stabilität über die Zeit ist mit den vorhandenen Daten nicht entscheidbar.</w:t>
      </w:r>
    </w:p>
    <w:p>
      <w:pPr>
        <w:pStyle w:val="Heading1"/>
      </w:pPr>
      <w:r>
        <w:t>1 — Die Kette: zwölf Stufen, drei mit einer Messung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10"/>
            <w:shd w:fill="DDE3EA"/>
          </w:tcPr>
          <w:p>
            <w:r/>
            <w:r>
              <w:rPr>
                <w:b/>
                <w:sz w:val="16"/>
              </w:rPr>
              <w:t>#</w:t>
            </w:r>
          </w:p>
        </w:tc>
        <w:tc>
          <w:tcPr>
            <w:tcW w:type="dxa" w:w="1474"/>
            <w:shd w:fill="DDE3EA"/>
          </w:tcPr>
          <w:p>
            <w:r/>
            <w:r>
              <w:rPr>
                <w:b/>
                <w:sz w:val="16"/>
              </w:rPr>
              <w:t>Stufe</w:t>
            </w:r>
          </w:p>
        </w:tc>
        <w:tc>
          <w:tcPr>
            <w:tcW w:type="dxa" w:w="2608"/>
            <w:shd w:fill="DDE3EA"/>
          </w:tcPr>
          <w:p>
            <w:r/>
            <w:r>
              <w:rPr>
                <w:b/>
                <w:sz w:val="16"/>
              </w:rPr>
              <w:t>was sie prüft</w:t>
            </w:r>
          </w:p>
        </w:tc>
        <w:tc>
          <w:tcPr>
            <w:tcW w:type="dxa" w:w="1134"/>
            <w:shd w:fill="DDE3EA"/>
          </w:tcPr>
          <w:p>
            <w:r/>
            <w:r>
              <w:rPr>
                <w:b/>
                <w:sz w:val="16"/>
              </w:rPr>
              <w:t>Art</w:t>
            </w:r>
          </w:p>
        </w:tc>
        <w:tc>
          <w:tcPr>
            <w:tcW w:type="dxa" w:w="1928"/>
            <w:shd w:fill="DDE3EA"/>
          </w:tcPr>
          <w:p>
            <w:r/>
            <w:r>
              <w:rPr>
                <w:b/>
                <w:sz w:val="16"/>
              </w:rPr>
              <w:t>gilt für</w:t>
            </w:r>
          </w:p>
        </w:tc>
        <w:tc>
          <w:tcPr>
            <w:tcW w:type="dxa" w:w="3118"/>
            <w:shd w:fill="DDE3EA"/>
          </w:tcPr>
          <w:p>
            <w:r/>
            <w:r>
              <w:rPr>
                <w:b/>
                <w:sz w:val="16"/>
              </w:rPr>
              <w:t>Stand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auftrag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Instrument und Strategie erlaubt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fakten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Faktenlage ausreichend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lagebild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Lagebild geliefert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anlass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Faktensatz hat sich geaendert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auswahl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gehoert zu den besten k der Gruppe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Messung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 nicht schädlich (2.134) · Bestandsausnahme: gehaltene Werte gehen durch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terminmarkt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OI-Aufbau nicht im obersten Fuenftel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Messung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nur einstieg, nicht bei Bestand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 trägt Richtung (2.139)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wiederholung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nicht kuerzlich schon gefragt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urteil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Urteil geliefert und vertragskonform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aktion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Aktion ist ein Einstieg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geometrie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Zonen rechenbar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risikoschicht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Toepfe, Cash, Positionsgroesse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mechanisch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beide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color w:val="1B6B3A"/>
                <w:sz w:val="16"/>
              </w:rPr>
              <w:t>✔</w:t>
            </w:r>
          </w:p>
        </w:tc>
      </w:tr>
      <w:tr>
        <w:tc>
          <w:tcPr>
            <w:tcW w:type="dxa" w:w="510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entscheider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6"/>
              </w:rPr>
              <w:t>Trefferquote schlaegt den Breakeven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6"/>
              </w:rPr>
              <w:t>Messung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6"/>
              </w:rPr>
              <w:t>nur einstieg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einstieg: entscheidet · akkumulation: winkt durch</w:t>
            </w:r>
          </w:p>
        </w:tc>
      </w:tr>
    </w:tbl>
    <w:p/>
    <w:p>
      <w:pPr>
        <w:spacing w:after="120"/>
      </w:pPr>
      <w:r>
        <w:rPr>
          <w:b w:val="0"/>
          <w:color w:val="555555"/>
          <w:sz w:val="21"/>
        </w:rPr>
        <w:t>⚠️ Namensschatten: der `entscheider` ist die ZWÖLFTE Stufe, heißt aber in Code-Kommentaren und Dokumentation überall „Stufe 11“. `terminmarkt` wurde nachträglich eingefügt (N-14). Folgenlos, weil der Code über Namen adressiert — aber wer „Stufe 11“ liest, muss Nummer 12 meinen.</w:t>
      </w:r>
    </w:p>
    <w:p>
      <w:pPr>
        <w:pStyle w:val="Heading1"/>
      </w:pPr>
      <w:r>
        <w:t>2 — Was die Bewertungsstufe je Strategie tut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fill="DDE3EA"/>
          </w:tcPr>
          <w:p>
            <w:r/>
            <w:r>
              <w:rPr>
                <w:b/>
                <w:sz w:val="18"/>
              </w:rPr>
            </w:r>
          </w:p>
        </w:tc>
        <w:tc>
          <w:tcPr>
            <w:tcW w:type="dxa" w:w="3061"/>
            <w:shd w:fill="DDE3EA"/>
          </w:tcPr>
          <w:p>
            <w:r/>
            <w:r>
              <w:rPr>
                <w:b/>
                <w:sz w:val="18"/>
              </w:rPr>
              <w:t>einstieg</w:t>
            </w:r>
          </w:p>
        </w:tc>
        <w:tc>
          <w:tcPr>
            <w:tcW w:type="dxa" w:w="3061"/>
            <w:shd w:fill="DDE3EA"/>
          </w:tcPr>
          <w:p>
            <w:r/>
            <w:r>
              <w:rPr>
                <w:b/>
                <w:sz w:val="18"/>
              </w:rPr>
              <w:t>akkumulation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geltende Beiträge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Funding, Turnover</w:t>
            </w:r>
          </w:p>
        </w:tc>
        <w:tc>
          <w:tcPr>
            <w:tcW w:type="dxa" w:w="3061"/>
          </w:tcPr>
          <w:p>
            <w:r/>
            <w:r>
              <w:rPr>
                <w:b/>
                <w:color w:val="B02A1F"/>
                <w:sz w:val="18"/>
              </w:rPr>
              <w:t>⚠️ keine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`vermessen`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True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8"/>
              </w:rPr>
              <w:t>False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`erreichbar_max`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0.1335 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-0.0000 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Schwelle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0.0800 R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18"/>
              </w:rPr>
              <w:t>0.0800 R</w:t>
            </w:r>
          </w:p>
        </w:tc>
      </w:tr>
      <w:tr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→ die Stufe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color w:val="1B6B3A"/>
                <w:sz w:val="18"/>
              </w:rPr>
              <w:t>✔ **ENTSCHEIDET**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color w:val="B02A1F"/>
                <w:sz w:val="18"/>
              </w:rPr>
              <w:t>⚠️ **WINKT DURCH** (Notiz)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Sie sperrt bei `akkumulation` nicht — und das ist Absicht: „nicht vermessen — zählen, nicht sperren. Der Trichter weist es aus, damit die Lücke sichtbar bleibt.“ Eine Sperre ohne Beiträge wäre eine Sperre nach Datenlage (Regel 4).</w:t>
      </w:r>
    </w:p>
    <w:p>
      <w:pPr>
        <w:pStyle w:val="Heading1"/>
      </w:pPr>
      <w:r>
        <w:t>3 — Die Beiträge: was gilt, was kandidiert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fill="DDE3EA"/>
          </w:tcPr>
          <w:p>
            <w:r/>
            <w:r>
              <w:rPr>
                <w:b/>
                <w:sz w:val="16"/>
              </w:rPr>
              <w:t>Größe</w:t>
            </w:r>
          </w:p>
        </w:tc>
        <w:tc>
          <w:tcPr>
            <w:tcW w:type="dxa" w:w="1928"/>
            <w:shd w:fill="DDE3EA"/>
          </w:tcPr>
          <w:p>
            <w:r/>
            <w:r>
              <w:rPr>
                <w:b/>
                <w:sz w:val="16"/>
              </w:rPr>
              <w:t>Stand</w:t>
            </w:r>
          </w:p>
        </w:tc>
        <w:tc>
          <w:tcPr>
            <w:tcW w:type="dxa" w:w="1474"/>
            <w:shd w:fill="DDE3EA"/>
          </w:tcPr>
          <w:p>
            <w:r/>
            <w:r>
              <w:rPr>
                <w:b/>
                <w:sz w:val="16"/>
              </w:rPr>
              <w:t>Abdeckung</w:t>
            </w:r>
          </w:p>
        </w:tc>
        <w:tc>
          <w:tcPr>
            <w:tcW w:type="dxa" w:w="2268"/>
            <w:shd w:fill="DDE3EA"/>
          </w:tcPr>
          <w:p>
            <w:r/>
            <w:r>
              <w:rPr>
                <w:b/>
                <w:sz w:val="16"/>
              </w:rPr>
              <w:t>wo</w:t>
            </w:r>
          </w:p>
        </w:tc>
        <w:tc>
          <w:tcPr>
            <w:tcW w:type="dxa" w:w="3628"/>
            <w:shd w:fill="DDE3EA"/>
          </w:tcPr>
          <w:p>
            <w:r/>
            <w:r>
              <w:rPr>
                <w:b/>
                <w:sz w:val="16"/>
              </w:rPr>
              <w:t>Beleg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6"/>
              </w:rPr>
              <w:t>`funding`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1B6B3A"/>
                <w:sz w:val="16"/>
              </w:rPr>
              <w:t>✔ **registriert**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293 (56 %)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Stufe 12, nur einstieg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reproduziert bis in die Form; richtungsrein +0,00197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6"/>
              </w:rPr>
              <w:t>`turnover`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1B6B3A"/>
                <w:sz w:val="16"/>
              </w:rPr>
              <w:t>✔ **registriert**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66 (13 %)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Stufe 12, nur einstieg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F-212 auf der selektierten Menge: +0,0635 gegen +0,0616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16"/>
              </w:rPr>
              <w:t>`oi_aenderung`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1B6B3A"/>
                <w:sz w:val="16"/>
              </w:rPr>
              <w:t>✔ **live als Sperre**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117 (22 %)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Stufe 6, nur einstieg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trägt Richtung: +0,00220 (H20) · +0,00381 (H5)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**`schnitt`** (200-Tage)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B02A1F"/>
                <w:sz w:val="16"/>
              </w:rPr>
              <w:t>⚠️ **Kandidat**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16"/>
              </w:rPr>
              <w:t>524 (100 %)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nicht registriert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vier Messungen, alle positiv — Stabilität offen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`vola`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B02A1F"/>
                <w:sz w:val="16"/>
              </w:rPr>
              <w:t>✖ nicht als Beitrag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524 (100 %)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gehört in die Geometrie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keine Richtung (GS −0,00041)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`schnitt50` · `amihud` · `rsi`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B02A1F"/>
                <w:sz w:val="16"/>
              </w:rPr>
              <w:t>✖ trägt nicht</w:t>
            </w:r>
          </w:p>
        </w:tc>
        <w:tc>
          <w:tcPr>
            <w:tcW w:type="dxa" w:w="1474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6"/>
              </w:rPr>
              <w:t>N-59: trägt nicht bis 0,020 R</w:t>
            </w:r>
          </w:p>
        </w:tc>
      </w:tr>
    </w:tbl>
    <w:p/>
    <w:p>
      <w:pPr>
        <w:pStyle w:val="Heading1"/>
      </w:pPr>
      <w:r>
        <w:t>4 — Der Kandidat `schnitt` — vier Messungen, eine offene Frage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  <w:shd w:fill="DDE3EA"/>
          </w:tcPr>
          <w:p>
            <w:r/>
            <w:r>
              <w:rPr>
                <w:b/>
                <w:sz w:val="16"/>
              </w:rPr>
              <w:t>Messung</w:t>
            </w:r>
          </w:p>
        </w:tc>
        <w:tc>
          <w:tcPr>
            <w:tcW w:type="dxa" w:w="2835"/>
            <w:shd w:fill="DDE3EA"/>
          </w:tcPr>
          <w:p>
            <w:r/>
            <w:r>
              <w:rPr>
                <w:b/>
                <w:sz w:val="16"/>
              </w:rPr>
              <w:t>Basis</w:t>
            </w:r>
          </w:p>
        </w:tc>
        <w:tc>
          <w:tcPr>
            <w:tcW w:type="dxa" w:w="4309"/>
            <w:shd w:fill="DDE3EA"/>
          </w:tcPr>
          <w:p>
            <w:r/>
            <w:r>
              <w:rPr>
                <w:b/>
                <w:sz w:val="16"/>
              </w:rPr>
              <w:t>Ergebnis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**28.08.** Akkumulationsmaß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H90 · 507 Reihen · zirkulärer Verschub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color w:val="1B6B3A"/>
                <w:sz w:val="16"/>
              </w:rPr>
              <w:t>✔ monoton über **neun Bänder**, beide Kalenderhälften: −40 % → +6,08 % bis +30 % → −11,80 %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**31.08.** Horizontlauf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H1..H20 · ⛔ **1.314 Symbole inkl. 798 Nicht-Krypto**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color w:val="B02A1F"/>
                <w:sz w:val="16"/>
              </w:rPr>
              <w:t>⛔ **abgelöst** — stand auf der Basis, die N-19 als kontaminiert erwies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**07.09.** derselbe Lauf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H1..H20 · 524 reine Kryptosymbole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color w:val="1B6B3A"/>
                <w:sz w:val="16"/>
              </w:rPr>
              <w:t>✔ trägt bei H1, H2, H5, H10 · H20 nicht trennbar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6"/>
              </w:rPr>
              <w:t>**07.09.** N-59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6"/>
              </w:rPr>
              <w:t>H20 · selektierte Menge (20 %)</w:t>
            </w:r>
          </w:p>
        </w:tc>
        <w:tc>
          <w:tcPr>
            <w:tcW w:type="dxa" w:w="4309"/>
          </w:tcPr>
          <w:p>
            <w:r/>
            <w:r>
              <w:rPr>
                <w:b w:val="0"/>
                <w:color w:val="1B6B3A"/>
                <w:sz w:val="16"/>
              </w:rPr>
              <w:t>✔ **+0,1707 R** [+0,0723 .. +0,2781]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Redundanz gering: r = −0,097 zu `funding`, −0,168 zu `turnover`. Abdeckung 100 % — das bietet weder `funding` (56 %) noch `turnover` (13 %).</w:t>
      </w:r>
    </w:p>
    <w:p>
      <w:pPr>
        <w:spacing w:after="120"/>
      </w:pPr>
      <w:r>
        <w:rPr>
          <w:b/>
          <w:sz w:val="21"/>
        </w:rPr>
        <w:t>⚠️ Was fehlt: die Stabilität über die Zeit. Bei H20 fehlen die Blöcke (Bär 19 von 20), bei H5 die Trennschärfe (0,05 R über den Effekten) — und beide Male fällt die Gegenprobe `funding` mit. Das ist ein Befund über die Schichtung, nicht über den Kandidaten.</w:t>
      </w:r>
    </w:p>
    <w:p>
      <w:pPr>
        <w:spacing w:after="120"/>
      </w:pPr>
      <w:r>
        <w:rPr>
          <w:b w:val="0"/>
          <w:color w:val="B02A1F"/>
          <w:sz w:val="21"/>
        </w:rPr>
        <w:t>⚠️ Und für BTC/ETH/SOL trägt das Maß nicht: −0,0251 / −0,0308 / −0,0291. Kein Rauschen — die Kernwerte liegen 1,3 bis 1,4 Standardabweichungen unter dem Mittel, und nur 14,9 % aller Symbole haben einen negativen Vorsprung. `asset_dca_settings` enthält genau BTC und ETH.</w:t>
      </w:r>
    </w:p>
    <w:p>
      <w:r>
        <w:br w:type="page"/>
      </w:r>
    </w:p>
    <w:p>
      <w:pPr>
        <w:pStyle w:val="Heading1"/>
      </w:pPr>
      <w:r>
        <w:t>5 — Was offen ist, nach Dringlichkeit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  <w:shd w:fill="DDE3EA"/>
          </w:tcPr>
          <w:p>
            <w:r/>
            <w:r>
              <w:rPr>
                <w:b/>
                <w:sz w:val="18"/>
              </w:rPr>
              <w:t>Rang</w:t>
            </w:r>
          </w:p>
        </w:tc>
        <w:tc>
          <w:tcPr>
            <w:tcW w:type="dxa" w:w="2721"/>
            <w:shd w:fill="DDE3EA"/>
          </w:tcPr>
          <w:p>
            <w:r/>
            <w:r>
              <w:rPr>
                <w:b/>
                <w:sz w:val="18"/>
              </w:rPr>
              <w:t>Punkt</w:t>
            </w:r>
          </w:p>
        </w:tc>
        <w:tc>
          <w:tcPr>
            <w:tcW w:type="dxa" w:w="5329"/>
            <w:shd w:fill="DDE3EA"/>
          </w:tcPr>
          <w:p>
            <w:r/>
            <w:r>
              <w:rPr>
                <w:b/>
                <w:sz w:val="18"/>
              </w:rPr>
              <w:t>Warum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Die Durchlassquote festlegen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Nutzerentscheidung laut R-R9. Ohne sie ist jede Schwellenkalibrierung willkürlich.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`schnitt`s Stabilität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Der beste Kandidat, den das Projekt hatte. Beide Zerlegungen scheitern an der Auflösungsgrenze — nötig sind mehr Anker, keine dritte Schichtung.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Akkumulation: BTC/ETH entscheiden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Das Maß trägt breit, aber nicht für die beiden freigeschalteten Werte. Entscheidung, keine Messfrage.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18"/>
              </w:rPr>
              <w:t>N-52 bis N-56 wiederholen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auf der selektierten Menge, mit Trennschärfe, über `messnorm_auswahl`.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`H` und Lebendigkeit messen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die beiden verbliebenen Abgelehnten. Rangplatz ist bereits live als Stufe 5; für Termine gibt es keine Daten.</w:t>
            </w:r>
          </w:p>
        </w:tc>
      </w:tr>
      <w:tr>
        <w:tc>
          <w:tcPr>
            <w:tcW w:type="dxa" w:w="79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21"/>
          </w:tcPr>
          <w:p>
            <w:r/>
            <w:r>
              <w:rPr>
                <w:b w:val="0"/>
                <w:sz w:val="18"/>
              </w:rPr>
              <w:t>Der Maßstab aller Stufen</w:t>
            </w:r>
          </w:p>
        </w:tc>
        <w:tc>
          <w:tcPr>
            <w:tcW w:type="dxa" w:w="5329"/>
          </w:tcPr>
          <w:p>
            <w:r/>
            <w:r>
              <w:rPr>
                <w:b w:val="0"/>
                <w:sz w:val="18"/>
              </w:rPr>
              <w:t>F-219: die Bewertung liefert 19,5 % dessen, was sie behauptet. Ändert den Hebel, nicht die Rangfolge.</w:t>
            </w:r>
          </w:p>
        </w:tc>
      </w:tr>
    </w:tbl>
    <w:p/>
    <w:p>
      <w:pPr>
        <w:pStyle w:val="Heading1"/>
      </w:pPr>
      <w:r>
        <w:t>6 — Die anderen Assetklassen — im Plan vorgesehen</w:t>
      </w:r>
    </w:p>
    <w:p>
      <w:pPr>
        <w:spacing w:after="120"/>
      </w:pPr>
      <w:r>
        <w:rPr>
          <w:b w:val="0"/>
          <w:sz w:val="21"/>
        </w:rPr>
        <w:t>Sie kommen später, sind aber nicht vergessen. Der Stand, damit die Lücke benannt bleibt: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DE3EA"/>
          </w:tcPr>
          <w:p>
            <w:r/>
            <w:r>
              <w:rPr>
                <w:b/>
                <w:sz w:val="18"/>
              </w:rPr>
              <w:t>Klasse</w:t>
            </w:r>
          </w:p>
        </w:tc>
        <w:tc>
          <w:tcPr>
            <w:tcW w:type="dxa" w:w="1247"/>
            <w:shd w:fill="DDE3EA"/>
          </w:tcPr>
          <w:p>
            <w:r/>
            <w:r>
              <w:rPr>
                <w:b/>
                <w:sz w:val="18"/>
              </w:rPr>
              <w:t>Reihen</w:t>
            </w:r>
          </w:p>
        </w:tc>
        <w:tc>
          <w:tcPr>
            <w:tcW w:type="dxa" w:w="3628"/>
            <w:shd w:fill="DDE3EA"/>
          </w:tcPr>
          <w:p>
            <w:r/>
            <w:r>
              <w:rPr>
                <w:b/>
                <w:sz w:val="18"/>
              </w:rPr>
              <w:t>Zellen im Betrieb</w:t>
            </w:r>
          </w:p>
        </w:tc>
        <w:tc>
          <w:tcPr>
            <w:tcW w:type="dxa" w:w="2835"/>
            <w:shd w:fill="DDE3EA"/>
          </w:tcPr>
          <w:p>
            <w:r/>
            <w:r>
              <w:rPr>
                <w:b/>
                <w:sz w:val="18"/>
              </w:rPr>
              <w:t>Stufe 12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aktien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470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spot × einstieg · spot × akkumulation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B02A1F"/>
                <w:sz w:val="18"/>
              </w:rPr>
              <w:t>⚠️ winkt durch — nicht vermessen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themen_etf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293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spot × einstieg · spot × akkumulation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B02A1F"/>
                <w:sz w:val="18"/>
              </w:rPr>
              <w:t>⚠️ winkt durch — nicht vermessen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rohstoffe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spot × einstieg · spot × akkumulation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B02A1F"/>
                <w:sz w:val="18"/>
              </w:rPr>
              <w:t>⚠️ winkt durch — nicht vermessen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hedge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628"/>
          </w:tcPr>
          <w:p>
            <w:r/>
            <w:r>
              <w:rPr>
                <w:b w:val="0"/>
                <w:sz w:val="18"/>
              </w:rPr>
              <w:t>absicherung × einstieg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color w:val="B02A1F"/>
                <w:sz w:val="18"/>
              </w:rPr>
              <w:t>⚠️ winkt durch — nicht vermessen</w:t>
            </w:r>
          </w:p>
        </w:tc>
      </w:tr>
    </w:tbl>
    <w:p/>
    <w:p>
      <w:pPr>
        <w:spacing w:after="120"/>
      </w:pPr>
      <w:r>
        <w:rPr>
          <w:b/>
          <w:sz w:val="21"/>
        </w:rPr>
        <w:t>Acht von neun laufenden Zellen liefern eine Empfehlung, ohne dass eine Messung dahintersteht. Nur `krypto × spot × einstieg` entscheidet.</w:t>
      </w:r>
    </w:p>
    <w:p>
      <w:pPr>
        <w:spacing w:after="120"/>
      </w:pPr>
      <w:r>
        <w:rPr>
          <w:b w:val="0"/>
          <w:color w:val="555555"/>
          <w:sz w:val="21"/>
        </w:rPr>
        <w:t>⚠️ Die Voraussetzung ist Datenlage, nicht Methodik: für die vier Klassen gibt es keine Nicht-Kurs-Daten (kein Funding, kein Open Interest, keine Umlaufmenge). Was dort messbar wäre, sind Kursgrößen — also genau `schnitt`, `vola` und `amihud`. ⚠️ Und `schnitt` ist bisher nur für Krypto gemessen.</w:t>
      </w:r>
    </w:p>
    <w:p>
      <w:pPr>
        <w:pStyle w:val="Heading1"/>
      </w:pPr>
      <w:r>
        <w:t>Der nächste Schritt</w:t>
      </w:r>
    </w:p>
    <w:p>
      <w:pPr>
        <w:spacing w:after="120"/>
      </w:pPr>
      <w:r>
        <w:rPr>
          <w:b w:val="0"/>
          <w:sz w:val="21"/>
        </w:rPr>
        <w:t>Die Durchlassquote festlegen — sie ist die einzige offene Nutzerentscheidung, die alles Weitere blockiert. Danach `schnitt`s Stabilität mit mehr Ankern, dann die Wiederholung von N-52 bis N-56 auf der richtigen Menge.</w:t>
      </w:r>
    </w:p>
    <w:p/>
    <w:p>
      <w:pPr>
        <w:spacing w:after="120"/>
      </w:pPr>
      <w:r>
        <w:rPr>
          <w:b w:val="0"/>
          <w:color w:val="555555"/>
          <w:sz w:val="17"/>
        </w:rPr>
        <w:t>Erzeugt aus `erzeuge_standort_krypto.py`. Die Zahlen werden beim Erzeugen aus dem laufenden System gelesen — Änderungen gehören ins Skript, nicht in diese Datei.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