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Fakten-Entscheidungsmappe — Krypto-Spot- und Hebel-Pipeline</w:t>
      </w:r>
    </w:p>
    <w:p>
      <w:pPr/>
      <w:r>
        <w:rPr>
          <w:b/>
        </w:rPr>
        <w:t>Zweck:</w:t>
      </w:r>
      <w:r>
        <w:t xml:space="preserve"> Dauerhaftes Referenzdokument, kein einmaliger Audit-Schnappschuss. Jeder</w:t>
      </w:r>
    </w:p>
    <w:p>
      <w:pPr/>
      <w:r>
        <w:t>Fakt, der künftig neu an ein LLM (Mistral-Kette oder Z.ai) übergeben wird, sollte vor</w:t>
      </w:r>
    </w:p>
    <w:p>
      <w:pPr/>
      <w:r>
        <w:t>der Aufnahme gegen das Raster in Abschnitt 1 geprüft werden — so bleibt die Frage</w:t>
      </w:r>
    </w:p>
    <w:p>
      <w:pPr/>
      <w:r>
        <w:t>"determinieren wir das, oder überlassen wir es dem LLM-Urteil, und mit welchem</w:t>
      </w:r>
    </w:p>
    <w:p>
      <w:pPr/>
      <w:r>
        <w:t>Kontext?" ein bewusster Entscheidungspunkt statt eines Zufallsprodukts.</w:t>
      </w:r>
    </w:p>
    <w:p>
      <w:pPr/>
      <w:r>
        <w:t>Stand der Bestandsaufnahme: 2026-07-28, Codebase-Audit aller Fakten in</w:t>
      </w:r>
    </w:p>
    <w:p>
      <w:pPr/>
      <w:r>
        <w:rPr>
          <w:rFonts w:ascii="Consolas" w:hAnsi="Consolas"/>
        </w:rPr>
        <w:t>agent/krypto/pipeline.py::build_facts()</w:t>
      </w:r>
      <w:r>
        <w:t xml:space="preserve"> und `agent/krypto/hebel_pipeline.py::</w:t>
      </w:r>
    </w:p>
    <w:p>
      <w:pPr/>
      <w:r>
        <w:t>build_hebel_facts()</w:t>
      </w:r>
      <w:r>
        <w:rPr>
          <w:rFonts w:ascii="Consolas" w:hAnsi="Consolas"/>
        </w:rPr>
        <w:t xml:space="preserve">, abgeglichen gegen </w:t>
      </w:r>
      <w:r>
        <w:t>agent/krypto/analyst.py::SYSTEM_PROMPT`,</w:t>
      </w:r>
    </w:p>
    <w:p>
      <w:pPr/>
      <w:r>
        <w:rPr>
          <w:rFonts w:ascii="Consolas" w:hAnsi="Consolas"/>
        </w:rPr>
        <w:t>agent/krypto/hebel_analyst.py::SYSTEM_PROMPT</w:t>
      </w:r>
      <w:r>
        <w:t xml:space="preserve">, </w:t>
      </w:r>
      <w:r>
        <w:rPr>
          <w:rFonts w:ascii="Consolas" w:hAnsi="Consolas"/>
        </w:rPr>
        <w:t>agent/krypto/risk_gate.py</w:t>
      </w:r>
      <w:r>
        <w:t xml:space="preserve"> und</w:t>
      </w:r>
    </w:p>
    <w:p>
      <w:pPr/>
      <w:r>
        <w:rPr>
          <w:rFonts w:ascii="Consolas" w:hAnsi="Consolas"/>
        </w:rPr>
        <w:t>agent/krypto/hebel_risk_gate.py</w:t>
      </w:r>
      <w:r>
        <w:t>. Bei strukturellen Änderungen an diesen Dateien</w:t>
      </w:r>
    </w:p>
    <w:p>
      <w:pPr/>
      <w:r>
        <w:t>sollte diese Mappe aktualisiert werden (Datum oben anpassen).</w:t>
      </w:r>
    </w:p>
    <w:p>
      <w:pPr>
        <w:pStyle w:val="Heading2"/>
      </w:pPr>
      <w:r>
        <w:t>1. Das Entscheidungs-Raster</w:t>
      </w:r>
    </w:p>
    <w:p>
      <w:pPr/>
      <w:r>
        <w:t>Für jeden Fakt vier Fragen, in dieser Reihenfolge:</w:t>
      </w:r>
    </w:p>
    <w:p>
      <w:pPr/>
      <w:r>
        <w:rPr>
          <w:b/>
        </w:rPr>
        <w:t>Frage 1 — Ist die "richtige" Reaktion unabhängig vom Kontext immer dieselbe?</w:t>
      </w:r>
    </w:p>
    <w:p>
      <w:pPr/>
      <w:r>
        <w:t>Wenn ja: gehört in den Risk-Gate (</w:t>
      </w:r>
      <w:r>
        <w:rPr>
          <w:rFonts w:ascii="Consolas" w:hAnsi="Consolas"/>
        </w:rPr>
        <w:t>risk_gate.py</w:t>
      </w:r>
      <w:r>
        <w:t>/</w:t>
      </w:r>
      <w:r>
        <w:rPr>
          <w:rFonts w:ascii="Consolas" w:hAnsi="Consolas"/>
        </w:rPr>
        <w:t>hebel_risk_gate.py</w:t>
      </w:r>
      <w:r>
        <w:t>), deterministisch,</w:t>
      </w:r>
    </w:p>
    <w:p>
      <w:pPr/>
      <w:r>
        <w:t>nie dem LLM überlassen. Ein Limit, das diskutierbar ist, ist kein Limit. Beispiele, die</w:t>
      </w:r>
    </w:p>
    <w:p>
      <w:pPr/>
      <w:r>
        <w:t>das bereits richtig machen: CRV-Minimum, Cash-Reserve-Pflicht, Konfidenz-Regime-</w:t>
      </w:r>
    </w:p>
    <w:p>
      <w:pPr/>
      <w:r>
        <w:t>Schwelle, Bitpanda-Listing-Veto.</w:t>
      </w:r>
    </w:p>
    <w:p>
      <w:pPr/>
      <w:r>
        <w:t>**Frage 2 — Braucht die Bewertung echtes, kontextabhängiges Abwägen mehrerer</w:t>
      </w:r>
    </w:p>
    <w:p>
      <w:pPr/>
      <w:r>
        <w:t>Faktoren gleichzeitig?**</w:t>
      </w:r>
    </w:p>
    <w:p>
      <w:pPr/>
      <w:r>
        <w:t xml:space="preserve">Wenn ja: gehört dem LLM — aber mit </w:t>
      </w:r>
      <w:r>
        <w:rPr>
          <w:b/>
        </w:rPr>
        <w:t>Kontext</w:t>
      </w:r>
      <w:r>
        <w:t>, nicht mit vorgegebener Schlussfolgerung.</w:t>
      </w:r>
    </w:p>
    <w:p>
      <w:pPr/>
      <w:r>
        <w:t>Der Unterschied, der zählt: *Antwort vorgeben* ("FOMC &lt; 14 Tage → das ist ein Risiko")</w:t>
      </w:r>
    </w:p>
    <w:p>
      <w:pPr/>
      <w:r>
        <w:t>ist falsch, weil es die LLM-Urteilsarbeit durch Schein-Determinismus ersetzt, ohne</w:t>
      </w:r>
    </w:p>
    <w:p>
      <w:pPr/>
      <w:r>
        <w:t xml:space="preserve">echten Durchgriff zu haben (nur Text in </w:t>
      </w:r>
      <w:r>
        <w:rPr>
          <w:rFonts w:ascii="Consolas" w:hAnsi="Consolas"/>
        </w:rPr>
        <w:t>key_risks</w:t>
      </w:r>
      <w:r>
        <w:t>, keine Konsequenz). *Kontext liefern,</w:t>
      </w:r>
    </w:p>
    <w:p>
      <w:pPr/>
      <w:r>
        <w:t>Urteil offenlassen* ("historisch überdurchschnittliche realisierte Volatilität im</w:t>
      </w:r>
    </w:p>
    <w:p>
      <w:pPr/>
      <w:r>
        <w:t>24-48h-Fenster um FOMC, oft nach einer ruhigen Phase davor — bewerte selbst, ob das</w:t>
      </w:r>
    </w:p>
    <w:p>
      <w:pPr/>
      <w:r>
        <w:t>hier relevant ist") ist richtig, weil es eine dokumentierte Marktbasis liefert, ohne die</w:t>
      </w:r>
    </w:p>
    <w:p>
      <w:pPr/>
      <w:r>
        <w:t>Schlussfolgerung zu determinieren.</w:t>
      </w:r>
    </w:p>
    <w:p>
      <w:pPr/>
      <w:r>
        <w:t>**Frage 3 — Bekommt das LLM aktuell überhaupt eine kalibrierende Einordnung, oder</w:t>
      </w:r>
    </w:p>
    <w:p>
      <w:pPr/>
      <w:r>
        <w:t>nur den nackten Wert?**</w:t>
      </w:r>
    </w:p>
    <w:p>
      <w:pPr/>
      <w:r>
        <w:t>Das ist die eigentliche Lücke, die in dieser Mappe gesucht wird. Nackte Werte ohne</w:t>
      </w:r>
    </w:p>
    <w:p>
      <w:pPr/>
      <w:r>
        <w:t>Kontext (Kategorie (d) unten) führen zu unreproduzierbarem, im schlimmsten Fall</w:t>
      </w:r>
    </w:p>
    <w:p>
      <w:pPr/>
      <w:r>
        <w:t>zufälligem Umgang durch das LLM.</w:t>
      </w:r>
    </w:p>
    <w:p>
      <w:pPr/>
      <w:r>
        <w:t>**Frage 4 (neu, 2026-07-28) — Passt Gewichtung/Regel zum tatsächlichen</w:t>
      </w:r>
    </w:p>
    <w:p>
      <w:pPr/>
      <w:r>
        <w:t>Zeithorizont dieser Pipeline?**</w:t>
      </w:r>
    </w:p>
    <w:p>
      <w:pPr/>
      <w:r>
        <w:t>Hintergrund (Nutzer-Vorgabe): Hebel und Spot verfolgen bewusst unterschiedliche</w:t>
      </w:r>
    </w:p>
    <w:p>
      <w:pPr/>
      <w:r>
        <w:t xml:space="preserve">Zeithorizonte. </w:t>
      </w:r>
      <w:r>
        <w:rPr>
          <w:b/>
        </w:rPr>
        <w:t>Hebel = kurzfristige, taktische Positionen</w:t>
      </w:r>
      <w:r>
        <w:t xml:space="preserve"> (Nutzer hält historisch</w:t>
      </w:r>
    </w:p>
    <w:p>
      <w:pPr/>
      <w:r>
        <w:t>im Schnitt ~1 Tag; Trigger-Screening alle 15 Minuten; Funding-Kosten pro Stunde</w:t>
      </w:r>
    </w:p>
    <w:p>
      <w:pPr/>
      <w:r>
        <w:t xml:space="preserve">relevant). </w:t>
      </w:r>
      <w:r>
        <w:rPr>
          <w:b/>
        </w:rPr>
        <w:t>Spot = langfristige Investitionsthese / Zyklus-Positionierung</w:t>
      </w:r>
      <w:r>
        <w:t>, sinngemäß</w:t>
      </w:r>
    </w:p>
    <w:p>
      <w:pPr/>
      <w:r>
        <w:t>ein "Bitcoin-Sparplan"-Ansatz: antizyklisch kaufen im Bärenmarkt (AZ-4: Boden-</w:t>
      </w:r>
    </w:p>
    <w:p>
      <w:pPr/>
      <w:r>
        <w:t>Zielzonen, Cash-Reserve-Aufbau fürs Nachkaufen, Tranchen-Logik), tendenziell erst im</w:t>
      </w:r>
    </w:p>
    <w:p>
      <w:pPr/>
      <w:r>
        <w:t>Bullenmarkt/bei Zyklus-Extremen wieder abbauen. Ein Fakt kann in der einen Pipeline</w:t>
      </w:r>
    </w:p>
    <w:p>
      <w:pPr/>
      <w:r>
        <w:t>hochrelevant, in der anderen nachrangig sein — dieselbe schwache Behandlung ist</w:t>
      </w:r>
    </w:p>
    <w:p>
      <w:pPr/>
      <w:r>
        <w:t>deshalb nicht in beiden Fällen gleich falsch. Ein akuter Kurzfrist-Fakt (z.B. FOMC-</w:t>
      </w:r>
    </w:p>
    <w:p>
      <w:pPr/>
      <w:r>
        <w:t>Nähe, Funding-Rate) OHNE Kontext ist bei Hebel der dringlichere Fehler; ein</w:t>
      </w:r>
    </w:p>
    <w:p>
      <w:pPr/>
      <w:r>
        <w:t>Langfrist-Fakt (Zyklusrisiko, Makro-Analogie) OHNE Kontext ist bei Spot der</w:t>
      </w:r>
    </w:p>
    <w:p>
      <w:pPr/>
      <w:r>
        <w:t>dringlichere Fehler.</w:t>
      </w:r>
    </w:p>
    <w:p>
      <w:pPr>
        <w:pStyle w:val="Heading2"/>
      </w:pPr>
      <w:r>
        <w:t>2. Kurzfassung der Zahlen (von 156 katalogisierten Fakt-Knoten, ca. 148 eigenständige Datenpunkte)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Anzahl (ca.)</w:t>
            </w:r>
          </w:p>
        </w:tc>
      </w:tr>
      <w:tr>
        <w:tc>
          <w:tcPr>
            <w:tcW w:type="dxa" w:w="2880"/>
          </w:tcPr>
          <w:p>
            <w:r>
              <w:t>(a)</w:t>
            </w:r>
          </w:p>
        </w:tc>
        <w:tc>
          <w:tcPr>
            <w:tcW w:type="dxa" w:w="2880"/>
          </w:tcPr>
          <w:p>
            <w:r>
              <w:t>Explizite Prompt-Regel **und** deterministische Gate-Nutzung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(b)</w:t>
            </w:r>
          </w:p>
        </w:tc>
        <w:tc>
          <w:tcPr>
            <w:tcW w:type="dxa" w:w="2880"/>
          </w:tcPr>
          <w:p>
            <w:r>
              <w:t>Nur Prompt-Regel, **kein** Gate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(c)</w:t>
            </w:r>
          </w:p>
        </w:tc>
        <w:tc>
          <w:tcPr>
            <w:tcW w:type="dxa" w:w="2880"/>
          </w:tcPr>
          <w:p>
            <w:r>
              <w:t>Nur Gate, **keine** Prompt-Regel (meist bewusst — reine Risk-Gate-Größen, dem LLM zu Recht nicht gezeigt)</w:t>
            </w:r>
          </w:p>
        </w:tc>
        <w:tc>
          <w:tcPr>
            <w:tcW w:type="dxa" w:w="2880"/>
          </w:tcPr>
          <w:p>
            <w:r>
              <w:t>9 (+ 6 gate-interne Größen, die nie im Fakten-JSON stehen)</w:t>
            </w:r>
          </w:p>
        </w:tc>
      </w:tr>
      <w:tr>
        <w:tc>
          <w:tcPr>
            <w:tcW w:type="dxa" w:w="2880"/>
          </w:tcPr>
          <w:p>
            <w:r>
              <w:t>(d)</w:t>
            </w:r>
          </w:p>
        </w:tc>
        <w:tc>
          <w:tcPr>
            <w:tcW w:type="dxa" w:w="2880"/>
          </w:tcPr>
          <w:p>
            <w:r>
              <w:t>**Weder** Prompt-Regel **noch** Gate — komplett unkommentiert durchgereicht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</w:tbl>
    <w:p>
      <w:pPr/>
      <w:r>
        <w:t>Kategorie (d) ist der eigentliche Handlungsraum dieser Mappe. Kategorie (b) enthält</w:t>
      </w:r>
    </w:p>
    <w:p>
      <w:pPr/>
      <w:r>
        <w:t>einige Fälle, die näher am "Antwort vorgeben statt Kontext liefern"-Problem liegen als</w:t>
      </w:r>
    </w:p>
    <w:p>
      <w:pPr/>
      <w:r>
        <w:t>am sauberen Zielzustand (siehe Abschnitt 3.2).</w:t>
      </w:r>
    </w:p>
    <w:p>
      <w:pPr>
        <w:pStyle w:val="Heading2"/>
      </w:pPr>
      <w:r>
        <w:t>3. Prioritäre Befunde — brauchen eine Entscheidung</w:t>
      </w:r>
    </w:p>
    <w:p>
      <w:pPr>
        <w:pStyle w:val="Heading3"/>
      </w:pPr>
      <w:r>
        <w:t>3.1 Zeithorizont-Fehlpassung (Frage 4) — neue, wichtigste Erkenntnis dieser Runde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Fakt</w:t>
            </w:r>
          </w:p>
        </w:tc>
        <w:tc>
          <w:tcPr>
            <w:tcW w:type="dxa" w:w="2880"/>
          </w:tcPr>
          <w:p>
            <w:r>
              <w:t>Aktueller Zustand</w:t>
            </w:r>
          </w:p>
        </w:tc>
        <w:tc>
          <w:tcPr>
            <w:tcW w:type="dxa" w:w="2880"/>
          </w:tcPr>
          <w:p>
            <w:r>
              <w:t>Zeithorizont-Bewertung</w:t>
            </w:r>
          </w:p>
        </w:tc>
      </w:tr>
      <w:tr>
        <w:tc>
          <w:tcPr>
            <w:tcW w:type="dxa" w:w="2880"/>
          </w:tcPr>
          <w:p>
            <w:r>
              <w:t>`naechste_fomc_sitzungen` / `naechste_cpi_veroeffentlichung`</w:t>
            </w:r>
          </w:p>
        </w:tc>
        <w:tc>
          <w:tcPr>
            <w:tcW w:type="dxa" w:w="2880"/>
          </w:tcPr>
          <w:p>
            <w:r>
              <w:t>Spot: schwache 14-/5-Tage-Schwellenregel (Regel 13). **Hebel: gar keine Regel**, obwohl dieselben Fakten geliefert werden.</w:t>
            </w:r>
          </w:p>
        </w:tc>
        <w:tc>
          <w:tcPr>
            <w:tcW w:type="dxa" w:w="2880"/>
          </w:tcPr>
          <w:p>
            <w:r>
              <w:t>**Falsch herum priorisiert.** Für kurzfristige, gehebelte Positionen ist Event-Timing akut relevant — hier fehlt es komplett. Für Spots langfristige These ist es nachrangig — die schwache Regel dort ist eher proportional richtig. **Empfehlung: Hebel zuerst mit echtem Kontext (Frage 2) ausstatten, Spot ggf. unverändert lassen oder nur leicht verbessern.**</w:t>
            </w:r>
          </w:p>
        </w:tc>
      </w:tr>
      <w:tr>
        <w:tc>
          <w:tcPr>
            <w:tcW w:type="dxa" w:w="2880"/>
          </w:tcPr>
          <w:p>
            <w:r>
              <w:t>`regime.zyklus_risiko` + `.zyklus_risiko_begruendung`</w:t>
            </w:r>
          </w:p>
        </w:tc>
        <w:tc>
          <w:tcPr>
            <w:tcW w:type="dxa" w:w="2880"/>
          </w:tcPr>
          <w:p>
            <w:r>
              <w:t>Nur bei Spot vorhanden und mit Regel 11 versehen; bei Hebel wird der Fakt zwar mitgeliefert, aber **keine Regel** dazu.</w:t>
            </w:r>
          </w:p>
        </w:tc>
        <w:tc>
          <w:tcPr>
            <w:tcW w:type="dxa" w:w="2880"/>
          </w:tcPr>
          <w:p>
            <w:r>
              <w:t>**Passt zur Zeithorizont-Logik** — Zyklusrisiko ist ein Langfrist-Konzept, für Hebel folgerichtig nicht ausgearbeitet. Kein Handlungsbedarf, aber zur Klarheit hier vermerkt.</w:t>
            </w:r>
          </w:p>
        </w:tc>
      </w:tr>
      <w:tr>
        <w:tc>
          <w:tcPr>
            <w:tcW w:type="dxa" w:w="2880"/>
          </w:tcPr>
          <w:p>
            <w:r>
              <w:t>`historischer_makro_vergleich` (SPX/BTC-Forward-6m/12m-Analogien)</w:t>
            </w:r>
          </w:p>
        </w:tc>
        <w:tc>
          <w:tcPr>
            <w:tcW w:type="dxa" w:w="2880"/>
          </w:tcPr>
          <w:p>
            <w:r>
              <w:t>In beiden Pipelines identisch mit Regel 24/15 versehen (inkl. Vorsicht-Caveat).</w:t>
            </w:r>
          </w:p>
        </w:tc>
        <w:tc>
          <w:tcPr>
            <w:tcW w:type="dxa" w:w="2880"/>
          </w:tcPr>
          <w:p>
            <w:r>
              <w:t>Für Spot goldrichtig (Langfrist-These). Für Hebel (typische Haltedauer ~1 Tag) ist ein 6-12-Monats-Forward-Wert **strukturell fast irrelevant** — die Regel warnt zwar vor Übernutzung, aber die Frage ist, ob der Fakt überhaupt in den Hebel-Prompt gehört. **Kandidat für Entfernung aus dem Hebel-Fakten-JSON** (spart auch Token).</w:t>
            </w:r>
          </w:p>
        </w:tc>
      </w:tr>
      <w:tr>
        <w:tc>
          <w:tcPr>
            <w:tcW w:type="dxa" w:w="2880"/>
          </w:tcPr>
          <w:p>
            <w:r>
              <w:t>`optionsmarkt.dvol_prozent`/`.skew_prozentpunkte` (30-Tage-Sicht, Deribit)</w:t>
            </w:r>
          </w:p>
        </w:tc>
        <w:tc>
          <w:tcPr>
            <w:tcW w:type="dxa" w:w="2880"/>
          </w:tcPr>
          <w:p>
            <w:r>
              <w:t>Nur Hebel, mit Regel 21 (Cross-Check-Idee).</w:t>
            </w:r>
          </w:p>
        </w:tc>
        <w:tc>
          <w:tcPr>
            <w:tcW w:type="dxa" w:w="2880"/>
          </w:tcPr>
          <w:p>
            <w:r>
              <w:t>30 Tage ist für Hebels ~1-Tage-Horizont bereits recht lang, aber als *marktweites* Sentiment-Signal (nicht coin-spezifisch) plausibel als Kontext-Fakt vertretbar. Kein akuter Handlungsbedarf.</w:t>
            </w:r>
          </w:p>
        </w:tc>
      </w:tr>
    </w:tbl>
    <w:p>
      <w:pPr>
        <w:pStyle w:val="Heading3"/>
      </w:pPr>
      <w:r>
        <w:t>3.2 Echte Lücken (Kategorie (d)) mit hoher Priorität</w:t>
      </w:r>
    </w:p>
    <w:p>
      <w:pPr>
        <w:pStyle w:val="ListBullet"/>
      </w:pPr>
      <w:r>
        <w:rPr>
          <w:b/>
        </w:rPr>
        <w:t>`regime.fear_greed.wert` / `.einstufung`</w:t>
      </w:r>
      <w:r>
        <w:t xml:space="preserve"> — wird abgerufen, gespeichert, in JEDEM Signal mitgeschickt, aber in </w:t>
      </w:r>
      <w:r>
        <w:rPr>
          <w:b/>
        </w:rPr>
        <w:t>keinem</w:t>
      </w:r>
      <w:r>
        <w:t xml:space="preserve"> der beiden Prompts erwähnt und in </w:t>
      </w:r>
      <w:r>
        <w:rPr>
          <w:b/>
        </w:rPr>
        <w:t>keinem</w:t>
      </w:r>
      <w:r>
        <w:t xml:space="preserve"> Gate ausgewertet. Reiner Ballast (Tokenkosten ohne Nutzen) oder vergessene Anbindung. Entscheidung nötig: anbinden (mit Kontext) oder aus dem Fakten-JSON entfernen.</w:t>
      </w:r>
    </w:p>
    <w:p>
      <w:pPr>
        <w:pStyle w:val="ListBullet"/>
      </w:pPr>
      <w:r>
        <w:rPr>
          <w:b/>
        </w:rPr>
        <w:t>`regime_profil.gewicht_technik/_fundamental/_momentum/_kontext_makro`</w:t>
      </w:r>
      <w:r>
        <w:t xml:space="preserve"> (+ </w:t>
      </w:r>
      <w:r>
        <w:rPr>
          <w:rFonts w:ascii="Consolas" w:hAnsi="Consolas"/>
        </w:rPr>
        <w:t>gewinnabsicherung_verschaerft</w:t>
      </w:r>
      <w:r>
        <w:t>) — vier Gewichtungszahlen ohne jede Anweisung, ohne jede Code-Auswertung. Entweder erklären, wie das LLM sie nutzen soll, oder entfernen.</w:t>
      </w:r>
    </w:p>
    <w:p>
      <w:pPr>
        <w:pStyle w:val="ListBullet"/>
      </w:pPr>
      <w:r>
        <w:rPr>
          <w:b/>
        </w:rPr>
        <w:t>`strategien_aktiv[]`</w:t>
      </w:r>
      <w:r>
        <w:t xml:space="preserve"> — Liste ohne jede Anweisung.</w:t>
      </w:r>
    </w:p>
    <w:p>
      <w:pPr>
        <w:pStyle w:val="ListBullet"/>
      </w:pPr>
      <w:r>
        <w:rPr>
          <w:b/>
        </w:rPr>
        <w:t>`markt_kontext.naechste_fomc_sitzungen`/`naechste_cpi_veroeffentlichung`/`praesidentschaftszyklus` im Hebel-Prompt</w:t>
      </w:r>
      <w:r>
        <w:t xml:space="preserve"> — siehe 3.1, höchste Priorität.</w:t>
      </w:r>
    </w:p>
    <w:p>
      <w:pPr>
        <w:pStyle w:val="ListBullet"/>
      </w:pPr>
      <w:r>
        <w:rPr>
          <w:b/>
        </w:rPr>
        <w:t>`antizyklisch.moeglicher_flush` bei Hebel</w:t>
      </w:r>
      <w:r>
        <w:t xml:space="preserve"> — bei Spot gibt es Regel 12 dafür ("möglicherweise", "Hinweis auf" — vorsichtige Formulierung verlangt), bei Hebel fehlt die Regel komplett, obwohl der Fakt geliefert wird.</w:t>
      </w:r>
    </w:p>
    <w:p>
      <w:pPr>
        <w:pStyle w:val="Heading3"/>
      </w:pPr>
      <w:r>
        <w:t>3.3 Strukturelle Asymmetrien Spot ↔ Hebel (Konsistenz-Fragen, keine reinen Lücken)</w:t>
      </w:r>
    </w:p>
    <w:p>
      <w:pPr>
        <w:pStyle w:val="ListNumber"/>
      </w:pPr>
      <w:r>
        <w:rPr>
          <w:b/>
        </w:rPr>
        <w:t>Retail-Konsens-Filter:</w:t>
      </w:r>
      <w:r>
        <w:t xml:space="preserve"> Hebel filtert </w:t>
      </w:r>
      <w:r>
        <w:rPr>
          <w:rFonts w:ascii="Consolas" w:hAnsi="Consolas"/>
        </w:rPr>
        <w:t>top_gruende</w:t>
      </w:r>
      <w:r>
        <w:t xml:space="preserve"> deterministisch per Regex</w:t>
      </w:r>
    </w:p>
    <w:p>
      <w:pPr/>
      <w:r>
        <w:t>(</w:t>
      </w:r>
      <w:r>
        <w:rPr>
          <w:rFonts w:ascii="Consolas" w:hAnsi="Consolas"/>
        </w:rPr>
        <w:t>filtere_retail_konsens_top_gruende()</w:t>
      </w:r>
      <w:r>
        <w:t>), Spot verlässt sich allein auf die Prompt-</w:t>
      </w:r>
    </w:p>
    <w:p>
      <w:pPr/>
      <w:r>
        <w:t>Regel 15 (die dort sogar ausführlicher ist als bei Hebel). Spot hat denselben Schutz</w:t>
      </w:r>
    </w:p>
    <w:p>
      <w:pPr/>
      <w:r>
        <w:t>nicht, obwohl der frühere Retail-Konsens-Fund (siehe</w:t>
      </w:r>
    </w:p>
    <w:p>
      <w:pPr/>
      <w:r>
        <w:t>[[project_btc_hebel_review_antizyklisch_liquiditaetszonen_funding_fix]]) genau</w:t>
      </w:r>
    </w:p>
    <w:p>
      <w:pPr/>
      <w:r>
        <w:t>dieses Muster war.</w:t>
      </w:r>
    </w:p>
    <w:p>
      <w:pPr>
        <w:pStyle w:val="ListNumber"/>
      </w:pPr>
      <w:r>
        <w:rPr>
          <w:b/>
        </w:rPr>
        <w:t>Retail-Konsens-Deckel:</w:t>
      </w:r>
      <w:r>
        <w:t xml:space="preserve"> Hebel deckelt den Hebel-Faktor bei extremem Konsens,</w:t>
      </w:r>
    </w:p>
    <w:p>
      <w:pPr/>
      <w:r>
        <w:t xml:space="preserve">Spot deckelt die Positionsgröße dafür </w:t>
      </w:r>
      <w:r>
        <w:rPr>
          <w:b/>
        </w:rPr>
        <w:t>nicht</w:t>
      </w:r>
      <w:r>
        <w:t xml:space="preserve"> — nur Risikofaktor-Anzeige ohne</w:t>
      </w:r>
    </w:p>
    <w:p>
      <w:pPr/>
      <w:r>
        <w:t>Konsequenz.</w:t>
      </w:r>
    </w:p>
    <w:p>
      <w:pPr>
        <w:pStyle w:val="ListNumber"/>
      </w:pPr>
      <w:r>
        <w:rPr>
          <w:b/>
        </w:rPr>
        <w:t>BTC-Matrix:</w:t>
      </w:r>
      <w:r>
        <w:t xml:space="preserve"> Spot hat nur die Prompt-Regel 8, keinen Gate-Faktor; Hebel hat</w:t>
      </w:r>
    </w:p>
    <w:p>
      <w:pPr/>
      <w:r>
        <w:t xml:space="preserve">Regel 16 </w:t>
      </w:r>
      <w:r>
        <w:rPr>
          <w:b/>
        </w:rPr>
        <w:t>und</w:t>
      </w:r>
      <w:r>
        <w:t xml:space="preserve"> einen echten Risikofaktor ("Alt-Coin-Marktphase").</w:t>
      </w:r>
    </w:p>
    <w:p>
      <w:pPr>
        <w:pStyle w:val="ListNumber"/>
      </w:pPr>
      <w:r>
        <w:rPr>
          <w:b/>
        </w:rPr>
        <w:t>Historische Erfolgsquote / BTC-Relativwert:</w:t>
      </w:r>
      <w:r>
        <w:t xml:space="preserve"> Prompt-Regel in beiden Pipelines</w:t>
      </w:r>
    </w:p>
    <w:p>
      <w:pPr/>
      <w:r>
        <w:t xml:space="preserve">identisch, aber die deterministische Gate-Absicherung existiert </w:t>
      </w:r>
      <w:r>
        <w:rPr>
          <w:b/>
        </w:rPr>
        <w:t>nur bei Hebel</w:t>
      </w:r>
      <w:r>
        <w:t>.</w:t>
      </w:r>
    </w:p>
    <w:p>
      <w:pPr>
        <w:pStyle w:val="ListNumber"/>
      </w:pPr>
      <w:r>
        <w:rPr>
          <w:b/>
        </w:rPr>
        <w:t>Spot hat 29 Prompt-Regeln für ~127 Fakt-Knoten, Hebel nur 22 Regeln für ~105</w:t>
      </w:r>
      <w:r>
        <w:t xml:space="preserve"> —</w:t>
      </w:r>
    </w:p>
    <w:p>
      <w:pPr/>
      <w:r>
        <w:t xml:space="preserve">der Hebel-Prompt lässt </w:t>
      </w:r>
      <w:r>
        <w:rPr>
          <w:rFonts w:ascii="Consolas" w:hAnsi="Consolas"/>
        </w:rPr>
        <w:t>markt_kontext</w:t>
      </w:r>
      <w:r>
        <w:t xml:space="preserve">, </w:t>
      </w:r>
      <w:r>
        <w:rPr>
          <w:rFonts w:ascii="Consolas" w:hAnsi="Consolas"/>
        </w:rPr>
        <w:t>moeglicher_flush</w:t>
      </w:r>
      <w:r>
        <w:t xml:space="preserve">, </w:t>
      </w:r>
      <w:r>
        <w:rPr>
          <w:rFonts w:ascii="Consolas" w:hAnsi="Consolas"/>
        </w:rPr>
        <w:t>zyklus_risiko</w:t>
      </w:r>
      <w:r>
        <w:t xml:space="preserve"> und</w:t>
      </w:r>
    </w:p>
    <w:p>
      <w:pPr/>
      <w:r>
        <w:rPr>
          <w:rFonts w:ascii="Consolas" w:hAnsi="Consolas"/>
        </w:rPr>
        <w:t>disclaimers</w:t>
      </w:r>
      <w:r>
        <w:t xml:space="preserve"> komplett unkommentiert, obwohl die Fakten geliefert werden.</w:t>
      </w:r>
    </w:p>
    <w:p>
      <w:pPr>
        <w:pStyle w:val="ListNumber"/>
      </w:pPr>
      <w:r>
        <w:rPr>
          <w:b/>
        </w:rPr>
        <w:t>ATR-relativ-Richtwert (NEU 2026-07-28):</w:t>
      </w:r>
      <w:r>
        <w:t xml:space="preserve"> Hebel bekam </w:t>
      </w:r>
      <w:r>
        <w:rPr>
          <w:rFonts w:ascii="Consolas" w:hAnsi="Consolas"/>
        </w:rPr>
        <w:t>atr.relativ_prozent</w:t>
      </w:r>
      <w:r>
        <w:t xml:space="preserve"> +</w:t>
      </w:r>
    </w:p>
    <w:p>
      <w:pPr/>
      <w:r>
        <w:t xml:space="preserve">einen 1,5×-Richtwert in Regel 6 (siehe 4.2, </w:t>
      </w:r>
      <w:r>
        <w:rPr>
          <w:rFonts w:ascii="Consolas" w:hAnsi="Consolas"/>
        </w:rPr>
        <w:t>.atr.relativ_prozent</w:t>
      </w:r>
      <w:r>
        <w:t>). Spot hat</w:t>
      </w:r>
    </w:p>
    <w:p>
      <w:pPr/>
      <w:r>
        <w:t>dieselbe strukturelle Lücke (ATR nur absolut, keine SL-Distanz-Volatilitäts-</w:t>
      </w:r>
    </w:p>
    <w:p>
      <w:pPr/>
      <w:r>
        <w:t>Bindung in Regel 16), wurde aber nicht angefasst — Auslöser war ein Hebel-</w:t>
      </w:r>
    </w:p>
    <w:p>
      <w:pPr/>
      <w:r>
        <w:t>spezifischer Backtest, die Frage ob Spot dieselbe Nachbesserung braucht wurde</w:t>
      </w:r>
    </w:p>
    <w:p>
      <w:pPr/>
      <w:r>
        <w:t xml:space="preserve">mit dem Nutzer noch nicht besprochen. </w:t>
      </w:r>
      <w:r>
        <w:rPr>
          <w:b/>
        </w:rPr>
        <w:t>Offen.</w:t>
      </w:r>
    </w:p>
    <w:p>
      <w:pPr>
        <w:pStyle w:val="Heading2"/>
      </w:pPr>
      <w:r>
        <w:t>4. Vollständiger Fakten-Katalog</w:t>
      </w:r>
    </w:p>
    <w:p>
      <w:pPr/>
      <w:r>
        <w:t>*(Rohdaten aus dem Codebase-Audit vom 2026-07-28. Referenz für Detailfragen — bei</w:t>
      </w:r>
    </w:p>
    <w:p>
      <w:pPr/>
      <w:r>
        <w:t>Unklarheiten über einen einzelnen Fakt hier nachschlagen, bevor eine Prompt-Änderung</w:t>
      </w:r>
    </w:p>
    <w:p>
      <w:pPr/>
      <w:r>
        <w:t>vorgenommen wird.)*</w:t>
      </w:r>
    </w:p>
    <w:p>
      <w:pPr>
        <w:pStyle w:val="Heading3"/>
      </w:pPr>
      <w:r>
        <w:t>4.1 Legende</w:t>
      </w:r>
    </w:p>
    <w:p>
      <w:pPr>
        <w:pStyle w:val="ListBullet"/>
      </w:pPr>
      <w:r>
        <w:rPr>
          <w:b/>
        </w:rPr>
        <w:t>Prompt-Regel</w:t>
      </w:r>
      <w:r>
        <w:t>: wörtliches oder sehr nahes Zitat aus dem jeweiligen SYSTEM_PROMPT, mit Regelnummer.</w:t>
      </w:r>
    </w:p>
    <w:p>
      <w:pPr>
        <w:pStyle w:val="ListBullet"/>
      </w:pPr>
      <w:r>
        <w:rPr>
          <w:b/>
        </w:rPr>
        <w:t>Gate</w:t>
      </w:r>
      <w:r>
        <w:t xml:space="preserve">: Fundstelle in </w:t>
      </w:r>
      <w:r>
        <w:rPr>
          <w:rFonts w:ascii="Consolas" w:hAnsi="Consolas"/>
        </w:rPr>
        <w:t>risk_gate.py</w:t>
      </w:r>
      <w:r>
        <w:t>/</w:t>
      </w:r>
      <w:r>
        <w:rPr>
          <w:rFonts w:ascii="Consolas" w:hAnsi="Consolas"/>
        </w:rPr>
        <w:t>hebel_risk_gate.py</w:t>
      </w:r>
      <w:r>
        <w:t xml:space="preserve"> (Datei:Zeile), falls der Fakt dort deterministisch ausgewertet wird.</w:t>
      </w:r>
    </w:p>
    <w:p>
      <w:pPr>
        <w:pStyle w:val="Heading3"/>
      </w:pPr>
      <w:r>
        <w:t>4.2 Spot-Pipeline (</w:t>
      </w:r>
      <w:r>
        <w:rPr>
          <w:rFonts w:ascii="Consolas" w:hAnsi="Consolas"/>
        </w:rPr>
        <w:t>build_facts()</w:t>
      </w:r>
      <w:r>
        <w:t>)</w:t>
      </w:r>
    </w:p>
    <w:p>
      <w:pPr/>
      <w:r>
        <w:rPr>
          <w:b/>
        </w:rPr>
      </w:r>
      <w:r>
        <w:rPr>
          <w:rFonts w:ascii="Consolas" w:hAnsi="Consolas"/>
        </w:rPr>
        <w:t>asset.*</w:t>
      </w:r>
      <w:r>
        <w:rPr>
          <w:b/>
        </w:rPr>
      </w:r>
    </w:p>
    <w:p>
      <w:pPr>
        <w:pStyle w:val="ListBullet"/>
      </w:pPr>
      <w:r>
        <w:rPr>
          <w:rFonts w:ascii="Consolas" w:hAnsi="Consolas"/>
        </w:rPr>
        <w:t>asset.symbol</w:t>
      </w:r>
      <w:r>
        <w:t xml:space="preserve"> — keine Regel; Gate: </w:t>
      </w:r>
      <w:r>
        <w:rPr>
          <w:rFonts w:ascii="Consolas" w:hAnsi="Consolas"/>
        </w:rPr>
        <w:t>pipeline.py:692-705</w:t>
      </w:r>
      <w:r>
        <w:t xml:space="preserve"> steuert </w:t>
      </w:r>
      <w:r>
        <w:rPr>
          <w:rFonts w:ascii="Consolas" w:hAnsi="Consolas"/>
        </w:rPr>
        <w:t>tranchen_erlaubt</w:t>
      </w:r>
      <w:r>
        <w:t>/</w:t>
      </w:r>
      <w:r>
        <w:rPr>
          <w:rFonts w:ascii="Consolas" w:hAnsi="Consolas"/>
        </w:rPr>
        <w:t>cash_reserve_ziel</w:t>
      </w:r>
      <w:r>
        <w:t>/</w:t>
      </w:r>
      <w:r>
        <w:rPr>
          <w:rFonts w:ascii="Consolas" w:hAnsi="Consolas"/>
        </w:rPr>
        <w:t>btc_relativwert</w:t>
      </w:r>
      <w:r>
        <w:t>-Ausschluss über Symbolvergleich.</w:t>
      </w:r>
    </w:p>
    <w:p>
      <w:pPr>
        <w:pStyle w:val="ListBullet"/>
      </w:pPr>
      <w:r>
        <w:rPr>
          <w:rFonts w:ascii="Consolas" w:hAnsi="Consolas"/>
        </w:rPr>
        <w:t>asset.name</w:t>
      </w:r>
      <w:r>
        <w:t xml:space="preserve"> — keine Regel, kein Gate.</w:t>
      </w:r>
    </w:p>
    <w:p>
      <w:pPr>
        <w:pStyle w:val="ListBullet"/>
      </w:pPr>
      <w:r>
        <w:rPr>
          <w:rFonts w:ascii="Consolas" w:hAnsi="Consolas"/>
        </w:rPr>
        <w:t>asset.rolle</w:t>
      </w:r>
      <w:r>
        <w:t xml:space="preserve"> (core/taktisch) — </w:t>
      </w:r>
      <w:r>
        <w:rPr>
          <w:b/>
        </w:rPr>
        <w:t>Regel 7/8</w:t>
      </w:r>
      <w:r>
        <w:t xml:space="preserve">: core/Wiedereinstiegs-Kandidaten → zwei getrennte Bewertungsebenen (technisch + fundamentale These); sonst </w:t>
      </w:r>
      <w:r>
        <w:rPr>
          <w:rFonts w:ascii="Consolas" w:hAnsi="Consolas"/>
        </w:rPr>
        <w:t>regime.btc_matrix</w:t>
      </w:r>
      <w:r>
        <w:t xml:space="preserve">-Skepsis. Gate: </w:t>
      </w:r>
      <w:r>
        <w:rPr>
          <w:rFonts w:ascii="Consolas" w:hAnsi="Consolas"/>
        </w:rPr>
        <w:t>risk_gate.py:304-308</w:t>
      </w:r>
      <w:r>
        <w:t xml:space="preserve"> (RM-2 Kern- vs. Asset-Limit), </w:t>
      </w:r>
      <w:r>
        <w:rPr>
          <w:rFonts w:ascii="Consolas" w:hAnsi="Consolas"/>
        </w:rPr>
        <w:t>:330-335</w:t>
      </w:r>
      <w:r>
        <w:t xml:space="preserve"> (Small-Cap-Veto-Vorbedingung).</w:t>
      </w:r>
    </w:p>
    <w:p>
      <w:pPr>
        <w:pStyle w:val="ListBullet"/>
      </w:pPr>
      <w:r>
        <w:rPr>
          <w:rFonts w:ascii="Consolas" w:hAnsi="Consolas"/>
        </w:rPr>
        <w:t>asset.wird_aktuell_gehalten</w:t>
      </w:r>
      <w:r>
        <w:t xml:space="preserve"> — Regel 7 (Teil der Wiedereinstiegs-Bedingung); kein direktes Gate.</w:t>
      </w:r>
    </w:p>
    <w:p>
      <w:pPr>
        <w:pStyle w:val="ListBullet"/>
      </w:pPr>
      <w:r>
        <w:rPr>
          <w:rFonts w:ascii="Consolas" w:hAnsi="Consolas"/>
        </w:rPr>
        <w:t>asset.beobachtungsstatus</w:t>
      </w:r>
      <w:r>
        <w:t xml:space="preserve"> — Regel 7/8; kein Gate.</w:t>
      </w:r>
    </w:p>
    <w:p>
      <w:pPr>
        <w:pStyle w:val="ListBullet"/>
      </w:pPr>
      <w:r>
        <w:rPr>
          <w:rFonts w:ascii="Consolas" w:hAnsi="Consolas"/>
        </w:rPr>
        <w:t>asset.bitpanda_gelistet</w:t>
      </w:r>
      <w:r>
        <w:t xml:space="preserve"> — </w:t>
      </w:r>
      <w:r>
        <w:rPr>
          <w:b/>
        </w:rPr>
        <w:t>Regel 2</w:t>
      </w:r>
      <w:r>
        <w:t xml:space="preserve">: </w:t>
      </w:r>
      <w:r>
        <w:rPr>
          <w:rFonts w:ascii="Consolas" w:hAnsi="Consolas"/>
        </w:rPr>
        <w:t>false</w:t>
      </w:r>
      <w:r>
        <w:t xml:space="preserve"> ist typischster Veto-Grund, explizit benennen. Gate: </w:t>
      </w:r>
      <w:r>
        <w:rPr>
          <w:rFonts w:ascii="Consolas" w:hAnsi="Consolas"/>
        </w:rPr>
        <w:t>risk_gate.py:290-299</w:t>
      </w:r>
      <w:r>
        <w:t>, hartes Veto (</w:t>
      </w:r>
      <w:r>
        <w:rPr>
          <w:rFonts w:ascii="Consolas" w:hAnsi="Consolas"/>
        </w:rPr>
        <w:t>kauf_erlaubt=False</w:t>
      </w:r>
      <w:r>
        <w:t xml:space="preserve">); </w:t>
      </w:r>
      <w:r>
        <w:rPr>
          <w:rFonts w:ascii="Consolas" w:hAnsi="Consolas"/>
        </w:rPr>
        <w:t>None</w:t>
      </w:r>
      <w:r>
        <w:t xml:space="preserve"> löst bewusst kein Veto aus.</w:t>
      </w:r>
    </w:p>
    <w:p>
      <w:pPr/>
      <w:r>
        <w:rPr>
          <w:b/>
        </w:rPr>
      </w:r>
      <w:r>
        <w:rPr>
          <w:rFonts w:ascii="Consolas" w:hAnsi="Consolas"/>
        </w:rPr>
        <w:t>preis.*</w:t>
      </w:r>
      <w:r>
        <w:rPr>
          <w:b/>
        </w:rPr>
      </w:r>
    </w:p>
    <w:p>
      <w:pPr>
        <w:pStyle w:val="ListBullet"/>
      </w:pPr>
      <w:r>
        <w:rPr>
          <w:rFonts w:ascii="Consolas" w:hAnsi="Consolas"/>
        </w:rPr>
        <w:t>preis.usd</w:t>
      </w:r>
      <w:r>
        <w:t>/</w:t>
      </w:r>
      <w:r>
        <w:rPr>
          <w:rFonts w:ascii="Consolas" w:hAnsi="Consolas"/>
        </w:rPr>
        <w:t>preis.eur</w:t>
      </w:r>
      <w:r>
        <w:t xml:space="preserve"> — </w:t>
      </w:r>
      <w:r>
        <w:rPr>
          <w:b/>
        </w:rPr>
        <w:t>Regel 4</w:t>
      </w:r>
      <w:r>
        <w:t xml:space="preserve">: Zonen-Ableitung auf USD und EUR gleichermaßen. Gate: </w:t>
      </w:r>
      <w:r>
        <w:rPr>
          <w:rFonts w:ascii="Consolas" w:hAnsi="Consolas"/>
        </w:rPr>
        <w:t>risk_gate.py:209-216</w:t>
      </w:r>
      <w:r>
        <w:t xml:space="preserve"> (Stop-Loss-Distanz-Basis), </w:t>
      </w:r>
      <w:r>
        <w:rPr>
          <w:rFonts w:ascii="Consolas" w:hAnsi="Consolas"/>
        </w:rPr>
        <w:t>:354-357</w:t>
      </w:r>
      <w:r>
        <w:t xml:space="preserve"> (EUR-Positionsobergrenze); EUR-Werte seit 2026-07-27 deterministisch über </w:t>
      </w:r>
      <w:r>
        <w:rPr>
          <w:rFonts w:ascii="Consolas" w:hAnsi="Consolas"/>
        </w:rPr>
        <w:t>eur_aus_usd()</w:t>
      </w:r>
      <w:r>
        <w:t xml:space="preserve"> ersetzt.</w:t>
      </w:r>
    </w:p>
    <w:p>
      <w:pPr>
        <w:pStyle w:val="ListBullet"/>
      </w:pPr>
      <w:r>
        <w:rPr>
          <w:rFonts w:ascii="Consolas" w:hAnsi="Consolas"/>
        </w:rPr>
        <w:t>preis.aktualisiert_vor_min</w:t>
      </w:r>
      <w:r>
        <w:t xml:space="preserve"> — keine Regel; äquivalentes Kriterium </w:t>
      </w:r>
      <w:r>
        <w:rPr>
          <w:rFonts w:ascii="Consolas" w:hAnsi="Consolas"/>
        </w:rPr>
        <w:t>is_price_stale()</w:t>
      </w:r>
      <w:r>
        <w:t xml:space="preserve"> läuft als eigenes Vor-LLM-Gate.</w:t>
      </w:r>
    </w:p>
    <w:p>
      <w:pPr/>
      <w:r>
        <w:rPr>
          <w:b/>
        </w:rPr>
      </w:r>
      <w:r>
        <w:rPr>
          <w:rFonts w:ascii="Consolas" w:hAnsi="Consolas"/>
        </w:rPr>
        <w:t>haltung.*</w:t>
      </w:r>
      <w:r>
        <w:t>** (Spot-only)</w:t>
      </w:r>
    </w:p>
    <w:p>
      <w:pPr>
        <w:pStyle w:val="ListBullet"/>
      </w:pPr>
      <w:r>
        <w:rPr>
          <w:rFonts w:ascii="Consolas" w:hAnsi="Consolas"/>
        </w:rPr>
        <w:t>haltung.menge</w:t>
      </w:r>
      <w:r>
        <w:t>/</w:t>
      </w:r>
      <w:r>
        <w:rPr>
          <w:rFonts w:ascii="Consolas" w:hAnsi="Consolas"/>
        </w:rPr>
        <w:t>.wert_usd</w:t>
      </w:r>
      <w:r>
        <w:t xml:space="preserve"> — keine Regel, kein Gate.</w:t>
      </w:r>
    </w:p>
    <w:p>
      <w:pPr>
        <w:pStyle w:val="ListBullet"/>
      </w:pPr>
      <w:r>
        <w:rPr>
          <w:rFonts w:ascii="Consolas" w:hAnsi="Consolas"/>
        </w:rPr>
        <w:t>haltung.einstandspreis_eur</w:t>
      </w:r>
      <w:r>
        <w:t>/</w:t>
      </w:r>
      <w:r>
        <w:rPr>
          <w:rFonts w:ascii="Consolas" w:hAnsi="Consolas"/>
        </w:rPr>
        <w:t>.einstandspreis_quelle</w:t>
      </w:r>
      <w:r>
        <w:t>/</w:t>
      </w:r>
      <w:r>
        <w:rPr>
          <w:rFonts w:ascii="Consolas" w:hAnsi="Consolas"/>
        </w:rPr>
        <w:t>.menge_ohne_bekannten_einstandspreis</w:t>
      </w:r>
      <w:r>
        <w:t>/</w:t>
      </w:r>
      <w:r>
        <w:rPr>
          <w:rFonts w:ascii="Consolas" w:hAnsi="Consolas"/>
        </w:rPr>
        <w:t>.gewinn_verlust_pct</w:t>
      </w:r>
      <w:r>
        <w:t xml:space="preserve"> — </w:t>
      </w:r>
      <w:r>
        <w:rPr>
          <w:b/>
        </w:rPr>
        <w:t>Regel 19</w:t>
      </w:r>
      <w:r>
        <w:t>: niedrig gewichteter Kontext, KEIN Ersatz für Stop-Loss-/CRV-Pflicht; bei "unbekannt"-Quelle Unsicherheit erwähnen. Kein Gate.</w:t>
      </w:r>
    </w:p>
    <w:p>
      <w:pPr/>
      <w:r>
        <w:rPr>
          <w:b/>
        </w:rPr>
        <w:t>`vorherige_empfehlung`</w:t>
      </w:r>
      <w:r>
        <w:t xml:space="preserve"> (Spot-only) — </w:t>
      </w:r>
      <w:r>
        <w:rPr>
          <w:b/>
        </w:rPr>
        <w:t>Regel 21</w:t>
      </w:r>
      <w:r>
        <w:t>: nicht umgesetzte Verkaufs-/Tauschempfehlung explizit ansprechen, nicht unverändert wiederholen. Kein Gate (rein Prompt-seitig, Erzeugung selbst deterministisch).</w:t>
      </w:r>
    </w:p>
    <w:p>
      <w:pPr/>
      <w:r>
        <w:rPr>
          <w:b/>
        </w:rPr>
      </w:r>
      <w:r>
        <w:rPr>
          <w:rFonts w:ascii="Consolas" w:hAnsi="Consolas"/>
        </w:rPr>
        <w:t>historische_erfolgsquote.*</w:t>
      </w:r>
      <w:r>
        <w:rPr>
          <w:b/>
        </w:rPr>
        <w:t xml:space="preserve"> (beide Pipelines) — </w:t>
      </w:r>
      <w:r>
        <w:t>Regel 23 (Spot) / 14 (Hebel)</w:t>
      </w:r>
      <w:r>
        <w:rPr>
          <w:b/>
        </w:rPr>
        <w:t xml:space="preserve">: schwaches Zusatzindiz für Konfidenz-Kalibrierung, ersetzt nicht die eigenständige Analyse; Stichprobengröße beachten. Gate: </w:t>
      </w:r>
      <w:r>
        <w:t xml:space="preserve">nur Hebel** — </w:t>
      </w:r>
      <w:r>
        <w:rPr>
          <w:rFonts w:ascii="Consolas" w:hAnsi="Consolas"/>
        </w:rPr>
        <w:t>hebel_risk_gate.py:518-536</w:t>
      </w:r>
      <w:r>
        <w:t xml:space="preserve"> (Schwelle n≥15, Trefferquote-Schwellen 30/60).</w:t>
      </w:r>
    </w:p>
    <w:p>
      <w:pPr/>
      <w:r>
        <w:rPr>
          <w:b/>
        </w:rPr>
      </w:r>
      <w:r>
        <w:rPr>
          <w:rFonts w:ascii="Consolas" w:hAnsi="Consolas"/>
        </w:rPr>
        <w:t>historischer_makro_vergleich.*</w:t>
      </w:r>
      <w:r>
        <w:rPr>
          <w:b/>
        </w:rPr>
        <w:t xml:space="preserve"> (beide) — </w:t>
      </w:r>
      <w:r>
        <w:t xml:space="preserve">Regel 24 (Spot) / 15 (Hebel)**: Analog-Monate, </w:t>
      </w:r>
      <w:r>
        <w:rPr>
          <w:rFonts w:ascii="Consolas" w:hAnsi="Consolas"/>
        </w:rPr>
        <w:t>btc_forward_*</w:t>
      </w:r>
      <w:r>
        <w:t>-Werte NIEMALS als belastbare Statistik. Kein Gate in beiden. Siehe 3.1 zur Zeithorizont-Frage bei Hebel.</w:t>
      </w:r>
    </w:p>
    <w:p>
      <w:pPr/>
      <w:r>
        <w:rPr>
          <w:b/>
        </w:rPr>
      </w:r>
      <w:r>
        <w:rPr>
          <w:rFonts w:ascii="Consolas" w:hAnsi="Consolas"/>
        </w:rPr>
        <w:t>liquiditaetszonen.*</w:t>
      </w:r>
      <w:r>
        <w:rPr>
          <w:b/>
        </w:rPr>
        <w:t xml:space="preserve"> (beide) — </w:t>
      </w:r>
      <w:r>
        <w:t>Regel 25 (Spot) / 17 (Hebel)</w:t>
      </w:r>
      <w:r>
        <w:rPr>
          <w:b/>
        </w:rPr>
        <w:t xml:space="preserve">: Marketmaker-Konzept, rein informativ. `.in_naehe_ungefegter_zone` → Gate: `risk_gate.py:699-710`/`hebel_risk_gate.py:587-598`, aber </w:t>
      </w:r>
      <w:r>
        <w:t xml:space="preserve">immer neutral bewertet**, kein Deckel. </w:t>
      </w:r>
      <w:r>
        <w:rPr>
          <w:rFonts w:ascii="Consolas" w:hAnsi="Consolas"/>
        </w:rPr>
        <w:t>.kursverlauf[]</w:t>
      </w:r>
      <w:r>
        <w:t xml:space="preserve"> (90 Punkte) ist reine Chart-Nutzlast im Prompt ohne Regel.</w:t>
      </w:r>
    </w:p>
    <w:p>
      <w:pPr/>
      <w:r>
        <w:rPr>
          <w:b/>
        </w:rPr>
      </w:r>
      <w:r>
        <w:rPr>
          <w:rFonts w:ascii="Consolas" w:hAnsi="Consolas"/>
        </w:rPr>
        <w:t>signal_stabilitaet.*</w:t>
      </w:r>
      <w:r>
        <w:rPr>
          <w:b/>
        </w:rPr>
        <w:t xml:space="preserve"> (beide) — </w:t>
      </w:r>
      <w:r>
        <w:t xml:space="preserve">Regel 26 (Spot) / 18 (Hebel)**: reine Transparenz, explizit KEIN Eingabewert für die eigene Konfidenz (sonst zirkulär). </w:t>
      </w:r>
      <w:r>
        <w:rPr>
          <w:rFonts w:ascii="Consolas" w:hAnsi="Consolas"/>
        </w:rPr>
        <w:t>.stabil</w:t>
      </w:r>
      <w:r>
        <w:t>/</w:t>
      </w:r>
      <w:r>
        <w:rPr>
          <w:rFonts w:ascii="Consolas" w:hAnsi="Consolas"/>
        </w:rPr>
        <w:t>.einordnung</w:t>
      </w:r>
      <w:r>
        <w:t xml:space="preserve"> → Gate: </w:t>
      </w:r>
      <w:r>
        <w:rPr>
          <w:rFonts w:ascii="Consolas" w:hAnsi="Consolas"/>
        </w:rPr>
        <w:t>risk_gate.py:717-721</w:t>
      </w:r>
      <w:r>
        <w:t>/</w:t>
      </w:r>
      <w:r>
        <w:rPr>
          <w:rFonts w:ascii="Consolas" w:hAnsi="Consolas"/>
        </w:rPr>
        <w:t>hebel_risk_gate.py:604-608</w:t>
      </w:r>
      <w:r>
        <w:t>, echter Risikofaktor, aber kein Deckel. Übrige Unterschlüssel (</w:t>
      </w:r>
      <w:r>
        <w:rPr>
          <w:rFonts w:ascii="Consolas" w:hAnsi="Consolas"/>
        </w:rPr>
        <w:t>.verlauf[]</w:t>
      </w:r>
      <w:r>
        <w:t xml:space="preserve"> etc.) ohne Regel/Gate.</w:t>
      </w:r>
    </w:p>
    <w:p>
      <w:pPr/>
      <w:r>
        <w:rPr>
          <w:b/>
        </w:rPr>
      </w:r>
      <w:r>
        <w:rPr>
          <w:rFonts w:ascii="Consolas" w:hAnsi="Consolas"/>
        </w:rPr>
        <w:t>btc_relativwert.*</w:t>
      </w:r>
      <w:r>
        <w:rPr>
          <w:b/>
        </w:rPr>
        <w:t xml:space="preserve"> (beide, `null` bei BTC) — </w:t>
      </w:r>
      <w:r>
        <w:t>Regel 28 (Spot) / 20 (Hebel)</w:t>
      </w:r>
      <w:r>
        <w:rPr>
          <w:b/>
        </w:rPr>
        <w:t xml:space="preserve">: Korrelation/Beta/Relativstärke, mehrmonatiger Hintergrund, NIEMALS Grundlage für kurzfristige Entscheidung. Gate: </w:t>
      </w:r>
      <w:r>
        <w:t xml:space="preserve">nur Hebel** — </w:t>
      </w:r>
      <w:r>
        <w:rPr>
          <w:rFonts w:ascii="Consolas" w:hAnsi="Consolas"/>
        </w:rPr>
        <w:t>hebel_risk_gate.py:331-335</w:t>
      </w:r>
      <w:r>
        <w:t>, mildert Regime-Konflikt-Text bei niedriger Korrelation/hoher Relativstärke ab (nur textuell).</w:t>
      </w:r>
    </w:p>
    <w:p>
      <w:pPr/>
      <w:r>
        <w:rPr>
          <w:b/>
        </w:rPr>
      </w:r>
      <w:r>
        <w:rPr>
          <w:rFonts w:ascii="Consolas" w:hAnsi="Consolas"/>
        </w:rPr>
        <w:t>technische_analyse.*</w:t>
      </w:r>
      <w:r>
        <w:t>** (identisch in beiden)</w:t>
      </w:r>
    </w:p>
    <w:p>
      <w:pPr>
        <w:pStyle w:val="ListBullet"/>
      </w:pPr>
      <w:r>
        <w:rPr>
          <w:rFonts w:ascii="Consolas" w:hAnsi="Consolas"/>
        </w:rPr>
        <w:t>.ema</w:t>
      </w:r>
      <w:r>
        <w:t>/</w:t>
      </w:r>
      <w:r>
        <w:rPr>
          <w:rFonts w:ascii="Consolas" w:hAnsi="Consolas"/>
        </w:rPr>
        <w:t>.macd</w:t>
      </w:r>
      <w:r>
        <w:t>/</w:t>
      </w:r>
      <w:r>
        <w:rPr>
          <w:rFonts w:ascii="Consolas" w:hAnsi="Consolas"/>
        </w:rPr>
        <w:t>.rsi_14</w:t>
      </w:r>
      <w:r>
        <w:t>/</w:t>
      </w:r>
      <w:r>
        <w:rPr>
          <w:rFonts w:ascii="Consolas" w:hAnsi="Consolas"/>
        </w:rPr>
        <w:t>.bollinger</w:t>
      </w:r>
      <w:r>
        <w:t xml:space="preserve"> — indirekt über </w:t>
      </w:r>
      <w:r>
        <w:rPr>
          <w:rFonts w:ascii="Consolas" w:hAnsi="Consolas"/>
        </w:rPr>
        <w:t>.confluence</w:t>
      </w:r>
      <w:r>
        <w:t>; MACD/RSI/Bollinger zusätzlich als hartes Verfügbarkeits-Gate vor jedem LLM-Call (</w:t>
      </w:r>
      <w:r>
        <w:rPr>
          <w:rFonts w:ascii="Consolas" w:hAnsi="Consolas"/>
        </w:rPr>
        <w:t>MIN_GATE_INDICATORS_AVAILABLE</w:t>
      </w:r>
      <w:r>
        <w:t>).</w:t>
      </w:r>
    </w:p>
    <w:p>
      <w:pPr>
        <w:pStyle w:val="ListBullet"/>
      </w:pPr>
      <w:r>
        <w:rPr>
          <w:rFonts w:ascii="Consolas" w:hAnsi="Consolas"/>
        </w:rPr>
        <w:t>.atr.wert</w:t>
      </w:r>
      <w:r>
        <w:t xml:space="preserve"> — </w:t>
      </w:r>
      <w:r>
        <w:rPr>
          <w:b/>
        </w:rPr>
        <w:t>Regel 16 (Spot) / 6 (Hebel)</w:t>
      </w:r>
      <w:r>
        <w:t xml:space="preserve">: Zonen-Ableitung aus echten Referenzpunkten. Gate: zentral — Stop-Loss-Distanz, RM-5-Veto bei Fehlen, RM-1-Obergrenze, Hebel: </w:t>
      </w:r>
      <w:r>
        <w:rPr>
          <w:rFonts w:ascii="Consolas" w:hAnsi="Consolas"/>
        </w:rPr>
        <w:t>max_safe_hebel()</w:t>
      </w:r>
      <w:r>
        <w:t>.</w:t>
      </w:r>
    </w:p>
    <w:p>
      <w:pPr>
        <w:pStyle w:val="ListBullet"/>
      </w:pPr>
      <w:r>
        <w:rPr>
          <w:rFonts w:ascii="Consolas" w:hAnsi="Consolas"/>
        </w:rPr>
        <w:t>.atr.relativ_prozent</w:t>
      </w:r>
      <w:r>
        <w:t xml:space="preserve"> (NEU 2026-07-28, </w:t>
      </w:r>
      <w:r>
        <w:rPr>
          <w:b/>
        </w:rPr>
        <w:t>nur Hebel</w:t>
      </w:r>
      <w:r>
        <w:t xml:space="preserve">) — ATR ÷ Kurs × 100, damit das LLM die Umrechnung nicht selbst vornehmen muss. Auslöser: Backtest von 61 aufgelösten Hebel-Trades zeigte SL-Abstand &lt;5% mit 0-16,7% Win-Rate vs. 31,2% bei 5-10% (siehe [[project_enge_stop_loss_backtest_und_massnahmen]]). Frage 1 (Gate/deterministisch?) explizit verneint — Nutzer schloss einen harten Veto aus ("keine Signale unnötig wegschmeissen"); stattdessen Frage 2 (LLM-Urteil mit Kontext): Regel 6 um einen Richtwert erweitert (SL-Abstand i.d.R. ≥ 1,5× </w:t>
      </w:r>
      <w:r>
        <w:rPr>
          <w:rFonts w:ascii="Consolas" w:hAnsi="Consolas"/>
        </w:rPr>
        <w:t>atr.relativ_prozent</w:t>
      </w:r>
      <w:r>
        <w:t xml:space="preserve">, mit Backtest-Zahlen als Begründung im Prompt, explizite Abweichungs-Erlaubnis bei Support/Widerstand/Fibonacci). </w:t>
      </w:r>
      <w:r>
        <w:rPr>
          <w:b/>
        </w:rPr>
        <w:t>Kategorie (b)</w:t>
      </w:r>
      <w:r>
        <w:t xml:space="preserve"> — Prompt-Regel, kein Gate. Bei Spot fehlt dieses Feld bisher komplett (siehe 3.3, neuer Punkt 6) — nicht mit dem Nutzer abgestimmt, ob das nachgezogen werden soll.</w:t>
      </w:r>
    </w:p>
    <w:p>
      <w:pPr>
        <w:pStyle w:val="ListBullet"/>
      </w:pPr>
      <w:r>
        <w:rPr>
          <w:rFonts w:ascii="Consolas" w:hAnsi="Consolas"/>
        </w:rPr>
        <w:t>.atr.perzentil</w:t>
      </w:r>
      <w:r>
        <w:t xml:space="preserve"> — </w:t>
      </w:r>
      <w:r>
        <w:rPr>
          <w:b/>
        </w:rPr>
        <w:t>Regel 27 (Spot) / 19 (Hebel)</w:t>
      </w:r>
      <w:r>
        <w:t>: reiner Risiko-/Positionsgrößen-Kontext, keine Richtungsaussage. Gate: negativ ab Schwelle, sonst neutral, nie positiv, kein Deckel.</w:t>
      </w:r>
    </w:p>
    <w:p>
      <w:pPr>
        <w:pStyle w:val="ListBullet"/>
      </w:pPr>
      <w:r>
        <w:rPr>
          <w:rFonts w:ascii="Consolas" w:hAnsi="Consolas"/>
        </w:rPr>
        <w:t>.support_resistance</w:t>
      </w:r>
      <w:r>
        <w:t>/</w:t>
      </w:r>
      <w:r>
        <w:rPr>
          <w:rFonts w:ascii="Consolas" w:hAnsi="Consolas"/>
        </w:rPr>
        <w:t>.fibonacci</w:t>
      </w:r>
      <w:r>
        <w:t xml:space="preserve"> — </w:t>
      </w:r>
      <w:r>
        <w:rPr>
          <w:b/>
        </w:rPr>
        <w:t>Regel 9</w:t>
      </w:r>
      <w:r>
        <w:t>: explizit relativ zum aktuellen Kurs einordnen, sonst würden diese Level "systematisch ignoriert". Kein Gate.</w:t>
      </w:r>
    </w:p>
    <w:p>
      <w:pPr>
        <w:pStyle w:val="ListBullet"/>
      </w:pPr>
      <w:r>
        <w:rPr>
          <w:rFonts w:ascii="Consolas" w:hAnsi="Consolas"/>
        </w:rPr>
        <w:t>.confluence.gesamttendenz</w:t>
      </w:r>
      <w:r>
        <w:t xml:space="preserve"> — </w:t>
      </w:r>
      <w:r>
        <w:rPr>
          <w:b/>
        </w:rPr>
        <w:t>Regel 22 (Spot) / 13 (Hebel)</w:t>
      </w:r>
      <w:r>
        <w:t>: Pflicht-Prüfpunkt fürs Gegenargument bei "gemischt". Gate: doppelt — Positionsgrößen-/Hebel-Deckel bei "gemischt", plus Risikofaktor bullish/bearish gegen die gewählte Richtung.</w:t>
      </w:r>
    </w:p>
    <w:p>
      <w:pPr/>
      <w:r>
        <w:rPr>
          <w:b/>
        </w:rPr>
      </w:r>
      <w:r>
        <w:rPr>
          <w:rFonts w:ascii="Consolas" w:hAnsi="Consolas"/>
        </w:rPr>
        <w:t>regime.*</w:t>
      </w:r>
      <w:r>
        <w:t>** (Spot hat mehr Felder als Hebel, siehe 4.3)</w:t>
      </w:r>
    </w:p>
    <w:p>
      <w:pPr>
        <w:pStyle w:val="ListBullet"/>
      </w:pPr>
      <w:r>
        <w:rPr>
          <w:rFonts w:ascii="Consolas" w:hAnsi="Consolas"/>
        </w:rPr>
        <w:t>regime.wert</w:t>
      </w:r>
      <w:r>
        <w:t xml:space="preserve"> — Hebel </w:t>
      </w:r>
      <w:r>
        <w:rPr>
          <w:b/>
        </w:rPr>
        <w:t>Regel 3</w:t>
      </w:r>
      <w:r>
        <w:t xml:space="preserve">: </w:t>
      </w:r>
      <w:r>
        <w:rPr>
          <w:rFonts w:ascii="Consolas" w:hAnsi="Consolas"/>
        </w:rPr>
        <w:t>krise_extrem</w:t>
      </w:r>
      <w:r>
        <w:t xml:space="preserve"> → IMMER HALTEN. Gate: massiv — Small-Cap-Budget, Mindestkonfidenz-Veto, Positionsgrößen-Skalierung (Spot); Hebel-Totalveto bei </w:t>
      </w:r>
      <w:r>
        <w:rPr>
          <w:rFonts w:ascii="Consolas" w:hAnsi="Consolas"/>
        </w:rPr>
        <w:t>krise_extrem</w:t>
      </w:r>
      <w:r>
        <w:t>, Hebel-Deckel, Risikofaktor (Hebel).</w:t>
      </w:r>
    </w:p>
    <w:p>
      <w:pPr>
        <w:pStyle w:val="ListBullet"/>
      </w:pPr>
      <w:r>
        <w:rPr>
          <w:rFonts w:ascii="Consolas" w:hAnsi="Consolas"/>
        </w:rPr>
        <w:t>regime.fear_greed.wert</w:t>
      </w:r>
      <w:r>
        <w:t>/</w:t>
      </w:r>
      <w:r>
        <w:rPr>
          <w:rFonts w:ascii="Consolas" w:hAnsi="Consolas"/>
        </w:rPr>
        <w:t>.einstufung</w:t>
      </w:r>
      <w:r>
        <w:t xml:space="preserve"> — </w:t>
      </w:r>
      <w:r>
        <w:rPr>
          <w:b/>
        </w:rPr>
        <w:t>keine Regel in beiden Prompts, keine Gate-Nutzung.</w:t>
      </w:r>
      <w:r>
        <w:t xml:space="preserve"> Siehe 3.2.</w:t>
      </w:r>
    </w:p>
    <w:p>
      <w:pPr>
        <w:pStyle w:val="ListBullet"/>
      </w:pPr>
      <w:r>
        <w:rPr>
          <w:rFonts w:ascii="Consolas" w:hAnsi="Consolas"/>
        </w:rPr>
        <w:t>regime.btc_matrix</w:t>
      </w:r>
      <w:r>
        <w:t>/</w:t>
      </w:r>
      <w:r>
        <w:rPr>
          <w:rFonts w:ascii="Consolas" w:hAnsi="Consolas"/>
        </w:rPr>
        <w:t>.btc_matrix_hinweis</w:t>
      </w:r>
      <w:r>
        <w:t xml:space="preserve"> — </w:t>
      </w:r>
      <w:r>
        <w:rPr>
          <w:b/>
        </w:rPr>
        <w:t>Regel 8 (Spot) / 16 (Hebel)</w:t>
      </w:r>
      <w:r>
        <w:t xml:space="preserve">. Gate: </w:t>
      </w:r>
      <w:r>
        <w:rPr>
          <w:b/>
        </w:rPr>
        <w:t>nur Hebel</w:t>
      </w:r>
      <w:r>
        <w:t xml:space="preserve"> — Risikofaktor "Alt-Coin-Marktphase".</w:t>
      </w:r>
    </w:p>
    <w:p>
      <w:pPr>
        <w:pStyle w:val="ListBullet"/>
      </w:pPr>
      <w:r>
        <w:rPr>
          <w:rFonts w:ascii="Consolas" w:hAnsi="Consolas"/>
        </w:rPr>
        <w:t>regime.liquiditaets_regime</w:t>
      </w:r>
      <w:r>
        <w:t xml:space="preserve">(_begruendung) — </w:t>
      </w:r>
      <w:r>
        <w:rPr>
          <w:b/>
        </w:rPr>
        <w:t>Regel 10 (Spot)</w:t>
      </w:r>
      <w:r>
        <w:t>, niedrig gewichteter Kontext, bei "unbekannt" nicht erwähnen. Kein Gate. Bei Hebel kein eigenes Feld.</w:t>
      </w:r>
    </w:p>
    <w:p>
      <w:pPr>
        <w:pStyle w:val="ListBullet"/>
      </w:pPr>
      <w:r>
        <w:rPr>
          <w:rFonts w:ascii="Consolas" w:hAnsi="Consolas"/>
        </w:rPr>
        <w:t>regime.zyklus_risiko</w:t>
      </w:r>
      <w:r>
        <w:t xml:space="preserve">(_begruendung) — </w:t>
      </w:r>
      <w:r>
        <w:rPr>
          <w:b/>
        </w:rPr>
        <w:t>Regel 11 (Spot)</w:t>
      </w:r>
      <w:r>
        <w:t>: BTC-weite Zyklus-Einordnung, relevant für alle Assets. Kein Gate. Bei Hebel geliefert, aber ohne Regel (siehe 3.1).</w:t>
      </w:r>
    </w:p>
    <w:p>
      <w:pPr>
        <w:pStyle w:val="ListBullet"/>
      </w:pPr>
      <w:r>
        <w:rPr>
          <w:rFonts w:ascii="Consolas" w:hAnsi="Consolas"/>
        </w:rPr>
        <w:t>regime.boden_zielzone_btc/eth.*</w:t>
      </w:r>
      <w:r>
        <w:t xml:space="preserve"> — keine positive Regel; nur negativ über den Halluzinations-Check (</w:t>
      </w:r>
      <w:r>
        <w:rPr>
          <w:rFonts w:ascii="Consolas" w:hAnsi="Consolas"/>
        </w:rPr>
        <w:t>_pruefe_kreuzkontamination()</w:t>
      </w:r>
      <w:r>
        <w:t>) — Erwähnung bei Nicht-BTC/ETH-Symbolen wird als Fehler behandelt.</w:t>
      </w:r>
    </w:p>
    <w:p>
      <w:pPr>
        <w:pStyle w:val="ListBullet"/>
      </w:pPr>
      <w:r>
        <w:rPr>
          <w:rFonts w:ascii="Consolas" w:hAnsi="Consolas"/>
        </w:rPr>
        <w:t>regime.equities_baermarkt.*</w:t>
      </w:r>
      <w:r>
        <w:t>/</w:t>
      </w:r>
      <w:r>
        <w:rPr>
          <w:rFonts w:ascii="Consolas" w:hAnsi="Consolas"/>
        </w:rPr>
        <w:t>regime.vix.*</w:t>
      </w:r>
      <w:r>
        <w:t xml:space="preserve"> — </w:t>
      </w:r>
      <w:r>
        <w:rPr>
          <w:b/>
        </w:rPr>
        <w:t>Regel 10 (Spot)</w:t>
      </w:r>
      <w:r>
        <w:t>: VIX als vorlaufendes Signal, vorsichtige Formulierung verlangt ("nicht immer", keine harte Kausalität). Kein Gate.</w:t>
      </w:r>
    </w:p>
    <w:p>
      <w:pPr>
        <w:pStyle w:val="ListBullet"/>
      </w:pPr>
      <w:r>
        <w:rPr>
          <w:rFonts w:ascii="Consolas" w:hAnsi="Consolas"/>
        </w:rPr>
        <w:t>regime.cash_reserve_ziel.*</w:t>
      </w:r>
      <w:r>
        <w:t xml:space="preserve"> — keine Regel; Docstring explizit "rein informativ, kein neues Veto" — aber deterministisch aus den RM-1/RM-2/RM-4-Zwischenwerten berechnet.</w:t>
      </w:r>
    </w:p>
    <w:p>
      <w:pPr/>
      <w:r>
        <w:rPr>
          <w:b/>
        </w:rPr>
      </w:r>
      <w:r>
        <w:rPr>
          <w:rFonts w:ascii="Consolas" w:hAnsi="Consolas"/>
        </w:rPr>
        <w:t>regime_profil.*</w:t>
      </w:r>
      <w:r>
        <w:t>** (beide)</w:t>
      </w:r>
    </w:p>
    <w:p>
      <w:pPr>
        <w:pStyle w:val="ListBullet"/>
      </w:pPr>
      <w:r>
        <w:rPr>
          <w:rFonts w:ascii="Consolas" w:hAnsi="Consolas"/>
        </w:rPr>
        <w:t>.min_konfidenz_prozent</w:t>
      </w:r>
      <w:r>
        <w:t xml:space="preserve"> — indirekt über Regel 3 referenziert. Gate: hartes Veto (R-5.10) + Sockel der Positionsgrößen-Skalierung.</w:t>
      </w:r>
    </w:p>
    <w:p>
      <w:pPr>
        <w:pStyle w:val="ListBullet"/>
      </w:pPr>
      <w:r>
        <w:rPr>
          <w:rFonts w:ascii="Consolas" w:hAnsi="Consolas"/>
        </w:rPr>
        <w:t>.small_cap_budget_prozent</w:t>
      </w:r>
      <w:r>
        <w:t xml:space="preserve"> — keine Regel; Gate: Small-Cap-Veto.</w:t>
      </w:r>
    </w:p>
    <w:p>
      <w:pPr>
        <w:pStyle w:val="ListBullet"/>
      </w:pPr>
      <w:r>
        <w:rPr>
          <w:rFonts w:ascii="Consolas" w:hAnsi="Consolas"/>
        </w:rPr>
        <w:t>.gewicht_technik/_fundamental/_momentum/_kontext_makro</w:t>
      </w:r>
      <w:r>
        <w:t xml:space="preserve">, </w:t>
      </w:r>
      <w:r>
        <w:rPr>
          <w:rFonts w:ascii="Consolas" w:hAnsi="Consolas"/>
        </w:rPr>
        <w:t>.gewinnabsicherung_verschaerft</w:t>
      </w:r>
      <w:r>
        <w:t xml:space="preserve"> — </w:t>
      </w:r>
      <w:r>
        <w:rPr>
          <w:b/>
        </w:rPr>
        <w:t>keine Regel, kein Gate.</w:t>
      </w:r>
      <w:r>
        <w:t xml:space="preserve"> Siehe 3.2.</w:t>
      </w:r>
    </w:p>
    <w:p>
      <w:pPr/>
      <w:r>
        <w:rPr>
          <w:b/>
        </w:rPr>
      </w:r>
      <w:r>
        <w:rPr>
          <w:rFonts w:ascii="Consolas" w:hAnsi="Consolas"/>
        </w:rPr>
        <w:t>risiko_check.*</w:t>
      </w:r>
      <w:r>
        <w:t>** (Spot-only)</w:t>
      </w:r>
    </w:p>
    <w:p>
      <w:pPr>
        <w:pStyle w:val="ListBullet"/>
      </w:pPr>
      <w:r>
        <w:rPr>
          <w:rFonts w:ascii="Consolas" w:hAnsi="Consolas"/>
        </w:rPr>
        <w:t>.kauf_erlaubt</w:t>
      </w:r>
      <w:r>
        <w:t>/</w:t>
      </w:r>
      <w:r>
        <w:rPr>
          <w:rFonts w:ascii="Consolas" w:hAnsi="Consolas"/>
        </w:rPr>
        <w:t>.veto_grund</w:t>
      </w:r>
      <w:r>
        <w:t xml:space="preserve"> — </w:t>
      </w:r>
      <w:r>
        <w:rPr>
          <w:b/>
        </w:rPr>
        <w:t>Regel 2</w:t>
      </w:r>
      <w:r>
        <w:t xml:space="preserve">: bei </w:t>
      </w:r>
      <w:r>
        <w:rPr>
          <w:rFonts w:ascii="Consolas" w:hAnsi="Consolas"/>
        </w:rPr>
        <w:t>false</w:t>
      </w:r>
      <w:r>
        <w:t xml:space="preserve"> niemals KAUFEN/NACHKAUFEN. Gate: zweites, redundantes Veto (Gürtel-und-Hosenträger).</w:t>
      </w:r>
    </w:p>
    <w:p>
      <w:pPr>
        <w:pStyle w:val="ListBullet"/>
      </w:pPr>
      <w:r>
        <w:rPr>
          <w:rFonts w:ascii="Consolas" w:hAnsi="Consolas"/>
        </w:rPr>
        <w:t>.max_positionsgroesse_usd/_eur</w:t>
      </w:r>
      <w:r>
        <w:t xml:space="preserve"> — </w:t>
      </w:r>
      <w:r>
        <w:rPr>
          <w:b/>
        </w:rPr>
        <w:t>Regel 3</w:t>
      </w:r>
      <w:r>
        <w:t>: harte Obergrenze, kein Zielwert, serverseitig konfidenz-skaliert. Gate: vier Deckel-Kandidaten, Minimum wird gezogen.</w:t>
      </w:r>
    </w:p>
    <w:p>
      <w:pPr>
        <w:pStyle w:val="ListBullet"/>
      </w:pPr>
      <w:r>
        <w:rPr>
          <w:rFonts w:ascii="Consolas" w:hAnsi="Consolas"/>
        </w:rPr>
        <w:t>.stop_loss_abstand_prozent</w:t>
      </w:r>
      <w:r>
        <w:t>/</w:t>
      </w:r>
      <w:r>
        <w:rPr>
          <w:rFonts w:ascii="Consolas" w:hAnsi="Consolas"/>
        </w:rPr>
        <w:t>.cash_reserve_aktuell_prozent</w:t>
      </w:r>
      <w:r>
        <w:t>/</w:t>
      </w:r>
      <w:r>
        <w:rPr>
          <w:rFonts w:ascii="Consolas" w:hAnsi="Consolas"/>
        </w:rPr>
        <w:t>.allokation_asset_aktuell_prozent</w:t>
      </w:r>
      <w:r>
        <w:t>/</w:t>
      </w:r>
      <w:r>
        <w:rPr>
          <w:rFonts w:ascii="Consolas" w:hAnsi="Consolas"/>
        </w:rPr>
        <w:t>.small_cap_budget_prozent</w:t>
      </w:r>
      <w:r>
        <w:t xml:space="preserve"> — keine eigene Regel (Regel 3/16 decken die Konsequenz ab); alle mit hartem Gate (RM-5/RM-4/RM-2/R-5.10).</w:t>
      </w:r>
    </w:p>
    <w:p>
      <w:pPr>
        <w:pStyle w:val="ListBullet"/>
      </w:pPr>
      <w:r>
        <w:rPr>
          <w:rFonts w:ascii="Consolas" w:hAnsi="Consolas"/>
        </w:rPr>
        <w:t>.drawdown_notbremse_geprueft</w:t>
      </w:r>
      <w:r>
        <w:t xml:space="preserve"> — hart </w:t>
      </w:r>
      <w:r>
        <w:rPr>
          <w:rFonts w:ascii="Consolas" w:hAnsi="Consolas"/>
        </w:rPr>
        <w:t>False</w:t>
      </w:r>
      <w:r>
        <w:t>, dokumentierte, bewusste Lücke (RM-7/Z-3 nicht implementiert).</w:t>
      </w:r>
    </w:p>
    <w:p>
      <w:pPr/>
      <w:r>
        <w:rPr>
          <w:b/>
        </w:rPr>
      </w:r>
      <w:r>
        <w:rPr>
          <w:rFonts w:ascii="Consolas" w:hAnsi="Consolas"/>
        </w:rPr>
        <w:t>antizyklisch.*</w:t>
      </w:r>
      <w:r>
        <w:t>** (Spot-Variante)</w:t>
      </w:r>
    </w:p>
    <w:p>
      <w:pPr>
        <w:pStyle w:val="ListBullet"/>
      </w:pPr>
      <w:r>
        <w:rPr>
          <w:rFonts w:ascii="Consolas" w:hAnsi="Consolas"/>
        </w:rPr>
        <w:t>.funding_rate_aktuell</w:t>
      </w:r>
      <w:r>
        <w:t xml:space="preserve"> (roher Float) — indirekt über Regel 12; nicht im Spot-Gate, aber an Z.ai weitergereicht.</w:t>
      </w:r>
    </w:p>
    <w:p>
      <w:pPr>
        <w:pStyle w:val="ListBullet"/>
      </w:pPr>
      <w:r>
        <w:rPr>
          <w:rFonts w:ascii="Consolas" w:hAnsi="Consolas"/>
        </w:rPr>
        <w:t>.moeglicher_flush</w:t>
      </w:r>
      <w:r>
        <w:t xml:space="preserve"> — </w:t>
      </w:r>
      <w:r>
        <w:rPr>
          <w:b/>
        </w:rPr>
        <w:t>Regel 12</w:t>
      </w:r>
      <w:r>
        <w:t>: vorsichtig formulieren ("möglicherweise", keine gesicherte Klassifikation). Kein Gate.</w:t>
      </w:r>
    </w:p>
    <w:p>
      <w:pPr>
        <w:pStyle w:val="ListBullet"/>
      </w:pPr>
      <w:r>
        <w:rPr>
          <w:rFonts w:ascii="Consolas" w:hAnsi="Consolas"/>
        </w:rPr>
        <w:t>.long_konten_anteil_prozent</w:t>
      </w:r>
      <w:r>
        <w:t>/</w:t>
      </w:r>
      <w:r>
        <w:rPr>
          <w:rFonts w:ascii="Consolas" w:hAnsi="Consolas"/>
        </w:rPr>
        <w:t>.retail_long_bias_extrem</w:t>
      </w:r>
      <w:r>
        <w:t>/</w:t>
      </w:r>
      <w:r>
        <w:rPr>
          <w:rFonts w:ascii="Consolas" w:hAnsi="Consolas"/>
        </w:rPr>
        <w:t>.long_short_ratio_binance</w:t>
      </w:r>
      <w:r>
        <w:t xml:space="preserve"> — </w:t>
      </w:r>
      <w:r>
        <w:rPr>
          <w:b/>
        </w:rPr>
        <w:t>Regel 15</w:t>
      </w:r>
      <w:r>
        <w:t xml:space="preserve"> (ausführlich): extremer/moderater Retail-Konsens ist Kontraindikator, gilt für den Inhalt, nicht nur das Label. Gate: dreistufiger Risikofaktor (Fakt zuerst).</w:t>
      </w:r>
    </w:p>
    <w:p>
      <w:pPr>
        <w:pStyle w:val="ListBullet"/>
      </w:pPr>
      <w:r>
        <w:rPr>
          <w:rFonts w:ascii="Consolas" w:hAnsi="Consolas"/>
        </w:rPr>
        <w:t>.grund</w:t>
      </w:r>
      <w:r>
        <w:t xml:space="preserve"> — </w:t>
      </w:r>
      <w:r>
        <w:rPr>
          <w:b/>
        </w:rPr>
        <w:t>Regel 12</w:t>
      </w:r>
      <w:r>
        <w:t>: vorformulierter Text, in Begründung einbeziehen. Kein Gate.</w:t>
      </w:r>
    </w:p>
    <w:p>
      <w:pPr/>
      <w:r>
        <w:rPr>
          <w:b/>
        </w:rPr>
      </w:r>
      <w:r>
        <w:rPr>
          <w:rFonts w:ascii="Consolas" w:hAnsi="Consolas"/>
        </w:rPr>
        <w:t>markt_kontext.*</w:t>
      </w:r>
      <w:r>
        <w:rPr>
          <w:b/>
        </w:rPr>
        <w:t xml:space="preserve"> (Spot-Variante) — </w:t>
      </w:r>
      <w:r>
        <w:t>Regel 13** (gesamter Block): niedrig gewichteter Zusatzkontext.</w:t>
      </w:r>
    </w:p>
    <w:p>
      <w:pPr>
        <w:pStyle w:val="ListBullet"/>
      </w:pPr>
      <w:r>
        <w:rPr>
          <w:rFonts w:ascii="Consolas" w:hAnsi="Consolas"/>
        </w:rPr>
        <w:t>.btc_exchange_flow_netto_btc</w:t>
      </w:r>
      <w:r>
        <w:t>/</w:t>
      </w:r>
      <w:r>
        <w:rPr>
          <w:rFonts w:ascii="Consolas" w:hAnsi="Consolas"/>
        </w:rPr>
        <w:t>.hinweis</w:t>
      </w:r>
      <w:r>
        <w:t xml:space="preserve">, </w:t>
      </w:r>
      <w:r>
        <w:rPr>
          <w:rFonts w:ascii="Consolas" w:hAnsi="Consolas"/>
        </w:rPr>
        <w:t>.stablecoin_supply_gesamt_usd</w:t>
      </w:r>
      <w:r>
        <w:t xml:space="preserve"> — Regel 13 (namentlich). Kein Gate.</w:t>
      </w:r>
    </w:p>
    <w:p>
      <w:pPr>
        <w:pStyle w:val="ListBullet"/>
      </w:pPr>
      <w:r>
        <w:rPr>
          <w:rFonts w:ascii="Consolas" w:hAnsi="Consolas"/>
        </w:rPr>
        <w:t>.praesidentschaftszyklus.*</w:t>
      </w:r>
      <w:r>
        <w:t xml:space="preserve"> — Regel 13: rein deskriptiv, klarer Vorbehalt nötig. Kein Gate.</w:t>
      </w:r>
    </w:p>
    <w:p>
      <w:pPr>
        <w:pStyle w:val="ListBullet"/>
      </w:pPr>
      <w:r>
        <w:rPr>
          <w:rFonts w:ascii="Consolas" w:hAnsi="Consolas"/>
        </w:rPr>
        <w:t>.naechste_fomc_sitzungen[]</w:t>
      </w:r>
      <w:r>
        <w:t xml:space="preserve"> — Regel 13: </w:t>
      </w:r>
      <w:r>
        <w:rPr>
          <w:rFonts w:ascii="Consolas" w:hAnsi="Consolas"/>
        </w:rPr>
        <w:t>&lt;14 Tage</w:t>
      </w:r>
      <w:r>
        <w:t xml:space="preserve"> → als Volatilitätsfaktor in </w:t>
      </w:r>
      <w:r>
        <w:rPr>
          <w:rFonts w:ascii="Consolas" w:hAnsi="Consolas"/>
        </w:rPr>
        <w:t>key_risks</w:t>
      </w:r>
      <w:r>
        <w:t xml:space="preserve"> nennen. </w:t>
      </w:r>
      <w:r>
        <w:rPr>
          <w:b/>
        </w:rPr>
        <w:t>Kein Gate — reine Prompt-Anweisung ohne Kontrolle.</w:t>
      </w:r>
    </w:p>
    <w:p>
      <w:pPr>
        <w:pStyle w:val="ListBullet"/>
      </w:pPr>
      <w:r>
        <w:rPr>
          <w:rFonts w:ascii="Consolas" w:hAnsi="Consolas"/>
        </w:rPr>
        <w:t>.naechste_cpi_veroeffentlichung</w:t>
      </w:r>
      <w:r>
        <w:t xml:space="preserve"> — Regel 13: </w:t>
      </w:r>
      <w:r>
        <w:rPr>
          <w:rFonts w:ascii="Consolas" w:hAnsi="Consolas"/>
        </w:rPr>
        <w:t>&lt;5 Tage</w:t>
      </w:r>
      <w:r>
        <w:t xml:space="preserve"> → ebenfalls nennen, "historisch oft überdurchschnittliche Kursbewegungen". </w:t>
      </w:r>
      <w:r>
        <w:rPr>
          <w:b/>
        </w:rPr>
        <w:t>Kein Gate.</w:t>
      </w:r>
    </w:p>
    <w:p>
      <w:pPr/>
      <w:r>
        <w:rPr>
          <w:b/>
        </w:rPr>
        <w:t>Sonstige Spot-Fakten</w:t>
      </w:r>
    </w:p>
    <w:p>
      <w:pPr>
        <w:pStyle w:val="ListBullet"/>
      </w:pPr>
      <w:r>
        <w:rPr>
          <w:rFonts w:ascii="Consolas" w:hAnsi="Consolas"/>
        </w:rPr>
        <w:t>strategien_aktiv[]</w:t>
      </w:r>
      <w:r>
        <w:t xml:space="preserve"> — </w:t>
      </w:r>
      <w:r>
        <w:rPr>
          <w:b/>
        </w:rPr>
        <w:t>keine Regel, kein Gate.</w:t>
      </w:r>
    </w:p>
    <w:p>
      <w:pPr>
        <w:pStyle w:val="ListBullet"/>
      </w:pPr>
      <w:r>
        <w:rPr>
          <w:rFonts w:ascii="Consolas" w:hAnsi="Consolas"/>
        </w:rPr>
        <w:t>tranchen_erlaubt</w:t>
      </w:r>
      <w:r>
        <w:t xml:space="preserve"> — </w:t>
      </w:r>
      <w:r>
        <w:rPr>
          <w:b/>
        </w:rPr>
        <w:t>Regel 20</w:t>
      </w:r>
      <w:r>
        <w:t xml:space="preserve">: nur bei </w:t>
      </w:r>
      <w:r>
        <w:rPr>
          <w:rFonts w:ascii="Consolas" w:hAnsi="Consolas"/>
        </w:rPr>
        <w:t>true</w:t>
      </w:r>
      <w:r>
        <w:t xml:space="preserve"> dürfen Tranchen gefüllt werden. Gate: Struktur-Validierung vorhanden (2-5 Einträge, Summe 100%), aber </w:t>
      </w:r>
      <w:r>
        <w:rPr>
          <w:rFonts w:ascii="Consolas" w:hAnsi="Consolas"/>
        </w:rPr>
        <w:t>tranchen_erlaubt=false</w:t>
      </w:r>
      <w:r>
        <w:t xml:space="preserve"> wird nicht hart erzwungen — nur ein Validierungsfehler bei strukturellen Mängeln, keine Ablehnung bei unerlaubter Befüllung.</w:t>
      </w:r>
    </w:p>
    <w:p>
      <w:pPr>
        <w:pStyle w:val="ListBullet"/>
      </w:pPr>
      <w:r>
        <w:rPr>
          <w:rFonts w:ascii="Consolas" w:hAnsi="Consolas"/>
        </w:rPr>
        <w:t>disclaimers.*</w:t>
      </w:r>
      <w:r>
        <w:t xml:space="preserve"> — </w:t>
      </w:r>
      <w:r>
        <w:rPr>
          <w:b/>
        </w:rPr>
        <w:t>Regel 5</w:t>
      </w:r>
      <w:r>
        <w:t>: fehlende Makro-/Sentiment-Integration muss explizit benannt werden, keine erfundene Einschätzung. Kein Gate.</w:t>
      </w:r>
    </w:p>
    <w:p>
      <w:pPr>
        <w:pStyle w:val="Heading3"/>
      </w:pPr>
      <w:r>
        <w:t>4.3 Hebel-Pipeline — Abweichungen von Spot</w:t>
      </w:r>
    </w:p>
    <w:p>
      <w:pPr/>
      <w:r>
        <w:t xml:space="preserve">Übernommene, identische Blöcke: </w:t>
      </w:r>
      <w:r>
        <w:rPr>
          <w:rFonts w:ascii="Consolas" w:hAnsi="Consolas"/>
        </w:rPr>
        <w:t>asset.*</w:t>
      </w:r>
      <w:r>
        <w:t xml:space="preserve"> (reduziert: nur symbol/name/rolle),</w:t>
      </w:r>
    </w:p>
    <w:p>
      <w:pPr/>
      <w:r>
        <w:rPr>
          <w:rFonts w:ascii="Consolas" w:hAnsi="Consolas"/>
        </w:rPr>
        <w:t>preis.*</w:t>
      </w:r>
      <w:r>
        <w:t xml:space="preserve">, </w:t>
      </w:r>
      <w:r>
        <w:rPr>
          <w:rFonts w:ascii="Consolas" w:hAnsi="Consolas"/>
        </w:rPr>
        <w:t>technische_analyse.*</w:t>
      </w:r>
      <w:r>
        <w:t xml:space="preserve"> (exakt identisch), </w:t>
      </w:r>
      <w:r>
        <w:rPr>
          <w:rFonts w:ascii="Consolas" w:hAnsi="Consolas"/>
        </w:rPr>
        <w:t>historische_erfolgsquote.*</w:t>
      </w:r>
      <w:r>
        <w:t>,</w:t>
      </w:r>
    </w:p>
    <w:p>
      <w:pPr/>
      <w:r>
        <w:rPr>
          <w:rFonts w:ascii="Consolas" w:hAnsi="Consolas"/>
        </w:rPr>
        <w:t>historischer_makro_vergleich.*</w:t>
      </w:r>
      <w:r>
        <w:t xml:space="preserve">, </w:t>
      </w:r>
      <w:r>
        <w:rPr>
          <w:rFonts w:ascii="Consolas" w:hAnsi="Consolas"/>
        </w:rPr>
        <w:t>liquiditaetszonen.*</w:t>
      </w:r>
      <w:r>
        <w:t xml:space="preserve">, </w:t>
      </w:r>
      <w:r>
        <w:rPr>
          <w:rFonts w:ascii="Consolas" w:hAnsi="Consolas"/>
        </w:rPr>
        <w:t>signal_stabilitaet.*</w:t>
      </w:r>
      <w:r>
        <w:t>,</w:t>
      </w:r>
    </w:p>
    <w:p>
      <w:pPr/>
      <w:r>
        <w:rPr>
          <w:rFonts w:ascii="Consolas" w:hAnsi="Consolas"/>
        </w:rPr>
        <w:t>btc_relativwert.*</w:t>
      </w:r>
      <w:r>
        <w:t xml:space="preserve">, </w:t>
      </w:r>
      <w:r>
        <w:rPr>
          <w:rFonts w:ascii="Consolas" w:hAnsi="Consolas"/>
        </w:rPr>
        <w:t>regime_profil</w:t>
      </w:r>
      <w:r>
        <w:t xml:space="preserve"> (aber </w:t>
      </w:r>
      <w:r>
        <w:rPr>
          <w:rFonts w:ascii="Consolas" w:hAnsi="Consolas"/>
        </w:rPr>
        <w:t>min_konfidenz_prozent</w:t>
      </w:r>
      <w:r>
        <w:t xml:space="preserve"> bei Hebel nicht</w:t>
      </w:r>
    </w:p>
    <w:p>
      <w:pPr/>
      <w:r>
        <w:t xml:space="preserve">ausgewertet — Hebel nutzt stattdessen feste Schwellen 55/70 aus </w:t>
      </w:r>
      <w:r>
        <w:rPr>
          <w:rFonts w:ascii="Consolas" w:hAnsi="Consolas"/>
        </w:rPr>
        <w:t>risk_gate.py</w:t>
      </w:r>
      <w:r>
        <w:t>).</w:t>
      </w:r>
    </w:p>
    <w:p>
      <w:pPr/>
      <w:r>
        <w:rPr>
          <w:b/>
        </w:rPr>
        <w:t>Hebel-spezifische Fakten:</w:t>
      </w:r>
    </w:p>
    <w:p>
      <w:pPr>
        <w:pStyle w:val="ListBullet"/>
      </w:pPr>
      <w:r>
        <w:rPr>
          <w:rFonts w:ascii="Consolas" w:hAnsi="Consolas"/>
        </w:rPr>
        <w:t>regime.richtungs_konflikt_mit_trigger</w:t>
      </w:r>
      <w:r>
        <w:t>/</w:t>
      </w:r>
      <w:r>
        <w:rPr>
          <w:rFonts w:ascii="Consolas" w:hAnsi="Consolas"/>
        </w:rPr>
        <w:t>.richtungs_konflikt_hinweis</w:t>
      </w:r>
      <w:r>
        <w:t xml:space="preserve"> — </w:t>
      </w:r>
      <w:r>
        <w:rPr>
          <w:b/>
        </w:rPr>
        <w:t>Regel 2</w:t>
      </w:r>
      <w:r>
        <w:t>: explizit gewichten, gehebelte Gegen-Trend-Position ist strukturell riskanter. Gate: unabhängige Neuberechnung gegen die tatsächlich gewählte Richtung → Hebel-Deckel + Risikofaktor "Regime-Konflikt/-Ausrichtung".</w:t>
      </w:r>
    </w:p>
    <w:p>
      <w:pPr>
        <w:pStyle w:val="ListBullet"/>
      </w:pPr>
      <w:r>
        <w:rPr>
          <w:rFonts w:ascii="Consolas" w:hAnsi="Consolas"/>
        </w:rPr>
        <w:t>antizyklisch.funding_rate_aktuell_prozent_pro_stunde</w:t>
      </w:r>
      <w:r>
        <w:t>/</w:t>
      </w:r>
      <w:r>
        <w:rPr>
          <w:rFonts w:ascii="Consolas" w:hAnsi="Consolas"/>
        </w:rPr>
        <w:t>_pro_tag</w:t>
      </w:r>
      <w:r>
        <w:t xml:space="preserve"> — </w:t>
      </w:r>
      <w:r>
        <w:rPr>
          <w:b/>
        </w:rPr>
        <w:t>Regel 9</w:t>
      </w:r>
      <w:r>
        <w:t>: stündliche Rate NIEMALS zitieren (kaum einzuordnen für Menschen), stattdessen die Tagesrate MIT Einheit nennen. Gate: konkreter USD/EUR-pro-Tag-Betrag im Risikofaktor "Funding-Kosten".</w:t>
      </w:r>
    </w:p>
    <w:p>
      <w:pPr>
        <w:pStyle w:val="ListBullet"/>
      </w:pPr>
      <w:r>
        <w:rPr>
          <w:rFonts w:ascii="Consolas" w:hAnsi="Consolas"/>
        </w:rPr>
        <w:t>trigger.trigger_zweig</w:t>
      </w:r>
      <w:r>
        <w:t>/</w:t>
      </w:r>
      <w:r>
        <w:rPr>
          <w:rFonts w:ascii="Consolas" w:hAnsi="Consolas"/>
        </w:rPr>
        <w:t>.score_gesamt</w:t>
      </w:r>
      <w:r>
        <w:t>/</w:t>
      </w:r>
      <w:r>
        <w:rPr>
          <w:rFonts w:ascii="Consolas" w:hAnsi="Consolas"/>
        </w:rPr>
        <w:t>.oi_change_pct_lookback</w:t>
      </w:r>
      <w:r>
        <w:t>/</w:t>
      </w:r>
      <w:r>
        <w:rPr>
          <w:rFonts w:ascii="Consolas" w:hAnsi="Consolas"/>
        </w:rPr>
        <w:t>.kursaenderung_pct_lookback</w:t>
      </w:r>
      <w:r>
        <w:t xml:space="preserve"> — </w:t>
      </w:r>
      <w:r>
        <w:rPr>
          <w:b/>
        </w:rPr>
        <w:t>Regel 7/8</w:t>
      </w:r>
      <w:r>
        <w:t xml:space="preserve">: "einmal_trade" bei </w:t>
      </w:r>
      <w:r>
        <w:rPr>
          <w:rFonts w:ascii="Consolas" w:hAnsi="Consolas"/>
        </w:rPr>
        <w:t>kontra</w:t>
      </w:r>
      <w:r>
        <w:t xml:space="preserve">, "swing_strategie" bei </w:t>
      </w:r>
      <w:r>
        <w:rPr>
          <w:rFonts w:ascii="Consolas" w:hAnsi="Consolas"/>
        </w:rPr>
        <w:t>trendfolge"</w:t>
      </w:r>
      <w:r>
        <w:t xml:space="preserve">. Gate: </w:t>
      </w:r>
      <w:r>
        <w:rPr>
          <w:rFonts w:ascii="Consolas" w:hAnsi="Consolas"/>
        </w:rPr>
        <w:t>trigger_zweig=="kontra"</w:t>
      </w:r>
      <w:r>
        <w:t xml:space="preserve"> → AZ-7-Kontra-Bremse (Hebel-Deckel-Faktor).</w:t>
      </w:r>
    </w:p>
    <w:p>
      <w:pPr>
        <w:pStyle w:val="ListBullet"/>
      </w:pPr>
      <w:r>
        <w:rPr>
          <w:rFonts w:ascii="Consolas" w:hAnsi="Consolas"/>
        </w:rPr>
        <w:t>position_aktuell.*</w:t>
      </w:r>
      <w:r>
        <w:t xml:space="preserve"> — </w:t>
      </w:r>
      <w:r>
        <w:rPr>
          <w:b/>
        </w:rPr>
        <w:t>Regel 3</w:t>
      </w:r>
      <w:r>
        <w:t xml:space="preserve"> (zentral, lang): ERÖFFNEN/NACHKAUFEN/HALTEN-Logik abhängig davon, ob die eigene Richtung mit der bestehenden Position übereinstimmt. Bei Abweichung: System übersetzt das LLM-Urteil NACHTRÄGLICH deterministisch in TEILVERKAUF/SCHLIESSEN/HALTEN (Kontrathese-Übersetzung, Konfidenz-Schwellen 55/70, Bestätigungsfenster 2h).</w:t>
      </w:r>
    </w:p>
    <w:p>
      <w:pPr>
        <w:pStyle w:val="ListBullet"/>
      </w:pPr>
      <w:r>
        <w:rPr>
          <w:rFonts w:ascii="Consolas" w:hAnsi="Consolas"/>
        </w:rPr>
        <w:t>.tage_gehalten</w:t>
      </w:r>
      <w:r>
        <w:t xml:space="preserve"> — </w:t>
      </w:r>
      <w:r>
        <w:rPr>
          <w:b/>
        </w:rPr>
        <w:t>Regel 7 (Warnung!)</w:t>
      </w:r>
      <w:r>
        <w:t>: NICHT anhand einer angenommenen typischen Haltedauer bewerten — Nutzer hält historisch ~1 Tag, das war Marktreaktion, keine Strategie.</w:t>
      </w:r>
    </w:p>
    <w:p>
      <w:pPr>
        <w:pStyle w:val="ListBullet"/>
      </w:pPr>
      <w:r>
        <w:rPr>
          <w:rFonts w:ascii="Consolas" w:hAnsi="Consolas"/>
        </w:rPr>
        <w:t>.vorherige_hebel_empfehlung_nicht_umgesetzt</w:t>
      </w:r>
      <w:r>
        <w:t xml:space="preserve"> — Regel 3: nicht umgesetzte Hebel-Empfehlung explizit ansprechen. Kein Gate (rein Prompt-seitig).</w:t>
      </w:r>
    </w:p>
    <w:p>
      <w:pPr>
        <w:pStyle w:val="ListBullet"/>
      </w:pPr>
      <w:r>
        <w:rPr>
          <w:rFonts w:ascii="Consolas" w:hAnsi="Consolas"/>
        </w:rPr>
        <w:t>optionsmarkt.*</w:t>
      </w:r>
      <w:r>
        <w:t xml:space="preserve"> (Deribit, immer BTC) — </w:t>
      </w:r>
      <w:r>
        <w:rPr>
          <w:b/>
        </w:rPr>
        <w:t>Regel 21</w:t>
      </w:r>
      <w:r>
        <w:t xml:space="preserve">: DVOL + Skew als Cross-Check gegen die eigene Konfidenz; Widerspruch im Gegenargument benennen. </w:t>
      </w:r>
      <w:r>
        <w:rPr>
          <w:b/>
        </w:rPr>
        <w:t>Kein Gate</w:t>
      </w:r>
      <w:r>
        <w:t xml:space="preserve"> — der beschriebene Cross-Check bleibt komplett dem LLM überlassen.</w:t>
      </w:r>
    </w:p>
    <w:p>
      <w:pPr>
        <w:pStyle w:val="ListBullet"/>
      </w:pPr>
      <w:r>
        <w:rPr>
          <w:rFonts w:ascii="Consolas" w:hAnsi="Consolas"/>
        </w:rPr>
        <w:t>hebel_kontext.max_hebel_config</w:t>
      </w:r>
      <w:r>
        <w:t>/</w:t>
      </w:r>
      <w:r>
        <w:rPr>
          <w:rFonts w:ascii="Consolas" w:hAnsi="Consolas"/>
        </w:rPr>
        <w:t>.max_sicherer_hebel_geschaetzt</w:t>
      </w:r>
      <w:r>
        <w:t xml:space="preserve"> — </w:t>
      </w:r>
      <w:r>
        <w:rPr>
          <w:b/>
        </w:rPr>
        <w:t>Regel 4</w:t>
      </w:r>
      <w:r>
        <w:t xml:space="preserve">: realistischer Hebel-Vorschlag, wird nachträglich deterministisch geprüft. Gate: zwei der Deckel-Kandidaten für </w:t>
      </w:r>
      <w:r>
        <w:rPr>
          <w:rFonts w:ascii="Consolas" w:hAnsi="Consolas"/>
        </w:rPr>
        <w:t>hebel_final</w:t>
      </w:r>
      <w:r>
        <w:t>.</w:t>
      </w:r>
    </w:p>
    <w:p>
      <w:pPr>
        <w:pStyle w:val="ListBullet"/>
      </w:pPr>
      <w:r>
        <w:rPr>
          <w:rFonts w:ascii="Consolas" w:hAnsi="Consolas"/>
        </w:rPr>
        <w:t>markt_kontext.*</w:t>
      </w:r>
      <w:r>
        <w:t xml:space="preserve"> bei Hebel — </w:t>
      </w:r>
      <w:r>
        <w:rPr>
          <w:rFonts w:ascii="Consolas" w:hAnsi="Consolas"/>
        </w:rPr>
        <w:t>praesidentschaftszyklus</w:t>
      </w:r>
      <w:r>
        <w:t>/</w:t>
      </w:r>
      <w:r>
        <w:rPr>
          <w:rFonts w:ascii="Consolas" w:hAnsi="Consolas"/>
        </w:rPr>
        <w:t>naechste_fomc_sitzungen</w:t>
      </w:r>
      <w:r>
        <w:t>/</w:t>
      </w:r>
      <w:r>
        <w:rPr>
          <w:rFonts w:ascii="Consolas" w:hAnsi="Consolas"/>
        </w:rPr>
        <w:t>naechste_cpi_veroeffentlichung</w:t>
      </w:r>
      <w:r>
        <w:t xml:space="preserve"> werden geliefert, aber </w:t>
      </w:r>
      <w:r>
        <w:rPr>
          <w:b/>
        </w:rPr>
        <w:t>keine Hebel-Regel dafür existiert</w:t>
      </w:r>
      <w:r>
        <w:t xml:space="preserve"> (Spot-Regel 13 gilt nur dort). Höchste Priorität, siehe 3.1.</w:t>
      </w:r>
    </w:p>
    <w:p>
      <w:pPr>
        <w:pStyle w:val="ListBullet"/>
      </w:pPr>
      <w:r>
        <w:rPr>
          <w:rFonts w:ascii="Consolas" w:hAnsi="Consolas"/>
        </w:rPr>
        <w:t>disclaimers.hinweis</w:t>
      </w:r>
      <w:r>
        <w:t xml:space="preserve"> bei Hebel — nur ein Kurztext, keine </w:t>
      </w:r>
      <w:r>
        <w:rPr>
          <w:rFonts w:ascii="Consolas" w:hAnsi="Consolas"/>
        </w:rPr>
        <w:t>makro_einbezogen</w:t>
      </w:r>
      <w:r>
        <w:t>/</w:t>
      </w:r>
      <w:r>
        <w:rPr>
          <w:rFonts w:ascii="Consolas" w:hAnsi="Consolas"/>
        </w:rPr>
        <w:t>sentiment_einbezogen</w:t>
      </w:r>
      <w:r>
        <w:t>-Flags wie bei Spot, keine Regel.</w:t>
      </w:r>
    </w:p>
    <w:p>
      <w:pPr>
        <w:pStyle w:val="Heading3"/>
      </w:pPr>
      <w:r>
        <w:t>4.4 Was zusätzlich/separat an Z.ai geht</w:t>
      </w:r>
    </w:p>
    <w:p>
      <w:pPr/>
      <w:r>
        <w:t>Zwei getrennte, rein beobachtende Calls (Phase 1, kein Gate): Konsistenz-Check</w:t>
      </w:r>
    </w:p>
    <w:p>
      <w:pPr/>
      <w:r>
        <w:t>(</w:t>
      </w:r>
      <w:r>
        <w:rPr>
          <w:rFonts w:ascii="Consolas" w:hAnsi="Consolas"/>
        </w:rPr>
        <w:t>baue_fakten()</w:t>
      </w:r>
      <w:r>
        <w:t xml:space="preserve">) bekommt </w:t>
      </w:r>
      <w:r>
        <w:rPr>
          <w:rFonts w:ascii="Consolas" w:hAnsi="Consolas"/>
        </w:rPr>
        <w:t>symbol</w:t>
      </w:r>
      <w:r>
        <w:t xml:space="preserve">, </w:t>
      </w:r>
      <w:r>
        <w:rPr>
          <w:rFonts w:ascii="Consolas" w:hAnsi="Consolas"/>
        </w:rPr>
        <w:t>action</w:t>
      </w:r>
      <w:r>
        <w:t xml:space="preserve">, </w:t>
      </w:r>
      <w:r>
        <w:rPr>
          <w:rFonts w:ascii="Consolas" w:hAnsi="Consolas"/>
        </w:rPr>
        <w:t>confidence_pct</w:t>
      </w:r>
      <w:r>
        <w:t xml:space="preserve">, </w:t>
      </w:r>
      <w:r>
        <w:rPr>
          <w:rFonts w:ascii="Consolas" w:hAnsi="Consolas"/>
        </w:rPr>
        <w:t>richtung</w:t>
      </w:r>
      <w:r>
        <w:t xml:space="preserve"> (nur Hebel),</w:t>
      </w:r>
    </w:p>
    <w:p>
      <w:pPr/>
      <w:r>
        <w:rPr>
          <w:rFonts w:ascii="Consolas" w:hAnsi="Consolas"/>
        </w:rPr>
        <w:t>rsi</w:t>
      </w:r>
      <w:r>
        <w:t xml:space="preserve">, </w:t>
      </w:r>
      <w:r>
        <w:rPr>
          <w:rFonts w:ascii="Consolas" w:hAnsi="Consolas"/>
        </w:rPr>
        <w:t>trend</w:t>
      </w:r>
      <w:r>
        <w:t xml:space="preserve">, </w:t>
      </w:r>
      <w:r>
        <w:rPr>
          <w:rFonts w:ascii="Consolas" w:hAnsi="Consolas"/>
        </w:rPr>
        <w:t>regime</w:t>
      </w:r>
      <w:r>
        <w:t xml:space="preserve">, </w:t>
      </w:r>
      <w:r>
        <w:rPr>
          <w:rFonts w:ascii="Consolas" w:hAnsi="Consolas"/>
        </w:rPr>
        <w:t>funding_rate_vorzeichen</w:t>
      </w:r>
      <w:r>
        <w:t xml:space="preserve">, </w:t>
      </w:r>
      <w:r>
        <w:rPr>
          <w:rFonts w:ascii="Consolas" w:hAnsi="Consolas"/>
        </w:rPr>
        <w:t>technische_konfluenz</w:t>
      </w:r>
      <w:r>
        <w:t>,</w:t>
      </w:r>
    </w:p>
    <w:p>
      <w:pPr/>
      <w:r>
        <w:rPr>
          <w:rFonts w:ascii="Consolas" w:hAnsi="Consolas"/>
        </w:rPr>
        <w:t>optionsmarkt_skew</w:t>
      </w:r>
      <w:r>
        <w:t xml:space="preserve"> (nur Hebel) plus den zu prüfenden </w:t>
      </w:r>
      <w:r>
        <w:rPr>
          <w:rFonts w:ascii="Consolas" w:hAnsi="Consolas"/>
        </w:rPr>
        <w:t>short_reasoning</w:t>
      </w:r>
      <w:r>
        <w:t>-Freitext.</w:t>
      </w:r>
    </w:p>
    <w:p>
      <w:pPr/>
      <w:r>
        <w:t>Unabhängiger Richtungsabgleich (</w:t>
      </w:r>
      <w:r>
        <w:rPr>
          <w:rFonts w:ascii="Consolas" w:hAnsi="Consolas"/>
        </w:rPr>
        <w:t>baue_objektive_fakten()</w:t>
      </w:r>
      <w:r>
        <w:t>) bekommt dieselbe Menge</w:t>
      </w:r>
    </w:p>
    <w:p>
      <w:pPr/>
      <w:r>
        <w:t xml:space="preserve">OHNE </w:t>
      </w:r>
      <w:r>
        <w:rPr>
          <w:rFonts w:ascii="Consolas" w:hAnsi="Consolas"/>
        </w:rPr>
        <w:t>richtung</w:t>
      </w:r>
      <w:r>
        <w:t>/</w:t>
      </w:r>
      <w:r>
        <w:rPr>
          <w:rFonts w:ascii="Consolas" w:hAnsi="Consolas"/>
        </w:rPr>
        <w:t>action</w:t>
      </w:r>
      <w:r>
        <w:t>/</w:t>
      </w:r>
      <w:r>
        <w:rPr>
          <w:rFonts w:ascii="Consolas" w:hAnsi="Consolas"/>
        </w:rPr>
        <w:t>confidence_pct</w:t>
      </w:r>
      <w:r>
        <w:t xml:space="preserve"> (Anker-Vermeidung). Der Übereinstimmungs-</w:t>
      </w:r>
    </w:p>
    <w:p>
      <w:pPr/>
      <w:r>
        <w:t>Vergleich läuft deterministisch in Python, nicht im Modell.</w:t>
      </w:r>
    </w:p>
    <w:p>
      <w:pPr/>
      <w:r>
        <w:rPr>
          <w:b/>
        </w:rPr>
        <w:t>Z.ai bekommt NICHT:</w:t>
      </w:r>
      <w:r>
        <w:t xml:space="preserve"> Fibonacci, Support/Resistance, ATR, Liquiditätszonen,</w:t>
      </w:r>
    </w:p>
    <w:p>
      <w:pPr/>
      <w:r>
        <w:t>Signal-Stabilität, BTC-Relativwert, Makro-Analogie, historische Erfolgsquote,</w:t>
      </w:r>
    </w:p>
    <w:p>
      <w:pPr/>
      <w:r>
        <w:t>Trigger, Position, Hebel-Kontext, Markt-Kontext, Risiko-Check, Haltung.</w:t>
      </w:r>
    </w:p>
    <w:p>
      <w:pPr>
        <w:pStyle w:val="Heading3"/>
      </w:pPr>
      <w:r>
        <w:t>4.5 Größen, die nur im Gate leben (nie an das LLM gehen)</w:t>
      </w:r>
    </w:p>
    <w:p>
      <w:pPr/>
      <w:r>
        <w:rPr>
          <w:rFonts w:ascii="Consolas" w:hAnsi="Consolas"/>
        </w:rPr>
        <w:t>richtungswende</w:t>
      </w:r>
      <w:r>
        <w:t xml:space="preserve"> (Risikofaktor, kein Prompt-Pendant — das LLM erfährt nichts davon),</w:t>
      </w:r>
    </w:p>
    <w:p>
      <w:pPr/>
      <w:r>
        <w:rPr>
          <w:rFonts w:ascii="Consolas" w:hAnsi="Consolas"/>
        </w:rPr>
        <w:t>cash_veto</w:t>
      </w:r>
      <w:r>
        <w:t>/</w:t>
      </w:r>
      <w:r>
        <w:rPr>
          <w:rFonts w:ascii="Consolas" w:hAnsi="Consolas"/>
        </w:rPr>
        <w:t>cash_veto_reason</w:t>
      </w:r>
      <w:r>
        <w:t xml:space="preserve">, </w:t>
      </w:r>
      <w:r>
        <w:rPr>
          <w:rFonts w:ascii="Consolas" w:hAnsi="Consolas"/>
        </w:rPr>
        <w:t>crv</w:t>
      </w:r>
      <w:r>
        <w:t xml:space="preserve"> (Veto + gestufter Risikofaktor), </w:t>
      </w:r>
      <w:r>
        <w:rPr>
          <w:rFonts w:ascii="Consolas" w:hAnsi="Consolas"/>
        </w:rPr>
        <w:t>sl_abstand_relativ</w:t>
      </w:r>
    </w:p>
    <w:p>
      <w:pPr/>
      <w:r>
        <w:t xml:space="preserve">(nur Hebel), </w:t>
      </w:r>
      <w:r>
        <w:rPr>
          <w:rFonts w:ascii="Consolas" w:hAnsi="Consolas"/>
        </w:rPr>
        <w:t>positionsgroesse_usd</w:t>
      </w:r>
      <w:r>
        <w:t xml:space="preserve"> (Hebel-Zwischenrechnung), </w:t>
      </w:r>
      <w:r>
        <w:rPr>
          <w:rFonts w:ascii="Consolas" w:hAnsi="Consolas"/>
        </w:rPr>
        <w:t>regime_persistenz_tage</w:t>
      </w:r>
      <w:r>
        <w:t>.</w:t>
      </w:r>
    </w:p>
    <w:p>
      <w:pPr/>
      <w:r>
        <w:t>Sowie die LLM-</w:t>
      </w:r>
      <w:r>
        <w:rPr>
          <w:b/>
        </w:rPr>
        <w:t>Ausgaben</w:t>
      </w:r>
      <w:r>
        <w:t xml:space="preserve"> </w:t>
      </w:r>
      <w:r>
        <w:rPr>
          <w:rFonts w:ascii="Consolas" w:hAnsi="Consolas"/>
        </w:rPr>
        <w:t>trade_thesis_typ</w:t>
      </w:r>
      <w:r>
        <w:t xml:space="preserve">, </w:t>
      </w:r>
      <w:r>
        <w:rPr>
          <w:rFonts w:ascii="Consolas" w:hAnsi="Consolas"/>
        </w:rPr>
        <w:t>forecast.bear/bull.probability_pct</w:t>
      </w:r>
      <w:r>
        <w:t>,</w:t>
      </w:r>
    </w:p>
    <w:p>
      <w:pPr/>
      <w:r>
        <w:rPr>
          <w:rFonts w:ascii="Consolas" w:hAnsi="Consolas"/>
        </w:rPr>
        <w:t>confidence_pct</w:t>
      </w:r>
      <w:r>
        <w:t xml:space="preserve">, </w:t>
      </w:r>
      <w:r>
        <w:rPr>
          <w:rFonts w:ascii="Consolas" w:hAnsi="Consolas"/>
        </w:rPr>
        <w:t>eigene_einschaetzung.folgen</w:t>
      </w:r>
      <w:r>
        <w:t xml:space="preserve"> (rein diagnostisch, ändert nie die</w:t>
      </w:r>
    </w:p>
    <w:p>
      <w:pPr/>
      <w:r>
        <w:t>LLM-Werturteile — siehe [[feedback_llm_synthese_kein_deterministischer_override]]),</w:t>
      </w:r>
    </w:p>
    <w:p>
      <w:pPr/>
      <w:r>
        <w:rPr>
          <w:rFonts w:ascii="Consolas" w:hAnsi="Consolas"/>
        </w:rPr>
        <w:t>top_gruende</w:t>
      </w:r>
      <w:r>
        <w:t>-Text (Hebel-only-Filter gegen Retail-Konsens-Inhalte).</w:t>
      </w:r>
    </w:p>
    <w:p>
      <w:pPr>
        <w:pStyle w:val="Heading2"/>
      </w:pPr>
      <w:r>
        <w:t>5. Nächste Schritte (Priorisierung bestätigt, 2026-07-28)</w:t>
      </w:r>
    </w:p>
    <w:p>
      <w:pPr>
        <w:pStyle w:val="ListNumber"/>
      </w:pPr>
      <w:r>
        <w:rPr>
          <w:b/>
        </w:rPr>
        <w:t>Stufe 3 — Committet/gepusht (`7eac0ec`, 2026-07-28)</w:t>
      </w:r>
      <w:r>
        <w:t xml:space="preserve"> (Statusvokabular siehe</w:t>
      </w:r>
    </w:p>
    <w:p>
      <w:pPr/>
      <w:r>
        <w:t>[[reference_test_und_verifikationsmethodik]]): Hebel-Prompt um FOMC/CPI-Kontext</w:t>
      </w:r>
    </w:p>
    <w:p>
      <w:pPr/>
      <w:r>
        <w:t xml:space="preserve">ergänzt — neue Regel 22 in </w:t>
      </w:r>
      <w:r>
        <w:rPr>
          <w:rFonts w:ascii="Consolas" w:hAnsi="Consolas"/>
        </w:rPr>
        <w:t>agent/krypto/hebel_analyst.py::SYSTEM_PROMPT</w:t>
      </w:r>
    </w:p>
    <w:p>
      <w:pPr/>
      <w:r>
        <w:t>(vorherige Regel 22 "eigene_einschaetzung" zu Regel 23 verschoben, inkl.</w:t>
      </w:r>
    </w:p>
    <w:p>
      <w:pPr/>
      <w:r>
        <w:t>Korrektur der bereits vorher veralteten "Regel 21"-Verweise an 3 Stellen im</w:t>
      </w:r>
    </w:p>
    <w:p>
      <w:pPr/>
      <w:r>
        <w:t>Code). Liefert dokumentierten Marktkontext (erhöhte realisierte Volatilität um</w:t>
      </w:r>
    </w:p>
    <w:p>
      <w:pPr/>
      <w:r>
        <w:t>FOMC/CPI, KEINE Richtungsaussage) statt einer vorgegebenen Schlussfolgerung —</w:t>
      </w:r>
    </w:p>
    <w:p>
      <w:pPr/>
      <w:r>
        <w:t>das LLM gewichtet selbst, ob und wie stark das bei der konkreten Stop-Loss-</w:t>
      </w:r>
    </w:p>
    <w:p>
      <w:pPr/>
      <w:r>
        <w:t xml:space="preserve">Distanz relevant ist. </w:t>
      </w:r>
      <w:r>
        <w:rPr>
          <w:rFonts w:ascii="Consolas" w:hAnsi="Consolas"/>
        </w:rPr>
        <w:t>praesidentschaftszyklus</w:t>
      </w:r>
      <w:r>
        <w:t xml:space="preserve"> wird explizit als für Hebel kaum</w:t>
      </w:r>
    </w:p>
    <w:p>
      <w:pPr/>
      <w:r>
        <w:t>aussagekräftiger Hintergrund-Fakt eingeordnet. Bewusst KEIN neues Gate/Deckel —</w:t>
      </w:r>
    </w:p>
    <w:p>
      <w:pPr/>
      <w:r>
        <w:t>passend zum Grundsatz "Kontext liefern, Urteil nicht vorwegnehmen" (Abschnitt 1,</w:t>
      </w:r>
    </w:p>
    <w:p>
      <w:pPr/>
      <w:r>
        <w:t>Frage 2). Verifiziert (Klasse 1, Änderungsklassen siehe Methodik-Dokument):</w:t>
      </w:r>
    </w:p>
    <w:p>
      <w:pPr/>
      <w:r>
        <w:t>Modul-Import, Compile-Check, durchgängige Regelnummerierung 1-23. Stufe 5</w:t>
      </w:r>
    </w:p>
    <w:p>
      <w:pPr/>
      <w:r>
        <w:t>(im Betrieb bestätigt) ist bei dieser reinen Kontext-Ergänzung ohne Gate</w:t>
      </w:r>
    </w:p>
    <w:p>
      <w:pPr/>
      <w:r>
        <w:t>voraussichtlich nicht sauber isolierbar messbar — siehe Methodik-Dokument</w:t>
      </w:r>
    </w:p>
    <w:p>
      <w:pPr/>
      <w:r>
        <w:t>Abschnitt 2.2.</w:t>
      </w:r>
    </w:p>
    <w:p>
      <w:pPr>
        <w:pStyle w:val="ListNumber"/>
      </w:pPr>
      <w:r>
        <w:rPr>
          <w:b/>
        </w:rPr>
        <w:t>Stufe 3 — Committet/gepusht</w:t>
      </w:r>
      <w:r>
        <w:t xml:space="preserve"> (Statusvokabular siehe</w:t>
      </w:r>
    </w:p>
    <w:p>
      <w:pPr/>
      <w:r>
        <w:t>[[reference_test_und_verifikationsmethodik]]): Fear&amp;Greed-Index war komplett</w:t>
      </w:r>
    </w:p>
    <w:p>
      <w:pPr/>
      <w:r>
        <w:t xml:space="preserve">toter Fakt (an </w:t>
      </w:r>
      <w:r>
        <w:rPr>
          <w:rFonts w:ascii="Consolas" w:hAnsi="Consolas"/>
        </w:rPr>
        <w:t>build_facts()</w:t>
      </w:r>
      <w:r>
        <w:t xml:space="preserve"> geliefert, aber ohne Prompt-Regel für Spot,</w:t>
      </w:r>
    </w:p>
    <w:p>
      <w:pPr/>
      <w:r>
        <w:t>ganz ohne Fakt-Übergabe für Hebel) — neue Regel 29 in</w:t>
      </w:r>
    </w:p>
    <w:p>
      <w:pPr/>
      <w:r>
        <w:rPr>
          <w:rFonts w:ascii="Consolas" w:hAnsi="Consolas"/>
        </w:rPr>
        <w:t>agent/krypto/analyst.py::SYSTEM_PROMPT</w:t>
      </w:r>
      <w:r>
        <w:t xml:space="preserve"> (vorherige Regel 29</w:t>
      </w:r>
    </w:p>
    <w:p>
      <w:pPr/>
      <w:r>
        <w:t>"eigene_einschaetzung" zu Regel 30 verschoben, 3 Kreuzverweise korrigiert:</w:t>
      </w:r>
    </w:p>
    <w:p>
      <w:pPr/>
      <w:r>
        <w:t>Schema-Kommentar, Modul-Docstring, Validierungsfunktion-Kommentar).</w:t>
      </w:r>
    </w:p>
    <w:p>
      <w:pPr/>
      <w:r>
        <w:t>Verifiziert (Klasse 1): Modul-Import, Compile-Check, durchgängige</w:t>
      </w:r>
    </w:p>
    <w:p>
      <w:pPr/>
      <w:r>
        <w:t>Regelnummerierung 1-30.</w:t>
      </w:r>
    </w:p>
    <w:p>
      <w:pPr/>
      <w:r>
        <w:t>**Nutzer-Nuance (2026-07-28), die die Regel komplexer macht als ein</w:t>
      </w:r>
    </w:p>
    <w:p>
      <w:pPr/>
      <w:r>
        <w:t>einfacher Kontraindikator:** im Bärenmarkt ist Fear&amp;Greed nicht eindeutig</w:t>
      </w:r>
    </w:p>
    <w:p>
      <w:pPr/>
      <w:r>
        <w:t>verwertbar, da lange Angstphasen vorherrschen und Bodenbildung nur mit</w:t>
      </w:r>
    </w:p>
    <w:p>
      <w:pPr/>
      <w:r>
        <w:t>zusätzlichen Faktoren sinnvoll einzuordnen ist. Bei Hype-Phasen ist die</w:t>
      </w:r>
    </w:p>
    <w:p>
      <w:pPr/>
      <w:r>
        <w:t>Lage anders gelagert (kürzere Phasen, tendenziell brauchbareres</w:t>
      </w:r>
    </w:p>
    <w:p>
      <w:pPr/>
      <w:r>
        <w:t xml:space="preserve">Warnsignal). Regel 29 bildet das </w:t>
      </w:r>
      <w:r>
        <w:rPr>
          <w:b/>
        </w:rPr>
        <w:t>asymmetrisch</w:t>
      </w:r>
      <w:r>
        <w:t xml:space="preserve"> ab: extreme Angst nur als</w:t>
      </w:r>
    </w:p>
    <w:p>
      <w:pPr/>
      <w:r>
        <w:t xml:space="preserve">unterstützenden Faktor werten (gekoppelt an niedriges </w:t>
      </w:r>
      <w:r>
        <w:rPr>
          <w:rFonts w:ascii="Consolas" w:hAnsi="Consolas"/>
        </w:rPr>
        <w:t>zyklus_risiko</w:t>
      </w:r>
      <w:r>
        <w:t xml:space="preserve"> +</w:t>
      </w:r>
    </w:p>
    <w:p>
      <w:pPr/>
      <w:r>
        <w:t>weitere Fakten), niemals als eigenständigen Kaufgrund; extreme Gier darf</w:t>
      </w:r>
    </w:p>
    <w:p>
      <w:pPr/>
      <w:r>
        <w:t xml:space="preserve">stärker gewichtet werden, besonders kombiniert mit hohem </w:t>
      </w:r>
      <w:r>
        <w:rPr>
          <w:rFonts w:ascii="Consolas" w:hAnsi="Consolas"/>
        </w:rPr>
        <w:t>zyklus_risiko</w:t>
      </w:r>
      <w:r>
        <w:t>.</w:t>
      </w:r>
    </w:p>
    <w:p>
      <w:pPr/>
      <w:r>
        <w:t>Passt zum Grundsatz "Kontext liefern, Urteil nicht vorwegnehmen"</w:t>
      </w:r>
    </w:p>
    <w:p>
      <w:pPr/>
      <w:r>
        <w:t>(Abschnitt 1, Frage 2) und zur Spot-Zeithorizont-Einordnung (Frage 4) —</w:t>
      </w:r>
    </w:p>
    <w:p>
      <w:pPr/>
      <w:r>
        <w:t>die Regel liefert Marktkontext samt der dokumentierten Asymmetrie, nimmt</w:t>
      </w:r>
    </w:p>
    <w:p>
      <w:pPr/>
      <w:r>
        <w:t>dem LLM aber nicht die eigentliche Gewichtungsentscheidung ab.</w:t>
      </w:r>
    </w:p>
    <w:p>
      <w:pPr/>
      <w:r>
        <w:rPr>
          <w:b/>
        </w:rPr>
        <w:t>Geltungsbereich: nur Spot (Variante a).</w:t>
      </w:r>
      <w:r>
        <w:t xml:space="preserve"> Für Hebel wäre eine analoge</w:t>
      </w:r>
    </w:p>
    <w:p>
      <w:pPr/>
      <w:r>
        <w:t xml:space="preserve">Regel eine </w:t>
      </w:r>
      <w:r>
        <w:rPr>
          <w:b/>
        </w:rPr>
        <w:t>Variante B</w:t>
      </w:r>
      <w:r>
        <w:t>, die geprüft und bewusst NICHT umgesetzt wurde</w:t>
      </w:r>
    </w:p>
    <w:p>
      <w:pPr/>
      <w:r>
        <w:t>(siehe [[feedback_document_rejected_options]]-Muster): Hebel-Positionen</w:t>
      </w:r>
    </w:p>
    <w:p>
      <w:pPr/>
      <w:r>
        <w:t>haben eine typische Haltedauer von Stunden bis wenigen Tagen — die für</w:t>
      </w:r>
    </w:p>
    <w:p>
      <w:pPr/>
      <w:r>
        <w:t>Fear&amp;Greed relevante Unterscheidung "lange Bärenmarkt-Angstphase vs. kurze</w:t>
      </w:r>
    </w:p>
    <w:p>
      <w:pPr/>
      <w:r>
        <w:t>Hype-Phase" ist eine mehrwöchige bis mehrmonatige Marktstruktur-Frage</w:t>
      </w:r>
    </w:p>
    <w:p>
      <w:pPr/>
      <w:r>
        <w:t>(Zeithorizont-Fehlpassung, Frage 4 des Entscheidungsrasters, analog zum</w:t>
      </w:r>
    </w:p>
    <w:p>
      <w:pPr/>
      <w:r>
        <w:t xml:space="preserve">bereits identifizierten </w:t>
      </w:r>
      <w:r>
        <w:rPr>
          <w:rFonts w:ascii="Consolas" w:hAnsi="Consolas"/>
        </w:rPr>
        <w:t>historischer_makro_vergleich</w:t>
      </w:r>
      <w:r>
        <w:t>-Fall bei Hebel,</w:t>
      </w:r>
    </w:p>
    <w:p>
      <w:pPr/>
      <w:r>
        <w:t>siehe Punkt 5 unten). Nutzer-Einschätzung dazu: "hier ist weniger mehr" —</w:t>
      </w:r>
    </w:p>
    <w:p>
      <w:pPr/>
      <w:r>
        <w:t xml:space="preserve">das Konzept nicht künstlich aufblähen. </w:t>
      </w:r>
      <w:r>
        <w:rPr>
          <w:b/>
        </w:rPr>
        <w:t>Revisit-Bedingung:</w:t>
      </w:r>
      <w:r>
        <w:t xml:space="preserve"> falls sich</w:t>
      </w:r>
    </w:p>
    <w:p>
      <w:pPr/>
      <w:r>
        <w:t>künftig zeigt, dass kurzfristige Fear&amp;Greed-Ausschläge (Tagesbasis statt</w:t>
      </w:r>
    </w:p>
    <w:p>
      <w:pPr/>
      <w:r>
        <w:t>Wochen/Monate) selbst einen brauchbaren Signalwert für Hebel-Timing haben</w:t>
      </w:r>
    </w:p>
    <w:p>
      <w:pPr/>
      <w:r>
        <w:t xml:space="preserve">(z.B. per Backtest gegen </w:t>
      </w:r>
      <w:r>
        <w:rPr>
          <w:rFonts w:ascii="Consolas" w:hAnsi="Consolas"/>
        </w:rPr>
        <w:t>hebel_signals</w:t>
      </w:r>
      <w:r>
        <w:t>-Outcomes belegt), wäre das ein</w:t>
      </w:r>
    </w:p>
    <w:p>
      <w:pPr/>
      <w:r>
        <w:t>eigenständiger neuer Fakt/eigene Regel — keine einfache Kopie von Regel 29.</w:t>
      </w:r>
    </w:p>
    <w:p>
      <w:pPr/>
      <w:r>
        <w:t>**Token-Budget-Check (Standardprüfung ab jetzt für jede Regeländerung,</w:t>
      </w:r>
    </w:p>
    <w:p>
      <w:pPr/>
      <w:r>
        <w:t>siehe Abschnitt 1 Frage 5):** Regel-29-Text ca. 620 Zeichen / ~150 Token.</w:t>
      </w:r>
    </w:p>
    <w:p>
      <w:pPr/>
      <w:r>
        <w:t>Mistral ist der einzige reale Ablaufkette-Bestandteil neben Gemini (siehe</w:t>
      </w:r>
    </w:p>
    <w:p>
      <w:pPr/>
      <w:r>
        <w:t>[[reference_llm_provider_recherche_uebersicht]], 2026-07-28 korrigiert —</w:t>
      </w:r>
    </w:p>
    <w:p>
      <w:pPr/>
      <w:r>
        <w:t>Z.ai ist NICHT mehr Teil der Haupt-Fallback-Kette, läuft nur noch separat</w:t>
      </w:r>
    </w:p>
    <w:p>
      <w:pPr/>
      <w:r>
        <w:t>für die Gegenprüfung mit eigenem schlanken Fakten-Satz und sieht diesen</w:t>
      </w:r>
    </w:p>
    <w:p>
      <w:pPr/>
      <w:r>
        <w:t>SYSTEM_PROMPT nie). Mistral: 2.250.000 TPM / 300 RPM, realer Verbrauch</w:t>
      </w:r>
    </w:p>
    <w:p>
      <w:pPr/>
      <w:r>
        <w:t>geschätzt ~1.000-1.200 Token/Minute im Schnitt — ein einzelner</w:t>
      </w:r>
    </w:p>
    <w:p>
      <w:pPr/>
      <w:r>
        <w:t>~150-Token-Regelzuwachs ist rechnerisch irrelevant für die Kapazität.</w:t>
      </w:r>
    </w:p>
    <w:p>
      <w:pPr/>
      <w:r>
        <w:t>Bleibt dennoch als Disziplin sinnvoll (Resilienz falls sich Mistrals</w:t>
      </w:r>
    </w:p>
    <w:p>
      <w:pPr/>
      <w:r>
        <w:t>Bedingungen ändern, Latenz, Prompt-Hygiene) — kein Anlass, eine bestehende</w:t>
      </w:r>
    </w:p>
    <w:p>
      <w:pPr/>
      <w:r>
        <w:t>Regel zum Ausgleich zu entfernen.</w:t>
      </w:r>
    </w:p>
    <w:p>
      <w:pPr>
        <w:pStyle w:val="ListNumber"/>
      </w:pPr>
      <w:r>
        <w:rPr>
          <w:b/>
        </w:rPr>
        <w:t>Stufe 2 — Verifiziert (synthetisch), noch nicht committet:</w:t>
      </w:r>
      <w:r>
        <w:t xml:space="preserve"> `regime_profil.</w:t>
      </w:r>
    </w:p>
    <w:p>
      <w:pPr/>
      <w:r>
        <w:t>gewicht_technik</w:t>
      </w:r>
      <w:r>
        <w:rPr>
          <w:rFonts w:ascii="Consolas" w:hAnsi="Consolas"/>
        </w:rPr>
        <w:t>/</w:t>
      </w:r>
      <w:r>
        <w:t>gewicht_fundamental</w:t>
      </w:r>
      <w:r>
        <w:rPr>
          <w:rFonts w:ascii="Consolas" w:hAnsi="Consolas"/>
        </w:rPr>
        <w:t>/</w:t>
      </w:r>
      <w:r>
        <w:t>gewicht_momentum</w:t>
      </w:r>
      <w:r>
        <w:rPr>
          <w:rFonts w:ascii="Consolas" w:hAnsi="Consolas"/>
        </w:rPr>
        <w:t>/</w:t>
      </w:r>
      <w:r>
        <w:t>gewicht_kontext_makro`</w:t>
      </w:r>
    </w:p>
    <w:p>
      <w:pPr/>
      <w:r>
        <w:t>war in BEIDEN Pipelines (Spot + Hebel) ein toter Fakt — das komplette</w:t>
      </w:r>
    </w:p>
    <w:p>
      <w:pPr/>
      <w:r>
        <w:rPr>
          <w:rFonts w:ascii="Consolas" w:hAnsi="Consolas"/>
        </w:rPr>
        <w:t>regime_profile</w:t>
      </w:r>
      <w:r>
        <w:t xml:space="preserve">-Dict wird via </w:t>
      </w:r>
      <w:r>
        <w:rPr>
          <w:rFonts w:ascii="Consolas" w:hAnsi="Consolas"/>
        </w:rPr>
        <w:t>build_facts()</w:t>
      </w:r>
      <w:r>
        <w:t>/</w:t>
      </w:r>
      <w:r>
        <w:rPr>
          <w:rFonts w:ascii="Consolas" w:hAnsi="Consolas"/>
        </w:rPr>
        <w:t>build_hebel_facts()</w:t>
      </w:r>
      <w:r>
        <w:t xml:space="preserve"> an die</w:t>
      </w:r>
    </w:p>
    <w:p>
      <w:pPr/>
      <w:r>
        <w:t>LLM geliefert, aber keine Prompt-Regel referenzierte es (im Unterschied zu</w:t>
      </w:r>
    </w:p>
    <w:p>
      <w:pPr/>
      <w:r>
        <w:rPr>
          <w:rFonts w:ascii="Consolas" w:hAnsi="Consolas"/>
        </w:rPr>
        <w:t>min_konfidenz_prozent</w:t>
      </w:r>
      <w:r>
        <w:t>/</w:t>
      </w:r>
      <w:r>
        <w:rPr>
          <w:rFonts w:ascii="Consolas" w:hAnsi="Consolas"/>
        </w:rPr>
        <w:t>small_cap_budget_prozent</w:t>
      </w:r>
      <w:r>
        <w:t xml:space="preserve"> aus demselben Profil, die</w:t>
      </w:r>
    </w:p>
    <w:p>
      <w:pPr/>
      <w:r>
        <w:t>bereits deterministisch im Gate bzw. Scoring genutzt werden). Inhaltlich</w:t>
      </w:r>
    </w:p>
    <w:p>
      <w:pPr/>
      <w:r>
        <w:t>kein Nebensächlichkeits-Fakt, sondern ein durchdachtes, regimeabhängiges</w:t>
      </w:r>
    </w:p>
    <w:p>
      <w:pPr/>
      <w:r>
        <w:t xml:space="preserve">Gewichtungsschema aus </w:t>
      </w:r>
      <w:r>
        <w:rPr>
          <w:rFonts w:ascii="Consolas" w:hAnsi="Consolas"/>
        </w:rPr>
        <w:t>Basisinfos/config.yaml</w:t>
      </w:r>
      <w:r>
        <w:t xml:space="preserve"> (</w:t>
      </w:r>
      <w:r>
        <w:rPr>
          <w:rFonts w:ascii="Consolas" w:hAnsi="Consolas"/>
        </w:rPr>
        <w:t>regime.profile</w:t>
      </w:r>
      <w:r>
        <w:t>) — z.B.</w:t>
      </w:r>
    </w:p>
    <w:p>
      <w:pPr/>
      <w:r>
        <w:rPr>
          <w:rFonts w:ascii="Consolas" w:hAnsi="Consolas"/>
        </w:rPr>
        <w:t>krise_extrem</w:t>
      </w:r>
      <w:r>
        <w:t>: Technik 0.15/Fundamental 0.45/Momentum 0.15/Makro 0.25;</w:t>
      </w:r>
    </w:p>
    <w:p>
      <w:pPr/>
      <w:r>
        <w:rPr>
          <w:rFonts w:ascii="Consolas" w:hAnsi="Consolas"/>
        </w:rPr>
        <w:t>bulle</w:t>
      </w:r>
      <w:r>
        <w:t>: Technik 0.43/Fundamental 0.25/Momentum 0.17/Makro 0.15.</w:t>
      </w:r>
    </w:p>
    <w:p>
      <w:pPr/>
      <w:r>
        <w:t xml:space="preserve">Neue Regel in </w:t>
      </w:r>
      <w:r>
        <w:rPr>
          <w:rFonts w:ascii="Consolas" w:hAnsi="Consolas"/>
        </w:rPr>
        <w:t>agent/krypto/analyst.py</w:t>
      </w:r>
      <w:r>
        <w:t xml:space="preserve"> (Regel 30, </w:t>
      </w:r>
      <w:r>
        <w:rPr>
          <w:rFonts w:ascii="Consolas" w:hAnsi="Consolas"/>
        </w:rPr>
        <w:t>eigene_einschaetzung</w:t>
      </w:r>
    </w:p>
    <w:p>
      <w:pPr/>
      <w:r>
        <w:t xml:space="preserve">zu Regel 31 verschoben) UND </w:t>
      </w:r>
      <w:r>
        <w:rPr>
          <w:rFonts w:ascii="Consolas" w:hAnsi="Consolas"/>
        </w:rPr>
        <w:t>agent/krypto/hebel_analyst.py</w:t>
      </w:r>
      <w:r>
        <w:t xml:space="preserve"> (Regel 23,</w:t>
      </w:r>
    </w:p>
    <w:p>
      <w:pPr/>
      <w:r>
        <w:rPr>
          <w:rFonts w:ascii="Consolas" w:hAnsi="Consolas"/>
        </w:rPr>
        <w:t>eigene_einschaetzung</w:t>
      </w:r>
      <w:r>
        <w:t xml:space="preserve"> zu Regel 24 verschoben, je 3 Kreuzverweise korrigiert):</w:t>
      </w:r>
    </w:p>
    <w:p>
      <w:pPr/>
      <w:r>
        <w:t>nutzt das Gewichtungsschema als ORIENTIERUNG dafür, wie stark die KI</w:t>
      </w:r>
    </w:p>
    <w:p>
      <w:pPr/>
      <w:r>
        <w:t xml:space="preserve">technische/fundamentale/Momentum-/Makro-Aspekte in </w:t>
      </w:r>
      <w:r>
        <w:rPr>
          <w:rFonts w:ascii="Consolas" w:hAnsi="Consolas"/>
        </w:rPr>
        <w:t>long_reasoning</w:t>
      </w:r>
      <w:r>
        <w:t>/</w:t>
      </w:r>
    </w:p>
    <w:p>
      <w:pPr/>
      <w:r>
        <w:rPr>
          <w:rFonts w:ascii="Consolas" w:hAnsi="Consolas"/>
        </w:rPr>
        <w:t>top_gruende</w:t>
      </w:r>
      <w:r>
        <w:t xml:space="preserve"> gewichtet — ausdrücklich KEINE starre Formel oder Pflichtquote,</w:t>
      </w:r>
    </w:p>
    <w:p>
      <w:pPr/>
      <w:r>
        <w:t>die eigene Einschätzung der konkreten Fakten bleibt maßgeblich. Passt zum</w:t>
      </w:r>
    </w:p>
    <w:p>
      <w:pPr/>
      <w:r>
        <w:t>Grundsatz "Kontext liefern, Urteil nicht vorwegnehmen" (Abschnitt 1, Frage 2).</w:t>
      </w:r>
    </w:p>
    <w:p>
      <w:pPr/>
      <w:r>
        <w:rPr>
          <w:b/>
        </w:rPr>
        <w:t>Bewusst für BEIDE Pipelines</w:t>
      </w:r>
      <w:r>
        <w:t xml:space="preserve"> (anders als Fear&amp;Greed, Punkt 2): die Frage</w:t>
      </w:r>
    </w:p>
    <w:p>
      <w:pPr/>
      <w:r>
        <w:t>"welche Analyse-Linse ist in diesem Regime verlässlicher" gilt nicht nur</w:t>
      </w:r>
    </w:p>
    <w:p>
      <w:pPr/>
      <w:r>
        <w:t>langfristig — die Regime-Klassifikation selbst wird bei Hebel bereits</w:t>
      </w:r>
    </w:p>
    <w:p>
      <w:pPr/>
      <w:r>
        <w:t>intensiv genutzt (Regime-Konflikt-Deckel, Regime-Persistenz), Frage 4 des</w:t>
      </w:r>
    </w:p>
    <w:p>
      <w:pPr/>
      <w:r>
        <w:t>Entscheidungsrasters spricht hier also nicht gegen eine gemeinsame Regel.</w:t>
      </w:r>
    </w:p>
    <w:p>
      <w:pPr/>
      <w:r>
        <w:t>Verifiziert (Klasse 1): Modul-Import + Compile-Check beider Dateien,</w:t>
      </w:r>
    </w:p>
    <w:p>
      <w:pPr/>
      <w:r>
        <w:t>durchgängige Regelnummerierung Spot 1-31 / Hebel 1-24 ohne Lücke.</w:t>
      </w:r>
    </w:p>
    <w:p>
      <w:pPr/>
      <w:r>
        <w:t>Token-Budget-Check: ca. 150 Token je Datei, vernachlässigbar (siehe</w:t>
      </w:r>
    </w:p>
    <w:p>
      <w:pPr/>
      <w:r>
        <w:t>Begründung bei Punkt 2).</w:t>
      </w:r>
    </w:p>
    <w:p>
      <w:pPr>
        <w:pStyle w:val="ListNumber"/>
      </w:pPr>
      <w:r>
        <w:rPr>
          <w:b/>
        </w:rPr>
        <w:t>Stufe 2 — Verifiziert (synthetisch), noch nicht committet:</w:t>
      </w:r>
      <w:r>
        <w:t xml:space="preserve"> Spot-Retail-</w:t>
      </w:r>
    </w:p>
    <w:p>
      <w:pPr/>
      <w:r>
        <w:t>Konsens-Filter analog zu Hebel nachgezogen. Bei Hebel gibt es zwei getrennte</w:t>
      </w:r>
    </w:p>
    <w:p>
      <w:pPr/>
      <w:r>
        <w:t xml:space="preserve">Mechanismen, die beide "Retail-Konsens" heißen: </w:t>
      </w:r>
      <w:r>
        <w:rPr>
          <w:rFonts w:ascii="Consolas" w:hAnsi="Consolas"/>
        </w:rPr>
        <w:t>retail_konsens_risiko()</w:t>
      </w:r>
    </w:p>
    <w:p>
      <w:pPr/>
      <w:r>
        <w:t>(richtungsabhängige Deckel-Formel für den erlaubten Hebel) und</w:t>
      </w:r>
    </w:p>
    <w:p>
      <w:pPr/>
      <w:r>
        <w:rPr>
          <w:rFonts w:ascii="Consolas" w:hAnsi="Consolas"/>
        </w:rPr>
        <w:t>filtere_retail_konsens_top_gruende()</w:t>
      </w:r>
      <w:r>
        <w:t xml:space="preserve"> (reiner Text-Filter, entfernt jeden</w:t>
      </w:r>
    </w:p>
    <w:p>
      <w:pPr/>
      <w:r>
        <w:rPr>
          <w:rFonts w:ascii="Consolas" w:hAnsi="Consolas"/>
        </w:rPr>
        <w:t>top_gruende</w:t>
      </w:r>
      <w:r>
        <w:t>-Eintrag, der sich auf Retail-Konten-Positionierung beruft,</w:t>
      </w:r>
    </w:p>
    <w:p>
      <w:pPr/>
      <w:r>
        <w:t>unabhängig von der Richtung — Kategorie-Fehler: Positionierungsdaten sagen</w:t>
      </w:r>
    </w:p>
    <w:p>
      <w:pPr/>
      <w:r>
        <w:t>etwas über Squeeze-/Liquidationsrisiko aus, nicht darüber, ob der Kurs</w:t>
      </w:r>
    </w:p>
    <w:p>
      <w:pPr/>
      <w:r>
        <w:t>steigen sollte). Nur Letzteres ist für Spot relevant (kein Hebel-Konzept</w:t>
      </w:r>
    </w:p>
    <w:p>
      <w:pPr/>
      <w:r>
        <w:t>bei Spot); Spot hat aber bereits denselben zugrunde liegenden Fakt</w:t>
      </w:r>
    </w:p>
    <w:p>
      <w:pPr/>
      <w:r>
        <w:t>(</w:t>
      </w:r>
      <w:r>
        <w:rPr>
          <w:rFonts w:ascii="Consolas" w:hAnsi="Consolas"/>
        </w:rPr>
        <w:t>retail_long_bias_extrem</w:t>
      </w:r>
      <w:r>
        <w:t>/</w:t>
      </w:r>
      <w:r>
        <w:rPr>
          <w:rFonts w:ascii="Consolas" w:hAnsi="Consolas"/>
        </w:rPr>
        <w:t>long_konten_anteil_prozent</w:t>
      </w:r>
      <w:r>
        <w:t>) und dieselbe</w:t>
      </w:r>
    </w:p>
    <w:p>
      <w:pPr/>
      <w:r>
        <w:t>Prompt-Warnung (Regel 15), nur ohne deterministische Rückversicherung.</w:t>
      </w:r>
    </w:p>
    <w:p>
      <w:pPr/>
      <w:r>
        <w:rPr>
          <w:b/>
        </w:rPr>
        <w:t>Bewusst dupliziert statt importiert</w:t>
      </w:r>
      <w:r>
        <w:t xml:space="preserve"> (Nutzer-Einschätzung: Spot/Hebel</w:t>
      </w:r>
    </w:p>
    <w:p>
      <w:pPr/>
      <w:r>
        <w:t xml:space="preserve">könnten hier eher auseinanderlaufen als gleich bleiben): </w:t>
      </w:r>
      <w:r>
        <w:rPr>
          <w:rFonts w:ascii="Consolas" w:hAnsi="Consolas"/>
        </w:rPr>
        <w:t>risk_gate.py</w:t>
      </w:r>
    </w:p>
    <w:p>
      <w:pPr/>
      <w:r>
        <w:t xml:space="preserve">bekommt eine eigene Kopie von </w:t>
      </w:r>
      <w:r>
        <w:rPr>
          <w:rFonts w:ascii="Consolas" w:hAnsi="Consolas"/>
        </w:rPr>
        <w:t>_RETAIL_KONSENS_TOP_GRUND_MUSTER</w:t>
      </w:r>
      <w:r>
        <w:t>/</w:t>
      </w:r>
    </w:p>
    <w:p>
      <w:pPr/>
      <w:r>
        <w:rPr>
          <w:rFonts w:ascii="Consolas" w:hAnsi="Consolas"/>
        </w:rPr>
        <w:t>filtere_retail_konsens_top_gruende()</w:t>
      </w:r>
      <w:r>
        <w:t>, mit Kreuzverweis-Kommentar zum</w:t>
      </w:r>
    </w:p>
    <w:p>
      <w:pPr/>
      <w:r>
        <w:t xml:space="preserve">Hebel-Pendant in </w:t>
      </w:r>
      <w:r>
        <w:rPr>
          <w:rFonts w:ascii="Consolas" w:hAnsi="Consolas"/>
        </w:rPr>
        <w:t>hebel_risk_gate.py</w:t>
      </w:r>
      <w:r>
        <w:t xml:space="preserve"> — abweichend vom sonst üblichen</w:t>
      </w:r>
    </w:p>
    <w:p>
      <w:pPr/>
      <w:r>
        <w:t>"einzige Quelle der Wahrheit"-Muster (</w:t>
      </w:r>
      <w:r>
        <w:rPr>
          <w:rFonts w:ascii="Consolas" w:hAnsi="Consolas"/>
        </w:rPr>
        <w:t>CRV_MINIMUM</w:t>
      </w:r>
      <w:r>
        <w:t>), weil Spot</w:t>
      </w:r>
    </w:p>
    <w:p>
      <w:pPr/>
      <w:r>
        <w:t>(langfristige These) und Hebel (kurzfristige Taktik) hier absichtlich als</w:t>
      </w:r>
    </w:p>
    <w:p>
      <w:pPr/>
      <w:r>
        <w:t>eigenständig behandelt werden.</w:t>
      </w:r>
    </w:p>
    <w:p>
      <w:pPr/>
      <w:r>
        <w:rPr>
          <w:b/>
        </w:rPr>
        <w:t>Anwendungsort:</w:t>
      </w:r>
      <w:r>
        <w:t xml:space="preserve"> neuer Parameter </w:t>
      </w:r>
      <w:r>
        <w:rPr>
          <w:rFonts w:ascii="Consolas" w:hAnsi="Consolas"/>
        </w:rPr>
        <w:t>filter_retail_konsens_top_gruende</w:t>
      </w:r>
    </w:p>
    <w:p>
      <w:pPr/>
      <w:r>
        <w:t xml:space="preserve">(Default </w:t>
      </w:r>
      <w:r>
        <w:rPr>
          <w:rFonts w:ascii="Consolas" w:hAnsi="Consolas"/>
        </w:rPr>
        <w:t>False</w:t>
      </w:r>
      <w:r>
        <w:t xml:space="preserve">) in </w:t>
      </w:r>
      <w:r>
        <w:rPr>
          <w:rFonts w:ascii="Consolas" w:hAnsi="Consolas"/>
        </w:rPr>
        <w:t>risk_gate.py::post_check()</w:t>
      </w:r>
      <w:r>
        <w:t xml:space="preserve"> — nur</w:t>
      </w:r>
    </w:p>
    <w:p>
      <w:pPr/>
      <w:r>
        <w:rPr>
          <w:rFonts w:ascii="Consolas" w:hAnsi="Consolas"/>
        </w:rPr>
        <w:t>agent/krypto/pipeline.py</w:t>
      </w:r>
      <w:r>
        <w:t xml:space="preserve"> (Krypto-Spot) setzt </w:t>
      </w:r>
      <w:r>
        <w:rPr>
          <w:rFonts w:ascii="Consolas" w:hAnsi="Consolas"/>
        </w:rPr>
        <w:t>True</w:t>
      </w:r>
      <w:r>
        <w:t>. NICHT generisch für</w:t>
      </w:r>
    </w:p>
    <w:p>
      <w:pPr/>
      <w:r>
        <w:t xml:space="preserve">alle 4 Spot-family-Pipelines aktiv: Aktien hat mit </w:t>
      </w:r>
      <w:r>
        <w:rPr>
          <w:rFonts w:ascii="Consolas" w:hAnsi="Consolas"/>
        </w:rPr>
        <w:t>short_interest_finra</w:t>
      </w:r>
    </w:p>
    <w:p>
      <w:pPr/>
      <w:r>
        <w:t>ein ähnlich klingendes, aber fachlich anderes Konzept (institutionelle</w:t>
      </w:r>
    </w:p>
    <w:p>
      <w:pPr/>
      <w:r>
        <w:t>FINRA-Meldungen, kein Retail-Konsens) — per synthetischem Test (T4)</w:t>
      </w:r>
    </w:p>
    <w:p>
      <w:pPr/>
      <w:r>
        <w:t>empirisch bestätigt, dass der Regex bei FINRA-Short-Interest-Formulierungen</w:t>
      </w:r>
    </w:p>
    <w:p>
      <w:pPr/>
      <w:r>
        <w:t>("Short-Interest laut FINRA...", "Short-Squeeze-Setup...") NICHT anschlägt,</w:t>
      </w:r>
    </w:p>
    <w:p>
      <w:pPr/>
      <w:r>
        <w:t>trotzdem bewusst nur am Krypto-Spot-Aufruf aktiviert statt generisch in</w:t>
      </w:r>
    </w:p>
    <w:p>
      <w:pPr/>
      <w:r>
        <w:rPr>
          <w:rFonts w:ascii="Consolas" w:hAnsi="Consolas"/>
        </w:rPr>
        <w:t>post_check()</w:t>
      </w:r>
      <w:r>
        <w:t>, um kein unnötiges Risiko in einer gemeinsam genutzten</w:t>
      </w:r>
    </w:p>
    <w:p>
      <w:pPr/>
      <w:r>
        <w:t>Funktion einzugehen.</w:t>
      </w:r>
    </w:p>
    <w:p>
      <w:pPr/>
      <w:r>
        <w:t>Verifiziert (Klasse 2, 4 Testfälle): T1 Hebel-Regression (Verhalten</w:t>
      </w:r>
    </w:p>
    <w:p>
      <w:pPr/>
      <w:r>
        <w:t>unverändert), T2 Spot-Positivfall (identisches Verhalten zu Hebel bei</w:t>
      </w:r>
    </w:p>
    <w:p>
      <w:pPr/>
      <w:r>
        <w:t>demselben Text), T3 Grenzfälle (kein list, leere Liste, fehlendes</w:t>
      </w:r>
    </w:p>
    <w:p>
      <w:pPr/>
      <w:r>
        <w:rPr>
          <w:rFonts w:ascii="Consolas" w:hAnsi="Consolas"/>
        </w:rPr>
        <w:t>text</w:t>
      </w:r>
      <w:r>
        <w:t xml:space="preserve">-Feld, </w:t>
      </w:r>
      <w:r>
        <w:rPr>
          <w:rFonts w:ascii="Consolas" w:hAnsi="Consolas"/>
        </w:rPr>
        <w:t>None</w:t>
      </w:r>
      <w:r>
        <w:t>-Eintrag), T4 Kombinationsfall (Retail-/Long-Short-</w:t>
      </w:r>
    </w:p>
    <w:p>
      <w:pPr/>
      <w:r>
        <w:t>Ratio-Varianten werden gefiltert, FINRA-Short-Interest/Short-Squeeze-Text</w:t>
      </w:r>
    </w:p>
    <w:p>
      <w:pPr/>
      <w:r>
        <w:t>bleibt erhalten). Regressionscheck: Import aller 5 Spot-family-</w:t>
      </w:r>
    </w:p>
    <w:p>
      <w:pPr/>
      <w:r>
        <w:t>Pipeline-Module OK.</w:t>
      </w:r>
    </w:p>
    <w:p>
      <w:pPr>
        <w:pStyle w:val="ListNumber"/>
      </w:pPr>
      <w:r>
        <w:rPr>
          <w:b/>
        </w:rPr>
        <w:t>Stufe 2 — Verifiziert (synthetisch), noch nicht committet:</w:t>
      </w:r>
      <w:r>
        <w:t xml:space="preserve"> `historischer_</w:t>
      </w:r>
    </w:p>
    <w:p>
      <w:pPr/>
      <w:r>
        <w:t>makro_vergleich</w:t>
      </w:r>
      <w:r>
        <w:rPr>
          <w:rFonts w:ascii="Consolas" w:hAnsi="Consolas"/>
        </w:rPr>
        <w:t xml:space="preserve"> bei Hebel geprüft. Anders als Fear&amp;Greed/</w:t>
      </w:r>
      <w:r>
        <w:t>regime_profil`</w:t>
      </w:r>
    </w:p>
    <w:p>
      <w:pPr/>
      <w:r>
        <w:t>war das KEIN toter Fakt ohne Kontext — die Hebel-Regel 15 hatte bereits</w:t>
      </w:r>
    </w:p>
    <w:p>
      <w:pPr/>
      <w:r>
        <w:t>eine auffällig starke Warnung ("NIEMALS als belastbare Statistik...</w:t>
      </w:r>
    </w:p>
    <w:p>
      <w:pPr/>
      <w:r>
        <w:t>insbesondere für Hebel-Positionen"). Die eigentliche Frage: lohnt sich der</w:t>
      </w:r>
    </w:p>
    <w:p>
      <w:pPr/>
      <w:r>
        <w:t>Fakt trotz starker Warnung noch, angesichts der 6-/12-Monats-Vorwärts-</w:t>
      </w:r>
    </w:p>
    <w:p>
      <w:pPr/>
      <w:r>
        <w:t>renditen (</w:t>
      </w:r>
      <w:r>
        <w:rPr>
          <w:rFonts w:ascii="Consolas" w:hAnsi="Consolas"/>
        </w:rPr>
        <w:t>top_analoge</w:t>
      </w:r>
      <w:r>
        <w:t xml:space="preserve">, </w:t>
      </w:r>
      <w:r>
        <w:rPr>
          <w:rFonts w:ascii="Consolas" w:hAnsi="Consolas"/>
        </w:rPr>
        <w:t>spx_forward_*</w:t>
      </w:r>
      <w:r>
        <w:t>/</w:t>
      </w:r>
      <w:r>
        <w:rPr>
          <w:rFonts w:ascii="Consolas" w:hAnsi="Consolas"/>
        </w:rPr>
        <w:t>btc_forward_*</w:t>
      </w:r>
      <w:r>
        <w:t>), die strukturell</w:t>
      </w:r>
    </w:p>
    <w:p>
      <w:pPr/>
      <w:r>
        <w:t>ein Mehrmonats-Konzept sind — ein Kategorie-Problem, das selbst starke</w:t>
      </w:r>
    </w:p>
    <w:p>
      <w:pPr/>
      <w:r>
        <w:t>Prompt-Warnungen nicht zuverlässig lösen (dasselbe Muster wie beim</w:t>
      </w:r>
    </w:p>
    <w:p>
      <w:pPr/>
      <w:r>
        <w:t>Retail-Konsens-Fund: reine Prompt-Warnungen reichen nicht immer aus).</w:t>
      </w:r>
    </w:p>
    <w:p>
      <w:pPr/>
      <w:r>
        <w:rPr>
          <w:b/>
        </w:rPr>
        <w:t>Lösung (Nutzer-Vorschlag, verfeinert):</w:t>
      </w:r>
      <w:r>
        <w:t xml:space="preserve"> nicht komplett entfernen,</w:t>
      </w:r>
    </w:p>
    <w:p>
      <w:pPr/>
      <w:r>
        <w:t xml:space="preserve">sondern </w:t>
      </w:r>
      <w:r>
        <w:rPr>
          <w:b/>
        </w:rPr>
        <w:t>destillieren</w:t>
      </w:r>
      <w:r>
        <w:t xml:space="preserve"> — die aktuelle Makro-Konstellation</w:t>
      </w:r>
    </w:p>
    <w:p>
      <w:pPr/>
      <w:r>
        <w:t>(</w:t>
      </w:r>
      <w:r>
        <w:rPr>
          <w:rFonts w:ascii="Consolas" w:hAnsi="Consolas"/>
        </w:rPr>
        <w:t>aktuelle_konstellation</w:t>
      </w:r>
      <w:r>
        <w:t>: Dollarstärke/Zinsen/Renditen/Öl/Aktienbewertung)</w:t>
      </w:r>
    </w:p>
    <w:p>
      <w:pPr/>
      <w:r>
        <w:t>ist zeitlos gültig, kein Mehrmonats-Konzept, bleibt erhalten. Neue Funktion</w:t>
      </w:r>
    </w:p>
    <w:p>
      <w:pPr/>
      <w:r>
        <w:rPr>
          <w:rFonts w:ascii="Consolas" w:hAnsi="Consolas"/>
        </w:rPr>
        <w:t>agent/krypto/makro_analog.py::distill_makro_vergleich_fuer_hebel()</w:t>
      </w:r>
    </w:p>
    <w:p>
      <w:pPr/>
      <w:r>
        <w:t xml:space="preserve">reduziert auf </w:t>
      </w:r>
      <w:r>
        <w:rPr>
          <w:rFonts w:ascii="Consolas" w:hAnsi="Consolas"/>
        </w:rPr>
        <w:t>aktuelle_konstellation</w:t>
      </w:r>
      <w:r>
        <w:t xml:space="preserve"> + </w:t>
      </w:r>
      <w:r>
        <w:rPr>
          <w:rFonts w:ascii="Consolas" w:hAnsi="Consolas"/>
        </w:rPr>
        <w:t>anzahl_analoge</w:t>
      </w:r>
      <w:r>
        <w:t xml:space="preserve"> +</w:t>
      </w:r>
    </w:p>
    <w:p>
      <w:pPr/>
      <w:r>
        <w:rPr>
          <w:rFonts w:ascii="Consolas" w:hAnsi="Consolas"/>
        </w:rPr>
        <w:t>spx_median_forward_6m_prozent</w:t>
      </w:r>
      <w:r>
        <w:t xml:space="preserve"> (12-Monats-Wert bewusst weggelassen — noch</w:t>
      </w:r>
    </w:p>
    <w:p>
      <w:pPr/>
      <w:r>
        <w:t xml:space="preserve">länger, noch unpassender; </w:t>
      </w:r>
      <w:r>
        <w:rPr>
          <w:rFonts w:ascii="Consolas" w:hAnsi="Consolas"/>
        </w:rPr>
        <w:t>top_analoge</w:t>
      </w:r>
      <w:r>
        <w:t>-Liste entfällt komplett — größter</w:t>
      </w:r>
    </w:p>
    <w:p>
      <w:pPr/>
      <w:r>
        <w:t>Umfang UND größte Fehlinterpretationsgefahr; kein aggregiertes BTC-Feld,</w:t>
      </w:r>
    </w:p>
    <w:p>
      <w:pPr/>
      <w:r>
        <w:t xml:space="preserve">unverändert). Gleicher Fakt-Schlüsselname </w:t>
      </w:r>
      <w:r>
        <w:rPr>
          <w:rFonts w:ascii="Consolas" w:hAnsi="Consolas"/>
        </w:rPr>
        <w:t>historischer_makro_vergleich</w:t>
      </w:r>
    </w:p>
    <w:p>
      <w:pPr/>
      <w:r>
        <w:t>für Spot UND Hebel beibehalten (nicht umbenannt) — der Fakt wird nirgends</w:t>
      </w:r>
    </w:p>
    <w:p>
      <w:pPr/>
      <w:r>
        <w:t>dauerhaft gespeichert, beide Fassungen werden nie gemeinsam vom selben</w:t>
      </w:r>
    </w:p>
    <w:p>
      <w:pPr/>
      <w:r>
        <w:t>Code gelesen, ein Kreuzverweis-Kommentar an der Hebel-Definitionsstelle</w:t>
      </w:r>
    </w:p>
    <w:p>
      <w:pPr/>
      <w:r>
        <w:t>reicht für menschliche Lesbarkeit.</w:t>
      </w:r>
    </w:p>
    <w:p>
      <w:pPr/>
      <w:r>
        <w:t>Hebel-Regel 15 komplett neu gefasst: die verbleibende Kennzahl wird</w:t>
      </w:r>
    </w:p>
    <w:p>
      <w:pPr/>
      <w:r>
        <w:t xml:space="preserve">ausdrücklich als </w:t>
      </w:r>
      <w:r>
        <w:rPr>
          <w:b/>
        </w:rPr>
        <w:t>richtungsneutraler</w:t>
      </w:r>
      <w:r>
        <w:t xml:space="preserve"> Risikoappetit-Hintergrund für</w:t>
      </w:r>
    </w:p>
    <w:p>
      <w:pPr/>
      <w:r>
        <w:rPr>
          <w:rFonts w:ascii="Consolas" w:hAnsi="Consolas"/>
        </w:rPr>
        <w:t>key_risks</w:t>
      </w:r>
      <w:r>
        <w:t>/</w:t>
      </w:r>
      <w:r>
        <w:rPr>
          <w:rFonts w:ascii="Consolas" w:hAnsi="Consolas"/>
        </w:rPr>
        <w:t>gegenargument</w:t>
      </w:r>
      <w:r>
        <w:t xml:space="preserve"> gerahmt — bewusst KEINE LONG/SHORT-Ableitung</w:t>
      </w:r>
    </w:p>
    <w:p>
      <w:pPr/>
      <w:r>
        <w:t>(SPX-Vorwärtsrendite auf Krypto zu übertragen wäre eine Scheingenauigkeit,</w:t>
      </w:r>
    </w:p>
    <w:p>
      <w:pPr/>
      <w:r>
        <w:t xml:space="preserve">die der Fakt selbst schon für </w:t>
      </w:r>
      <w:r>
        <w:rPr>
          <w:rFonts w:ascii="Consolas" w:hAnsi="Consolas"/>
        </w:rPr>
        <w:t>btc_forward_*</w:t>
      </w:r>
      <w:r>
        <w:t xml:space="preserve"> vermeidet) und KEINE</w:t>
      </w:r>
    </w:p>
    <w:p>
      <w:pPr/>
      <w:r>
        <w:t>Kategorie-Bucket-Übersetzung (bräuchte eine nicht vorhandene</w:t>
      </w:r>
    </w:p>
    <w:p>
      <w:pPr/>
      <w:r>
        <w:t>Vergleichsbasis, ebenfalls Scheingenauigkeit) — rohe Zahl mit klarer</w:t>
      </w:r>
    </w:p>
    <w:p>
      <w:pPr/>
      <w:r>
        <w:t xml:space="preserve">Einordnung, konsistent mit </w:t>
      </w:r>
      <w:r>
        <w:rPr>
          <w:rFonts w:ascii="Consolas" w:hAnsi="Consolas"/>
        </w:rPr>
        <w:t>zyklus_risiko</w:t>
      </w:r>
      <w:r>
        <w:t>/</w:t>
      </w:r>
      <w:r>
        <w:rPr>
          <w:rFonts w:ascii="Consolas" w:hAnsi="Consolas"/>
        </w:rPr>
        <w:t>atr.perzentil</w:t>
      </w:r>
      <w:r>
        <w:t>.</w:t>
      </w:r>
    </w:p>
    <w:p>
      <w:pPr/>
      <w:r>
        <w:t xml:space="preserve">Verifiziert (Klasse 2, 4 Testfälle): T1 </w:t>
      </w:r>
      <w:r>
        <w:rPr>
          <w:rFonts w:ascii="Consolas" w:hAnsi="Consolas"/>
        </w:rPr>
        <w:t>None</w:t>
      </w:r>
      <w:r>
        <w:t>-Input, T2 Positivfall</w:t>
      </w:r>
    </w:p>
    <w:p>
      <w:pPr/>
      <w:r>
        <w:t xml:space="preserve">(Destillation entfernt </w:t>
      </w:r>
      <w:r>
        <w:rPr>
          <w:rFonts w:ascii="Consolas" w:hAnsi="Consolas"/>
        </w:rPr>
        <w:t>top_analoge</w:t>
      </w:r>
      <w:r>
        <w:t>/</w:t>
      </w:r>
      <w:r>
        <w:rPr>
          <w:rFonts w:ascii="Consolas" w:hAnsi="Consolas"/>
        </w:rPr>
        <w:t>aktueller_monat</w:t>
      </w:r>
      <w:r>
        <w:t>/12-Monats-Wert</w:t>
      </w:r>
    </w:p>
    <w:p>
      <w:pPr/>
      <w:r>
        <w:t>korrekt, behält die 3 Zielfelder), T3 Grenzfall (fehlende/</w:t>
      </w:r>
      <w:r>
        <w:rPr>
          <w:rFonts w:ascii="Consolas" w:hAnsi="Consolas"/>
        </w:rPr>
        <w:t>None</w:t>
      </w:r>
      <w:r>
        <w:t>-Werte),</w:t>
      </w:r>
    </w:p>
    <w:p>
      <w:pPr/>
      <w:r>
        <w:t xml:space="preserve">T4 Kombinationsfall (Import-Konsistenz zwischen </w:t>
      </w:r>
      <w:r>
        <w:rPr>
          <w:rFonts w:ascii="Consolas" w:hAnsi="Consolas"/>
        </w:rPr>
        <w:t>hebel_pipeline.py</w:t>
      </w:r>
      <w:r>
        <w:t xml:space="preserve"> und</w:t>
      </w:r>
    </w:p>
    <w:p>
      <w:pPr/>
      <w:r>
        <w:rPr>
          <w:rFonts w:ascii="Consolas" w:hAnsi="Consolas"/>
        </w:rPr>
        <w:t>makro_analog.py</w:t>
      </w:r>
      <w:r>
        <w:t>). Regressionscheck: Spot (</w:t>
      </w:r>
      <w:r>
        <w:rPr>
          <w:rFonts w:ascii="Consolas" w:hAnsi="Consolas"/>
        </w:rPr>
        <w:t>pipeline.py</w:t>
      </w:r>
      <w:r>
        <w:t>/</w:t>
      </w:r>
      <w:r>
        <w:rPr>
          <w:rFonts w:ascii="Consolas" w:hAnsi="Consolas"/>
        </w:rPr>
        <w:t>analyst.py</w:t>
      </w:r>
      <w:r>
        <w:t>)</w:t>
      </w:r>
    </w:p>
    <w:p>
      <w:pPr/>
      <w:r>
        <w:t>unverändert, Regelnummerierung Hebel 1-24 ohne Lücke.</w:t>
      </w:r>
    </w:p>
    <w:p>
      <w:pPr/>
      <w:r>
        <w:t>Diese Liste wird schrittweise abgearbeitet, mit Vorher/Nachher-Beobachtung über die</w:t>
      </w:r>
    </w:p>
    <w:p>
      <w:pPr/>
      <w:r>
        <w:t>in Abschnitt 6 (Prozess-Phase 4) genannten Metriken.</w:t>
      </w:r>
    </w:p>
    <w:p>
      <w:pPr>
        <w:pStyle w:val="Heading2"/>
      </w:pPr>
      <w:r>
        <w:t>6. Über den Tellerrand — essentielle Signale, die komplett fehlen</w:t>
      </w:r>
    </w:p>
    <w:p>
      <w:pPr/>
      <w:r>
        <w:t>Abschnitt 4 ist eine Bestandsaufnahme dessen, was existiert. Diese Frage ist anders:</w:t>
      </w:r>
    </w:p>
    <w:p>
      <w:pPr/>
      <w:r>
        <w:t>was fehlt UNS GANZ, obwohl es in professioneller Krypto-Analyse Standard ist? Bewertet</w:t>
      </w:r>
    </w:p>
    <w:p>
      <w:pPr/>
      <w:r>
        <w:t>nach (a) tatsächlicher Marktüblichkeit, nicht Exotik, (b) Umsetzbarkeit mit</w:t>
      </w:r>
    </w:p>
    <w:p>
      <w:pPr/>
      <w:r>
        <w:t>kostenfreien Quellen (feste Projekt-Vorgabe, siehe</w:t>
      </w:r>
    </w:p>
    <w:p>
      <w:pPr/>
      <w:r>
        <w:t>[[feedback_kostenfreie_llm_only]]), (c) Mehrwert für den jeweiligen Zeithorizont</w:t>
      </w:r>
    </w:p>
    <w:p>
      <w:pPr/>
      <w:r>
        <w:t>(Abschnitt 1, Frage 4).</w:t>
      </w:r>
    </w:p>
    <w:p>
      <w:pPr>
        <w:pStyle w:val="Heading3"/>
      </w:pPr>
      <w:r>
        <w:t>6.1 Sofort umsetzbar — Daten bereits vorhanden, nur nicht verdrahtet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Kandidat</w:t>
            </w:r>
          </w:p>
        </w:tc>
        <w:tc>
          <w:tcPr>
            <w:tcW w:type="dxa" w:w="2880"/>
          </w:tcPr>
          <w:p>
            <w:r>
              <w:t>Warum marktüblich</w:t>
            </w:r>
          </w:p>
        </w:tc>
        <w:tc>
          <w:tcPr>
            <w:tcW w:type="dxa" w:w="2880"/>
          </w:tcPr>
          <w:p>
            <w:r>
              <w:t>Aufwand</w:t>
            </w:r>
          </w:p>
        </w:tc>
      </w:tr>
      <w:tr>
        <w:tc>
          <w:tcPr>
            <w:tcW w:type="dxa" w:w="2880"/>
          </w:tcPr>
          <w:p>
            <w:r>
              <w:t>**DXY-Trend (Dollar-Index) direkt in Krypto-Fakten** — **ERLEDIGT (2026-07-28)**</w:t>
            </w:r>
          </w:p>
        </w:tc>
        <w:tc>
          <w:tcPr>
            <w:tcW w:type="dxa" w:w="2880"/>
          </w:tcPr>
          <w:p>
            <w:r>
              <w:t>Dollar-Stärke korreliert historisch invers mit Krypto/Risk-Assets — Standard-Makro-Cross-Check bei jedem Krypto-Desk. `api/macro.py::get_dollar_index_trend()` existiert bereits (gebaut für `agent/kategorie_thesen.py`), wird aber **nie** an Krypto-Spot/Hebel übergeben — nur indirekt und stark verzögert über den monatlichen Makro-Analog-Cache.</w:t>
            </w:r>
          </w:p>
        </w:tc>
        <w:tc>
          <w:tcPr>
            <w:tcW w:type="dxa" w:w="2880"/>
          </w:tcPr>
          <w:p>
            <w:r>
              <w:t>Gering — reines Wiring, Funktion + Datenquelle bereits getestet im Einsatz.</w:t>
            </w:r>
          </w:p>
        </w:tc>
      </w:tr>
      <w:tr>
        <w:tc>
          <w:tcPr>
            <w:tcW w:type="dxa" w:w="2880"/>
          </w:tcPr>
          <w:p>
            <w:r>
              <w:t>**Open-Interest-Trend-vs-Kurs-Divergenz** (Squeeze-Erkennung) — **ERLEDIGT (2026-07-28)**</w:t>
            </w:r>
          </w:p>
        </w:tc>
        <w:tc>
          <w:tcPr>
            <w:tcW w:type="dxa" w:w="2880"/>
          </w:tcPr>
          <w:p>
            <w:r>
              <w:t>Klassische Technik: Kurs steigt bei FALLENDEM OI → oft fragile Short-Squeeze-Rally (wenig belastbar); Kurs steigt bei STEIGENDEM OI → frisches Kapital, robuster. Wird an praktisch jedem Krypto-Derivate-Desk verwendet.</w:t>
            </w:r>
          </w:p>
        </w:tc>
        <w:tc>
          <w:tcPr>
            <w:tcW w:type="dxa" w:w="2880"/>
          </w:tcPr>
          <w:p>
            <w:r>
              <w:t>Gering — wir haben Binance/Bybit/OKX-OI UND Kursänderung bereits (`antizyklisch.*`), nur die Verknüpfung als eigener Fakt fehlt.</w:t>
            </w:r>
          </w:p>
        </w:tc>
      </w:tr>
      <w:tr>
        <w:tc>
          <w:tcPr>
            <w:tcW w:type="dxa" w:w="2880"/>
          </w:tcPr>
          <w:p>
            <w:r>
              <w:t>**Funding-Rate-Perzentil** (Crowding-Indikator) — **ERLEDIGT (2026-07-28)**</w:t>
            </w:r>
          </w:p>
        </w:tc>
        <w:tc>
          <w:tcPr>
            <w:tcW w:type="dxa" w:w="2880"/>
          </w:tcPr>
          <w:p>
            <w:r>
              <w:t>Zeigt, ob die AKTUELLE Funding-Rate historisch extrem ist (Crowding-Signal), nicht nur den Rohwert. Genau dasselbe Prinzip wie das bereits gebaute `atr_percentile()` — nur auf Funding-Rate-Historie angewendet.</w:t>
            </w:r>
          </w:p>
        </w:tc>
        <w:tc>
          <w:tcPr>
            <w:tcW w:type="dxa" w:w="2880"/>
          </w:tcPr>
          <w:p>
            <w:r>
              <w:t>Gering — identisches Code-Muster wiederverwendbar.</w:t>
            </w:r>
          </w:p>
        </w:tc>
      </w:tr>
    </w:tbl>
    <w:p>
      <w:pPr>
        <w:pStyle w:val="Heading3"/>
      </w:pPr>
      <w:r>
        <w:t>6.2 Recherchebedürftig — plausibel machbar, aber nicht sofort einschätzbar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Kandidat</w:t>
            </w:r>
          </w:p>
        </w:tc>
        <w:tc>
          <w:tcPr>
            <w:tcW w:type="dxa" w:w="2880"/>
          </w:tcPr>
          <w:p>
            <w:r>
              <w:t>Warum interessant</w:t>
            </w:r>
          </w:p>
        </w:tc>
        <w:tc>
          <w:tcPr>
            <w:tcW w:type="dxa" w:w="2880"/>
          </w:tcPr>
          <w:p>
            <w:r>
              <w:t>Offene Frage</w:t>
            </w:r>
          </w:p>
        </w:tc>
      </w:tr>
      <w:tr>
        <w:tc>
          <w:tcPr>
            <w:tcW w:type="dxa" w:w="2880"/>
          </w:tcPr>
          <w:p>
            <w:r>
              <w:t>**Coin-spezifischer Exchange-Netto-Flow** (nicht nur BTC)</w:t>
            </w:r>
          </w:p>
        </w:tc>
        <w:tc>
          <w:tcPr>
            <w:tcW w:type="dxa" w:w="2880"/>
          </w:tcPr>
          <w:p>
            <w:r>
              <w:t>`markt_kontext.btc_exchange_flow_netto_btc` existiert NUR für BTC. Für Alts wäre dasselbe Prinzip (Zufluss=Verkaufsdruck-Hinweis) wertvoll, gerade für Hebel-Kandidaten abseits BTC/ETH.</w:t>
            </w:r>
          </w:p>
        </w:tc>
        <w:tc>
          <w:tcPr>
            <w:tcW w:type="dxa" w:w="2880"/>
          </w:tcPr>
          <w:p>
            <w:r>
              <w:t>CoinMetrics ist bereits als Datenquelle im Einsatz (`api_health`-Liste) — ob die kostenfreie Stufe genug Alt-Coins abdeckt, ist ungeprüft.</w:t>
            </w:r>
          </w:p>
        </w:tc>
      </w:tr>
      <w:tr>
        <w:tc>
          <w:tcPr>
            <w:tcW w:type="dxa" w:w="2880"/>
          </w:tcPr>
          <w:p>
            <w:r>
              <w:t>**Spot-Futures-Basis / Perpetual-Premium**</w:t>
            </w:r>
          </w:p>
        </w:tc>
        <w:tc>
          <w:tcPr>
            <w:tcW w:type="dxa" w:w="2880"/>
          </w:tcPr>
          <w:p>
            <w:r>
              <w:t>Zeigt, wie stark der Markt long/short positioniert ist (Basis-Spread), unabhängig von Funding-Rate. Ergänzt Funding-Rate um eine zweite, unabhängige Crowding-Perspektive.</w:t>
            </w:r>
          </w:p>
        </w:tc>
        <w:tc>
          <w:tcPr>
            <w:tcW w:type="dxa" w:w="2880"/>
          </w:tcPr>
          <w:p>
            <w:r>
              <w:t>Ob Kraken/Binance-Public-APIs Mark-Price/Index-Price sauber genug liefern, um eine belastbare Basis abzuleiten, ist ungeprüft.</w:t>
            </w:r>
          </w:p>
        </w:tc>
      </w:tr>
    </w:tbl>
    <w:p>
      <w:pPr>
        <w:pStyle w:val="Heading3"/>
      </w:pPr>
      <w:r>
        <w:t>6.3 Bewusst zurückgestellt — Aufwand/Nutzen bzw. Kostenfrage</w:t>
      </w:r>
    </w:p>
    <w:p>
      <w:pPr>
        <w:pStyle w:val="ListBullet"/>
      </w:pPr>
      <w:r>
        <w:rPr>
          <w:b/>
        </w:rPr>
        <w:t>Orderbuch-Tiefe / Bid-Ask-Imbalance</w:t>
      </w:r>
      <w:r>
        <w:t xml:space="preserve"> — in professionellem Trading Standard, aber</w:t>
      </w:r>
    </w:p>
    <w:p>
      <w:pPr/>
      <w:r>
        <w:t>für die meisten Altcoins über kostenfreie APIs nicht robust und nicht ohne</w:t>
      </w:r>
    </w:p>
    <w:p>
      <w:pPr/>
      <w:r>
        <w:t>erheblichen Aufwand verfügbar. Bewusst nicht verfolgt, keine Deadline.</w:t>
      </w:r>
    </w:p>
    <w:p>
      <w:pPr>
        <w:pStyle w:val="ListBullet"/>
      </w:pPr>
      <w:r>
        <w:rPr>
          <w:b/>
        </w:rPr>
        <w:t>Makro-Korrelationsregime-Klassifikation</w:t>
      </w:r>
      <w:r>
        <w:t xml:space="preserve"> ("handelt Krypto gerade als Risk-on-</w:t>
      </w:r>
    </w:p>
    <w:p>
      <w:pPr/>
      <w:r>
        <w:t>Tech-Proxy oder als digitales-Gold-Hedge?") — würde viele der obigen Punkte</w:t>
      </w:r>
    </w:p>
    <w:p>
      <w:pPr/>
      <w:r>
        <w:t>(DXY, Equities-Korrelation) erst richtig einordnen können, ist aber methodisch</w:t>
      </w:r>
    </w:p>
    <w:p>
      <w:pPr/>
      <w:r>
        <w:t>aufwendig und eher ein Forschungsthema als ein kurzfristiger Fakt. Als Idee</w:t>
      </w:r>
    </w:p>
    <w:p>
      <w:pPr/>
      <w:r>
        <w:t>vorgemerkt, keine Umsetzung geplant.</w:t>
      </w:r>
    </w:p>
    <w:p>
      <w:pPr/>
      <w:r>
        <w:t>Priorisierungsvorschlag: 6.1 zusammen mit den bereits entschiedenen Punkten aus</w:t>
      </w:r>
    </w:p>
    <w:p>
      <w:pPr/>
      <w:r>
        <w:t>Abschnitt 5 angehen (DXY-Wiring ist im Aufwand vergleichbar mit den dortigen</w:t>
      </w:r>
    </w:p>
    <w:p>
      <w:pPr/>
      <w:r>
        <w:t>Punkten), 6.2 erst nach einer kurzen Datenverfügbarkeits-Prüfung, 6.3 nicht ohne</w:t>
      </w:r>
    </w:p>
    <w:p>
      <w:pPr/>
      <w:r>
        <w:t>neue Nutzer-Anfrage.</w:t>
      </w:r>
    </w:p>
    <w:p>
      <w:pPr/>
      <w:r>
        <w:rPr>
          <w:b/>
        </w:rPr>
        <w:t>OI-Squeeze-Divergenz + Funding-Rate-Perzentil — Umsetzung (2026-07-28):</w:t>
      </w:r>
      <w:r>
        <w:t xml:space="preserve"> vor</w:t>
      </w:r>
    </w:p>
    <w:p>
      <w:pPr/>
      <w:r>
        <w:t>der Umsetzung Mengenanalyse gegen die echte Desktop-DB durchgeführt, da die</w:t>
      </w:r>
    </w:p>
    <w:p>
      <w:pPr/>
      <w:r>
        <w:t>Doku-Behauptung "Daten bereits vorhanden" nur fuer Hebel-geprüfte Assets</w:t>
      </w:r>
    </w:p>
    <w:p>
      <w:pPr/>
      <w:r>
        <w:t xml:space="preserve">zutraf, nicht pauschal für Spot. Fund: </w:t>
      </w:r>
      <w:r>
        <w:rPr>
          <w:rFonts w:ascii="Consolas" w:hAnsi="Consolas"/>
        </w:rPr>
        <w:t>asset_hebel_settings</w:t>
      </w:r>
      <w:r>
        <w:t xml:space="preserve"> (Hebel-Prüfung-</w:t>
      </w:r>
    </w:p>
    <w:p>
      <w:pPr/>
      <w:r>
        <w:t xml:space="preserve">Toggle) ist ein reiner OPT-OUT (Default </w:t>
      </w:r>
      <w:r>
        <w:rPr>
          <w:rFonts w:ascii="Consolas" w:hAnsi="Consolas"/>
        </w:rPr>
        <w:t>True</w:t>
      </w:r>
      <w:r>
        <w:t xml:space="preserve"> für ALLE Krypto-Assets, siehe</w:t>
      </w:r>
    </w:p>
    <w:p>
      <w:pPr/>
      <w:r>
        <w:rPr>
          <w:rFonts w:ascii="Consolas" w:hAnsi="Consolas"/>
        </w:rPr>
        <w:t>db.get_hebel_pruefung_erlaubt()</w:t>
      </w:r>
      <w:r>
        <w:t>-Docstring) und die Tabelle war zum</w:t>
      </w:r>
    </w:p>
    <w:p>
      <w:pPr/>
      <w:r>
        <w:t>Prüfzeitpunkt komplett leer (niemand hat je opt-out gemacht) — von 43 Krypto-</w:t>
      </w:r>
    </w:p>
    <w:p>
      <w:pPr/>
      <w:r>
        <w:t>Watchlist-Assets hatten bereits 38 (88%) historische OI-/Funding-Daten in</w:t>
      </w:r>
    </w:p>
    <w:p>
      <w:pPr/>
      <w:r>
        <w:rPr>
          <w:rFonts w:ascii="Consolas" w:hAnsi="Consolas"/>
        </w:rPr>
        <w:t>open_interest_snapshot</w:t>
      </w:r>
      <w:r>
        <w:t>, die 5 fehlenden plausibel durch neuere Watchlist-</w:t>
      </w:r>
    </w:p>
    <w:p>
      <w:pPr/>
      <w:r>
        <w:t>Ergänzungen oder fehlenden Derivate-Markt erklärt (bereits durch die</w:t>
      </w:r>
    </w:p>
    <w:p>
      <w:pPr/>
      <w:r>
        <w:t>bestehende OI-Abdeckungs-Warnung sichtbar gemacht). Damit Entscheidung: beide</w:t>
      </w:r>
    </w:p>
    <w:p>
      <w:pPr/>
      <w:r>
        <w:t>Fakten von Anfang an für Spot UND Hebel bauen, keine gestaffelte Ausweitung.</w:t>
      </w:r>
    </w:p>
    <w:p>
      <w:pPr/>
      <w:r>
        <w:t xml:space="preserve">Neue reine Funktion </w:t>
      </w:r>
      <w:r>
        <w:rPr>
          <w:rFonts w:ascii="Consolas" w:hAnsi="Consolas"/>
        </w:rPr>
        <w:t>classify_squeeze_divergenz()</w:t>
      </w:r>
      <w:r>
        <w:t xml:space="preserve"> (</w:t>
      </w:r>
      <w:r>
        <w:rPr>
          <w:rFonts w:ascii="Consolas" w:hAnsi="Consolas"/>
        </w:rPr>
        <w:t>hebel_screening.py</w:t>
      </w:r>
      <w:r>
        <w:t>)</w:t>
      </w:r>
    </w:p>
    <w:p>
      <w:pPr/>
      <w:r>
        <w:t xml:space="preserve">vergleicht </w:t>
      </w:r>
      <w:r>
        <w:rPr>
          <w:rFonts w:ascii="Consolas" w:hAnsi="Consolas"/>
        </w:rPr>
        <w:t>compute_oi_change_pct()</w:t>
      </w:r>
      <w:r>
        <w:t xml:space="preserve"> (NEUES, eigenes 72h-Lookback-Fenster,</w:t>
      </w:r>
    </w:p>
    <w:p>
      <w:pPr/>
      <w:r>
        <w:rPr>
          <w:rFonts w:ascii="Consolas" w:hAnsi="Consolas"/>
        </w:rPr>
        <w:t>config.yaml krypto_oi_fakten.squeeze_oi_lookback_stunden</w:t>
      </w:r>
      <w:r>
        <w:t xml:space="preserve"> — bewusst NICHT</w:t>
      </w:r>
    </w:p>
    <w:p>
      <w:pPr/>
      <w:r>
        <w:t>Hebels 4h-Trendfolge-Fenster, da zeitlich nicht vergleichbar mit dem 3-Tage-</w:t>
      </w:r>
    </w:p>
    <w:p>
      <w:pPr/>
      <w:r>
        <w:t>Kursfenster) mit dem bereits vorhandenen `antizyklisch.kursaenderung_letzte_</w:t>
      </w:r>
    </w:p>
    <w:p>
      <w:pPr/>
      <w:r>
        <w:t>tage_prozent</w:t>
      </w:r>
      <w:r>
        <w:rPr>
          <w:rFonts w:ascii="Consolas" w:hAnsi="Consolas"/>
        </w:rPr>
        <w:t xml:space="preserve"> (</w:t>
      </w:r>
      <w:r>
        <w:t>anticyclic.py::DROP_LOOKBACK_DAYS=3`). 4 Label plus</w:t>
      </w:r>
    </w:p>
    <w:p>
      <w:pPr/>
      <w:r>
        <w:t xml:space="preserve">"neutral" (Mindestbetrag </w:t>
      </w:r>
      <w:r>
        <w:rPr>
          <w:rFonts w:ascii="Consolas" w:hAnsi="Consolas"/>
        </w:rPr>
        <w:t>squeeze_schwelle_prozent</w:t>
      </w:r>
      <w:r>
        <w:t>). Neue Funktion</w:t>
      </w:r>
    </w:p>
    <w:p>
      <w:pPr/>
      <w:r>
        <w:rPr>
          <w:rFonts w:ascii="Consolas" w:hAnsi="Consolas"/>
        </w:rPr>
        <w:t>funding_rate_percentile()</w:t>
      </w:r>
      <w:r>
        <w:t xml:space="preserve"> (</w:t>
      </w:r>
      <w:r>
        <w:rPr>
          <w:rFonts w:ascii="Consolas" w:hAnsi="Consolas"/>
        </w:rPr>
        <w:t>indicators/calculations.py</w:t>
      </w:r>
      <w:r>
        <w:t>) exakt nach dem</w:t>
      </w:r>
    </w:p>
    <w:p>
      <w:pPr/>
      <w:r>
        <w:rPr>
          <w:rFonts w:ascii="Consolas" w:hAnsi="Consolas"/>
        </w:rPr>
        <w:t>atr_percentile()</w:t>
      </w:r>
      <w:r>
        <w:t xml:space="preserve">-Muster (eigene </w:t>
      </w:r>
      <w:r>
        <w:rPr>
          <w:rFonts w:ascii="Consolas" w:hAnsi="Consolas"/>
        </w:rPr>
        <w:t>MIN_FUNDING_PERZENTIL_PUNKTE</w:t>
      </w:r>
      <w:r>
        <w:t>-Konstante,</w:t>
      </w:r>
    </w:p>
    <w:p>
      <w:pPr/>
      <w:r>
        <w:t>kein Anfassen des bestehenden ATR-Codes), gefüttert über einen DB-Fetch-</w:t>
      </w:r>
    </w:p>
    <w:p>
      <w:pPr/>
      <w:r>
        <w:t>Wrapper (</w:t>
      </w:r>
      <w:r>
        <w:rPr>
          <w:rFonts w:ascii="Consolas" w:hAnsi="Consolas"/>
        </w:rPr>
        <w:t>hebel_screening.py::compute_funding_rate_percentile()</w:t>
      </w:r>
      <w:r>
        <w:t>), der die</w:t>
      </w:r>
    </w:p>
    <w:p>
      <w:pPr/>
      <w:r>
        <w:t>redundant in allen 3 Börsen-Zeilen gespeicherte Kraken-Funding-Rate ausliest.</w:t>
      </w:r>
    </w:p>
    <w:p>
      <w:pPr/>
      <w:r>
        <w:t xml:space="preserve">Beide Fakten in </w:t>
      </w:r>
      <w:r>
        <w:rPr>
          <w:rFonts w:ascii="Consolas" w:hAnsi="Consolas"/>
        </w:rPr>
        <w:t>pipeline.py</w:t>
      </w:r>
      <w:r>
        <w:t>/</w:t>
      </w:r>
      <w:r>
        <w:rPr>
          <w:rFonts w:ascii="Consolas" w:hAnsi="Consolas"/>
        </w:rPr>
        <w:t>hebel_pipeline.py</w:t>
      </w:r>
      <w:r>
        <w:t xml:space="preserve"> berechnet und in</w:t>
      </w:r>
    </w:p>
    <w:p>
      <w:pPr/>
      <w:r>
        <w:rPr>
          <w:rFonts w:ascii="Consolas" w:hAnsi="Consolas"/>
        </w:rPr>
        <w:t>analyst.py</w:t>
      </w:r>
      <w:r>
        <w:t>/</w:t>
      </w:r>
      <w:r>
        <w:rPr>
          <w:rFonts w:ascii="Consolas" w:hAnsi="Consolas"/>
        </w:rPr>
        <w:t>hebel_analyst.py</w:t>
      </w:r>
      <w:r>
        <w:t xml:space="preserve"> als </w:t>
      </w:r>
      <w:r>
        <w:rPr>
          <w:rFonts w:ascii="Consolas" w:hAnsi="Consolas"/>
        </w:rPr>
        <w:t>antizyklisch.squeeze_divergenz</w:t>
      </w:r>
      <w:r>
        <w:t>/</w:t>
      </w:r>
    </w:p>
    <w:p>
      <w:pPr/>
      <w:r>
        <w:rPr>
          <w:rFonts w:ascii="Consolas" w:hAnsi="Consolas"/>
        </w:rPr>
        <w:t>.funding_rate_perzentil</w:t>
      </w:r>
      <w:r>
        <w:t xml:space="preserve"> verdrahtet (neue Regeln 31/25). Verifiziert:</w:t>
      </w:r>
    </w:p>
    <w:p>
      <w:pPr/>
      <w:r>
        <w:t>Klasse 2, 16 synthetische Testfälle (alle 4 Squeeze-Quadranten + neutral +</w:t>
      </w:r>
    </w:p>
    <w:p>
      <w:pPr/>
      <w:r>
        <w:t>None-Propagierung + Perzentil-Grenzfälle + DB-Wrapper mit None-Filterung),</w:t>
      </w:r>
    </w:p>
    <w:p>
      <w:pPr/>
      <w:r>
        <w:t>Regelnummerierung + Import-Regressionscheck über alle 6 betroffenen Module.</w:t>
      </w:r>
    </w:p>
    <w:p>
      <w:pPr/>
      <w:r>
        <w:rPr>
          <w:b/>
        </w:rPr>
        <w:t>DXY-Trend — Umsetzung (2026-07-28):</w:t>
      </w:r>
      <w:r>
        <w:t xml:space="preserve"> einheitlich für alle 6 Pipelines (Krypto</w:t>
      </w:r>
    </w:p>
    <w:p>
      <w:pPr/>
      <w:r>
        <w:t>Spot/Hebel, Aktien, Rohstoffe, Themen-ETF, Hedge) verdrahtet, keine</w:t>
      </w:r>
    </w:p>
    <w:p>
      <w:pPr/>
      <w:r>
        <w:t>Sonderbehandlung (Nutzer bestätigt: keine Gegenargumente gegen Gleichbehandlung</w:t>
      </w:r>
    </w:p>
    <w:p>
      <w:pPr/>
      <w:r>
        <w:t xml:space="preserve">wie beim VIX-Vorbild). </w:t>
      </w:r>
      <w:r>
        <w:rPr>
          <w:rFonts w:ascii="Consolas" w:hAnsi="Consolas"/>
        </w:rPr>
        <w:t>RegimeResult.dollar_index_wert</w:t>
      </w:r>
      <w:r>
        <w:t>/</w:t>
      </w:r>
      <w:r>
        <w:rPr>
          <w:rFonts w:ascii="Consolas" w:hAnsi="Consolas"/>
        </w:rPr>
        <w:t>dollar_index_trend</w:t>
      </w:r>
    </w:p>
    <w:p>
      <w:pPr/>
      <w:r>
        <w:t>(bereits vorklassifiziert: "steigend"/"fallend"/"gleichbleibend"/"unbekannt",</w:t>
      </w:r>
    </w:p>
    <w:p>
      <w:pPr/>
      <w:r>
        <w:rPr>
          <w:rFonts w:ascii="Consolas" w:hAnsi="Consolas"/>
        </w:rPr>
        <w:t>DOLLAR_INDEX_TREND_THRESHOLD_PCT = 1.5</w:t>
      </w:r>
      <w:r>
        <w:t xml:space="preserve">) fließt über </w:t>
      </w:r>
      <w:r>
        <w:rPr>
          <w:rFonts w:ascii="Consolas" w:hAnsi="Consolas"/>
        </w:rPr>
        <w:t>compute_current_regime()</w:t>
      </w:r>
    </w:p>
    <w:p>
      <w:pPr/>
      <w:r>
        <w:t xml:space="preserve">(gemeinsame Funktion aller 6 Pipelines) automatisch in </w:t>
      </w:r>
      <w:r>
        <w:rPr>
          <w:rFonts w:ascii="Consolas" w:hAnsi="Consolas"/>
        </w:rPr>
        <w:t>build_facts()</w:t>
      </w:r>
      <w:r>
        <w:t>/</w:t>
      </w:r>
    </w:p>
    <w:p>
      <w:pPr/>
      <w:r>
        <w:rPr>
          <w:rFonts w:ascii="Consolas" w:hAnsi="Consolas"/>
        </w:rPr>
        <w:t>build_hebel_facts()</w:t>
      </w:r>
      <w:r>
        <w:t xml:space="preserve"> als </w:t>
      </w:r>
      <w:r>
        <w:rPr>
          <w:rFonts w:ascii="Consolas" w:hAnsi="Consolas"/>
        </w:rPr>
        <w:t>regime.dollar_index.wert</w:t>
      </w:r>
      <w:r>
        <w:t>/</w:t>
      </w:r>
      <w:r>
        <w:rPr>
          <w:rFonts w:ascii="Consolas" w:hAnsi="Consolas"/>
        </w:rPr>
        <w:t>.trend</w:t>
      </w:r>
      <w:r>
        <w:t>. In 5 der 6</w:t>
      </w:r>
    </w:p>
    <w:p>
      <w:pPr/>
      <w:r>
        <w:t>Analyst-Dateien als Ergänzung an die bestehende VIX-Regel angehängt (identisches</w:t>
      </w:r>
    </w:p>
    <w:p>
      <w:pPr/>
      <w:r>
        <w:t>Makro-Kontext-Muster, minimaler Zusatz-Tokenaufwand); Hebel hat kein</w:t>
      </w:r>
    </w:p>
    <w:p>
      <w:pPr/>
      <w:r>
        <w:t>VIX-Äquivalent, dort eigene kompakte Regel (Regel 24, vor dem abschließenden</w:t>
      </w:r>
    </w:p>
    <w:p>
      <w:pPr/>
      <w:r>
        <w:rPr>
          <w:rFonts w:ascii="Consolas" w:hAnsi="Consolas"/>
        </w:rPr>
        <w:t>eigene_einschaetzung</w:t>
      </w:r>
      <w:r>
        <w:t>-Rückblick). Verifiziert Klasse 1 (Import/Compile/</w:t>
      </w:r>
    </w:p>
    <w:p>
      <w:pPr/>
      <w:r>
        <w:t>Regelnummerierung über alle 6 Dateien) — reines, risikoarmes Fakten-Wiring nach</w:t>
      </w:r>
    </w:p>
    <w:p>
      <w:pPr/>
      <w:r>
        <w:t>demselben bereits produktiv laufenden VIX-Muster, keine neue Logik.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