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TradingInfoTool — Spezifikation (fachliche Grundlage)</w:t>
      </w:r>
    </w:p>
    <w:p>
      <w:pPr>
        <w:ind w:left="360"/>
      </w:pPr>
      <w:r>
        <w:rPr>
          <w:b/>
          <w:i/>
        </w:rPr>
        <w:t>Eigentümer:</w:t>
      </w:r>
      <w:r>
        <w:rPr>
          <w:i/>
        </w:rPr>
        <w:t xml:space="preserve"> Gernot Spiessmaier · </w:t>
      </w:r>
      <w:r>
        <w:rPr>
          <w:b/>
          <w:i/>
        </w:rPr>
        <w:t>Version:</w:t>
      </w:r>
      <w:r>
        <w:rPr>
          <w:i/>
        </w:rPr>
        <w:t xml:space="preserve"> 1.6 · </w:t>
      </w:r>
      <w:r>
        <w:rPr>
          <w:b/>
          <w:i/>
        </w:rPr>
        <w:t>Stand:</w:t>
      </w:r>
      <w:r>
        <w:rPr>
          <w:i/>
        </w:rPr>
        <w:t xml:space="preserve"> 2026-07-08</w:t>
      </w:r>
    </w:p>
    <w:p>
      <w:pPr>
        <w:jc w:val="left"/>
      </w:pPr>
      <w:r>
        <w:t>&gt;</w:t>
      </w:r>
    </w:p>
    <w:p>
      <w:pPr>
        <w:ind w:left="360"/>
      </w:pPr>
      <w:r>
        <w:rPr>
          <w:i/>
        </w:rPr>
        <w:t xml:space="preserve">Dieses Dokument beschreibt </w:t>
      </w:r>
      <w:r>
        <w:rPr>
          <w:b/>
          <w:i/>
        </w:rPr>
        <w:t>was</w:t>
      </w:r>
      <w:r>
        <w:rPr>
          <w:i/>
        </w:rPr>
        <w:t xml:space="preserve"> das Tool leisten soll und </w:t>
      </w:r>
      <w:r>
        <w:rPr>
          <w:b/>
          <w:i/>
        </w:rPr>
        <w:t>warum</w:t>
      </w:r>
      <w:r>
        <w:rPr>
          <w:i/>
        </w:rPr>
        <w:t xml:space="preserve"> (lesbarer Teil).</w:t>
      </w:r>
    </w:p>
    <w:p>
      <w:pPr>
        <w:ind w:left="360"/>
      </w:pPr>
      <w:r>
        <w:rPr>
          <w:i/>
        </w:rPr>
        <w:t xml:space="preserve">Die konkreten, vom Programm auslesbaren </w:t>
      </w:r>
      <w:r>
        <w:rPr>
          <w:b/>
          <w:i/>
        </w:rPr>
        <w:t>Parameter</w:t>
      </w:r>
      <w:r>
        <w:rPr>
          <w:i/>
        </w:rPr>
        <w:t xml:space="preserve"> (Watchlist, Risiko-Limits,</w:t>
      </w:r>
    </w:p>
    <w:p>
      <w:pPr>
        <w:ind w:left="360"/>
      </w:pPr>
      <w:r>
        <w:rPr>
          <w:i/>
        </w:rPr>
        <w:t>Strategien, Indikatoren, Datenquellen) liegen in [</w:t>
      </w:r>
      <w:r>
        <w:rPr>
          <w:rFonts w:ascii="Consolas" w:hAnsi="Consolas"/>
          <w:i/>
          <w:color w:val="882222"/>
          <w:sz w:val="18"/>
        </w:rPr>
        <w:t>config.yaml</w:t>
      </w:r>
      <w:r>
        <w:rPr>
          <w:i/>
        </w:rPr>
        <w:t>](config.yaml).</w:t>
      </w:r>
    </w:p>
    <w:p>
      <w:pPr>
        <w:ind w:left="360"/>
      </w:pPr>
      <w:r>
        <w:rPr>
          <w:i/>
        </w:rPr>
        <w:t xml:space="preserve">So gibt es für jeden Wert nur </w:t>
      </w:r>
      <w:r>
        <w:rPr>
          <w:b/>
          <w:i/>
        </w:rPr>
        <w:t>eine</w:t>
      </w:r>
      <w:r>
        <w:rPr>
          <w:i/>
        </w:rPr>
        <w:t xml:space="preserve"> Quelle der Wahrheit.</w:t>
      </w:r>
    </w:p>
    <w:p>
      <w:pPr>
        <w:jc w:val="left"/>
      </w:pPr>
      <w:r>
        <w:t>&gt;</w:t>
      </w:r>
    </w:p>
    <w:p>
      <w:pPr>
        <w:ind w:left="360"/>
      </w:pPr>
      <w:r>
        <w:rPr>
          <w:b/>
          <w:i/>
        </w:rPr>
        <w:t>Legende:</w:t>
      </w:r>
      <w:r>
        <w:rPr>
          <w:i/>
        </w:rPr>
        <w:t xml:space="preserve"> </w:t>
      </w:r>
      <w:r>
        <w:rPr>
          <w:rFonts w:ascii="Consolas" w:hAnsi="Consolas"/>
          <w:i/>
          <w:color w:val="882222"/>
          <w:sz w:val="18"/>
        </w:rPr>
        <w:t>[OFFEN]</w:t>
      </w:r>
      <w:r>
        <w:rPr>
          <w:i/>
        </w:rPr>
        <w:t xml:space="preserve"> = noch zu entscheiden (siehe Kapitel 16).</w:t>
      </w:r>
    </w:p>
    <w:p>
      <w:pPr>
        <w:ind w:left="360"/>
      </w:pPr>
      <w:r>
        <w:rPr>
          <w:i/>
        </w:rPr>
        <w:t xml:space="preserve">Technik/Projektstruktur stehen in </w:t>
      </w:r>
      <w:r>
        <w:rPr>
          <w:rFonts w:ascii="Consolas" w:hAnsi="Consolas"/>
          <w:i/>
          <w:color w:val="882222"/>
          <w:sz w:val="18"/>
        </w:rPr>
        <w:t>CLAUDE.md</w:t>
      </w:r>
      <w:r>
        <w:rPr>
          <w:i/>
        </w:rPr>
        <w:t xml:space="preserve"> im Projektroot.</w:t>
      </w:r>
    </w:p>
    <w:p>
      <w:pPr>
        <w:spacing w:before="120"/>
      </w:pPr>
      <w:r>
        <w:rPr>
          <w:color w:val="AAAAAA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Vision &amp; übergeordnetes Ziel</w:t>
      </w:r>
    </w:p>
    <w:p>
      <w:pPr>
        <w:jc w:val="left"/>
      </w:pPr>
      <w:r>
        <w:t xml:space="preserve">Trotz angespannter Finanzlage und künftiger Krisen mit dem TradingInfoTool einen hohen Gewinn erzielen und Verluste vermeiden — sinnvoll investieren. Da die investierten Summen nicht hoch sind, ist </w:t>
      </w:r>
      <w:r>
        <w:rPr>
          <w:b/>
        </w:rPr>
        <w:t>Risikomanagement übergeordnet</w:t>
      </w:r>
      <w:r>
        <w:t xml:space="preserve"> für die Zielerreichung. Es soll </w:t>
      </w:r>
      <w:r>
        <w:rPr>
          <w:b/>
        </w:rPr>
        <w:t>keine pauschale</w:t>
      </w:r>
      <w:r>
        <w:t xml:space="preserve"> Bewertung sein, sondern detailliert je </w:t>
      </w:r>
      <w:r>
        <w:rPr>
          <w:b/>
        </w:rPr>
        <w:t>Assetklasse und Einzelwert</w:t>
      </w:r>
      <w:r>
        <w:t xml:space="preserve"> angewendet werden.</w:t>
      </w:r>
    </w:p>
    <w:p>
      <w:pPr>
        <w:jc w:val="left"/>
      </w:pPr>
      <w:r>
        <w:t xml:space="preserve">Messbare Zielgrößen (Werte in </w:t>
      </w:r>
      <w:r>
        <w:rPr>
          <w:rFonts w:ascii="Consolas" w:hAnsi="Consolas"/>
          <w:color w:val="882222"/>
          <w:sz w:val="18"/>
        </w:rPr>
        <w:t>config.yaml → ziele</w:t>
      </w:r>
      <w:r>
        <w:t>):</w:t>
      </w:r>
    </w:p>
    <w:p>
      <w:pPr>
        <w:pStyle w:val="ListBullet"/>
      </w:pPr>
      <w:r>
        <w:rPr>
          <w:b/>
        </w:rPr>
        <w:t>Z-1</w:t>
      </w:r>
      <w:r>
        <w:t xml:space="preserve"> Kapitalerhalt hat immer Vorrang vor Gewinnmaximierung.</w:t>
      </w:r>
    </w:p>
    <w:p>
      <w:pPr>
        <w:pStyle w:val="ListBullet"/>
      </w:pPr>
      <w:r>
        <w:rPr>
          <w:b/>
        </w:rPr>
        <w:t>Z-2</w:t>
      </w:r>
      <w:r>
        <w:t xml:space="preserve"> Mindest-Chance-Risiko-Verhältnis (CRV) vor jedem Kaufsignal.</w:t>
      </w:r>
    </w:p>
    <w:p>
      <w:pPr>
        <w:pStyle w:val="ListBullet"/>
      </w:pPr>
      <w:r>
        <w:rPr>
          <w:b/>
        </w:rPr>
        <w:t>Z-3</w:t>
      </w:r>
      <w:r>
        <w:t xml:space="preserve"> Maximal akzeptierter Gesamt-Drawdown → bei Überschreitung Kapitalschutz-Modus.</w:t>
      </w:r>
    </w:p>
    <w:p>
      <w:pPr>
        <w:pStyle w:val="ListBullet"/>
      </w:pPr>
      <w:r>
        <w:rPr>
          <w:b/>
        </w:rPr>
        <w:t>Z-4</w:t>
      </w:r>
      <w:r>
        <w:t xml:space="preserve"> Jede Empfehlung ist nachvollziehbar (Begründung + Datenbasis + Konfidenz).</w:t>
      </w:r>
    </w:p>
    <w:p>
      <w:pPr>
        <w:pStyle w:val="Heading2"/>
      </w:pPr>
      <w:r>
        <w:t>2. Leitprinzipien des Agenten</w:t>
      </w:r>
    </w:p>
    <w:p>
      <w:pPr>
        <w:pStyle w:val="ListBullet"/>
      </w:pPr>
      <w:r>
        <w:t>Der Agent ist Trading-Experte und nutzt Fibonacci, Retracements, wichtige Indikatoren etc.</w:t>
      </w:r>
    </w:p>
    <w:p>
      <w:pPr>
        <w:pStyle w:val="ListBullet"/>
      </w:pPr>
      <w:r>
        <w:t xml:space="preserve">Jede Empfehlung kommt mit </w:t>
      </w:r>
      <w:r>
        <w:rPr>
          <w:b/>
        </w:rPr>
        <w:t>kurzer UND langer Begründung</w:t>
      </w:r>
      <w:r>
        <w:t>.</w:t>
      </w:r>
    </w:p>
    <w:p>
      <w:pPr>
        <w:pStyle w:val="ListBullet"/>
      </w:pPr>
      <w:r>
        <w:rPr>
          <w:b/>
        </w:rPr>
        <w:t>P-1</w:t>
      </w:r>
      <w:r>
        <w:t xml:space="preserve"> Risikomanagement zuerst: Signal erst gegen Risiko, dann gegen Chance prüfen.</w:t>
      </w:r>
    </w:p>
    <w:p>
      <w:pPr>
        <w:pStyle w:val="ListBullet"/>
      </w:pPr>
      <w:r>
        <w:rPr>
          <w:b/>
        </w:rPr>
        <w:t>P-2</w:t>
      </w:r>
      <w:r>
        <w:t xml:space="preserve"> Transparenz: genutzte Indikatoren/Quellen + Konfidenz (0–100 %) nennen.</w:t>
      </w:r>
    </w:p>
    <w:p>
      <w:pPr>
        <w:pStyle w:val="ListBullet"/>
      </w:pPr>
      <w:r>
        <w:rPr>
          <w:b/>
        </w:rPr>
        <w:t>P-3</w:t>
      </w:r>
      <w:r>
        <w:t xml:space="preserve"> Kein Overtrading: „Halten/Abwarten" ist eine gültige Empfehlung.</w:t>
      </w:r>
    </w:p>
    <w:p>
      <w:pPr>
        <w:pStyle w:val="ListBullet"/>
      </w:pPr>
      <w:r>
        <w:rPr>
          <w:b/>
        </w:rPr>
        <w:t>P-4</w:t>
      </w:r>
      <w:r>
        <w:t xml:space="preserve"> Konsistenz mit gewählter Strategie und Haltedauer-Logik.</w:t>
      </w:r>
    </w:p>
    <w:p>
      <w:pPr>
        <w:pStyle w:val="ListBullet"/>
      </w:pPr>
      <w:r>
        <w:rPr>
          <w:b/>
        </w:rPr>
        <w:t>P-5</w:t>
      </w:r>
      <w:r>
        <w:t xml:space="preserve"> Einheitliches Ausgabeformat je Empfehlung:</w:t>
      </w:r>
    </w:p>
    <w:p>
      <w:pPr>
        <w:pStyle w:val="ListBullet2"/>
      </w:pPr>
      <w:r>
        <w:t>Asset &amp; Aktion (KAUFEN / VERKAUFEN / TAUSCHEN / HALTEN / NACHKAUFEN)</w:t>
      </w:r>
    </w:p>
    <w:p>
      <w:pPr>
        <w:pStyle w:val="ListBullet2"/>
      </w:pPr>
      <w:r>
        <w:t>Kurzbegründung (1–2 Sätze) + Langbegründung (technisch + fundamental + Makro)</w:t>
      </w:r>
    </w:p>
    <w:p>
      <w:pPr>
        <w:pStyle w:val="ListBullet2"/>
      </w:pPr>
      <w:r>
        <w:t>Empfohlene Positionsgröße / Stückzahl</w:t>
      </w:r>
    </w:p>
    <w:p>
      <w:pPr>
        <w:pStyle w:val="ListBullet2"/>
      </w:pPr>
      <w:r>
        <w:t xml:space="preserve">Einstieg / Stop-Loss / Take-Profit — </w:t>
      </w:r>
      <w:r>
        <w:rPr>
          <w:b/>
        </w:rPr>
        <w:t>jeweils in USD und EUR</w:t>
      </w:r>
      <w:r>
        <w:t xml:space="preserve"> (siehe P-9)</w:t>
      </w:r>
    </w:p>
    <w:p>
      <w:pPr>
        <w:pStyle w:val="ListBullet2"/>
      </w:pPr>
      <w:r>
        <w:t>Empfohlene Haltedauer + Begründung</w:t>
      </w:r>
    </w:p>
    <w:p>
      <w:pPr>
        <w:pStyle w:val="ListBullet2"/>
      </w:pPr>
      <w:r>
        <w:t>Konfidenz in % und wichtigste Risiken/Gegenargumente</w:t>
      </w:r>
    </w:p>
    <w:p>
      <w:pPr>
        <w:pStyle w:val="ListBullet"/>
      </w:pPr>
      <w:r>
        <w:rPr>
          <w:b/>
        </w:rPr>
        <w:t>P-6</w:t>
      </w:r>
      <w:r>
        <w:t xml:space="preserve"> Steuerliche Einordnung (Österreich): Ein Tausch Krypto-zu-Krypto (auch in Stablecoins) ist nach aktueller Rechtslage bis zur Auszahlung in Fiat steuerlich neutral — es fallen nur Transaktionskosten an, keine Steuer. Erst die Auszahlung („Realisierung" in Fiat bzw. Nutzung für Waren/Dienstleistungen) ist steuerrelevant. Deshalb unterscheidet das Ausgabeformat TAUSCHEN von VERKAUFEN, und der Agent soll bei gleichwertigen Alternativen den steuerlich günstigeren Weg vorschlagen (siehe R-5.9). </w:t>
      </w:r>
      <w:r>
        <w:rPr>
          <w:rFonts w:ascii="Consolas" w:hAnsi="Consolas"/>
          <w:color w:val="882222"/>
          <w:sz w:val="18"/>
        </w:rPr>
        <w:t>[OFFEN]</w:t>
      </w:r>
      <w:r>
        <w:t xml:space="preserve"> mit Steuerberater gegenprüfen (Details wie Spekulationsfrist bei Altvermögen, Besteuerung von Staking-Erträgen als laufende Einkünfte).</w:t>
      </w:r>
    </w:p>
    <w:p>
      <w:pPr>
        <w:pStyle w:val="ListBullet"/>
      </w:pPr>
      <w:r>
        <w:rPr>
          <w:b/>
        </w:rPr>
        <w:t>P-7</w:t>
      </w:r>
      <w:r>
        <w:t xml:space="preserve"> Advisory-only — </w:t>
      </w:r>
      <w:r>
        <w:rPr>
          <w:b/>
        </w:rPr>
        <w:t>keine autonome Orderausführung.</w:t>
      </w:r>
      <w:r>
        <w:t xml:space="preserve"> Der Agent analysiert, bewertet, pflegt Watchlist/DB und erzeugt </w:t>
      </w:r>
      <w:r>
        <w:rPr>
          <w:b/>
        </w:rPr>
        <w:t>Empfehlungen</w:t>
      </w:r>
      <w:r>
        <w:t xml:space="preserve"> samt Benachrichtigungen. Er platziert </w:t>
      </w:r>
      <w:r>
        <w:rPr>
          <w:b/>
        </w:rPr>
        <w:t>niemals</w:t>
      </w:r>
      <w:r>
        <w:t xml:space="preserve"> Orders, führt keine Trades aus und bewegt kein Kapital; die Ausführung erfolgt stets manuell durch den Nutzer. Alle Aktionen in P-5 (KAUFEN, VERKAUFEN, …) sind Vorschläge. </w:t>
      </w:r>
      <w:r>
        <w:rPr>
          <w:b/>
        </w:rPr>
        <w:t>Konsequenz:</w:t>
      </w:r>
      <w:r>
        <w:t xml:space="preserve"> Schutzmechanismen (Stop-Loss RM-5, Drawdown-Notbremse Z-3/RM-7) wirken als </w:t>
      </w:r>
      <w:r>
        <w:rPr>
          <w:b/>
        </w:rPr>
        <w:t>dringende Alerts</w:t>
      </w:r>
      <w:r>
        <w:t xml:space="preserve">, nicht als automatische Ausführung — der Agent eskaliert (z. B. hochpriore E-Mail + auffällige UI-Warnung), die Auslösung liegt beim Nutzer. Nebeneffekt: Das System benötigt </w:t>
      </w:r>
      <w:r>
        <w:rPr>
          <w:b/>
        </w:rPr>
        <w:t>keinen Börsen-API-Schlüssel mit Handelsrecht</w:t>
      </w:r>
      <w:r>
        <w:t xml:space="preserve"> (Preise via CoinGecko, Bestände via Import/GUI). Deckt sich mit Kap. 12.</w:t>
      </w:r>
    </w:p>
    <w:p>
      <w:pPr>
        <w:pStyle w:val="ListBullet"/>
      </w:pPr>
      <w:r>
        <w:rPr>
          <w:b/>
        </w:rPr>
        <w:t>P-8</w:t>
      </w:r>
      <w:r>
        <w:t xml:space="preserve"> Lokale Autonomie — der Agent muss perspektivisch </w:t>
      </w:r>
      <w:r>
        <w:rPr>
          <w:b/>
        </w:rPr>
        <w:t>vollständig eigenständig mit lokaler Intelligenz</w:t>
      </w:r>
      <w:r>
        <w:t xml:space="preserve"> funktionieren können (Hybrid-Architektur aus Decision-Trees, Fuzzy Logic und lokalem ML, siehe </w:t>
      </w:r>
      <w:r>
        <w:rPr>
          <w:rFonts w:ascii="Consolas" w:hAnsi="Consolas"/>
          <w:color w:val="882222"/>
          <w:sz w:val="18"/>
        </w:rPr>
        <w:t>Agent_Architecture_Analysis_2026-07-02.html</w:t>
      </w:r>
      <w:r>
        <w:t xml:space="preserve">). Die Claude API ist eine </w:t>
      </w:r>
      <w:r>
        <w:rPr>
          <w:b/>
        </w:rPr>
        <w:t>optionale Erweiterung</w:t>
      </w:r>
      <w:r>
        <w:t xml:space="preserve"> (Meta-Analyse, strategische Overrides, Nutzer-Dialog) — </w:t>
      </w:r>
      <w:r>
        <w:rPr>
          <w:b/>
        </w:rPr>
        <w:t>keine Voraussetzung</w:t>
      </w:r>
      <w:r>
        <w:t xml:space="preserve"> für den Betrieb. Konsequenz: Kernfunktionen (Datenabruf, Persistenz, Basis-UI) dürfen zu keinem Zeitpunkt zwingend von einem Claude-API-Schlüssel abhängen; die Anbindung wird erst dann verdrahtet, wenn eine Phase sie tatsächlich aktiv nutzt. </w:t>
      </w:r>
      <w:r>
        <w:rPr>
          <w:b/>
        </w:rPr>
        <w:t>Klarstellung (2026-07-06):</w:t>
      </w:r>
      <w:r>
        <w:t xml:space="preserve"> Betrifft ausschließlich den Claude/Anthropic-Key. </w:t>
      </w:r>
      <w:r>
        <w:rPr>
          <w:rFonts w:ascii="Consolas" w:hAnsi="Consolas"/>
          <w:color w:val="882222"/>
          <w:sz w:val="18"/>
        </w:rPr>
        <w:t>.env</w:t>
      </w:r>
      <w:r>
        <w:t xml:space="preserve">-Loading wurde in Phase 2 eingeführt, aber nur für einen optionalen </w:t>
      </w:r>
      <w:r>
        <w:rPr>
          <w:rFonts w:ascii="Consolas" w:hAnsi="Consolas"/>
          <w:color w:val="882222"/>
          <w:sz w:val="18"/>
        </w:rPr>
        <w:t>COINGECKO_API_KEY</w:t>
      </w:r>
      <w:r>
        <w:t xml:space="preserve"> (siehe Kap. 8) — CoinGecko bleibt reine Marktdaten-Anbindung, hat nichts mit der KI-Autonomie-Frage zu tun. </w:t>
      </w:r>
      <w:r>
        <w:rPr>
          <w:rFonts w:ascii="Consolas" w:hAnsi="Consolas"/>
          <w:color w:val="882222"/>
          <w:sz w:val="18"/>
        </w:rPr>
        <w:t>ANTHROPIC_API_KEY</w:t>
      </w:r>
      <w:r>
        <w:t>/</w:t>
      </w:r>
      <w:r>
        <w:rPr>
          <w:rFonts w:ascii="Consolas" w:hAnsi="Consolas"/>
          <w:color w:val="882222"/>
          <w:sz w:val="18"/>
        </w:rPr>
        <w:t>GITHUB_TOKEN</w:t>
      </w:r>
      <w:r>
        <w:t xml:space="preserve"> bleiben weiterhin ungenutzt bis zur jeweils benötigten Phase. </w:t>
      </w:r>
      <w:r>
        <w:rPr>
          <w:b/>
        </w:rPr>
        <w:t>KI-Ebene entschieden (2026-07-07):</w:t>
      </w:r>
      <w:r>
        <w:t xml:space="preserve"> Nach Detail-Recherche (Kosten, Nachhaltigkeit, Nutzungsbedingungen) fällt die Wahl auf </w:t>
      </w:r>
      <w:r>
        <w:rPr>
          <w:b/>
        </w:rPr>
        <w:t>Groq</w:t>
      </w:r>
      <w:r>
        <w:t xml:space="preserve"> (Llama 3.3 70B, remote, </w:t>
      </w:r>
      <w:r>
        <w:rPr>
          <w:rFonts w:ascii="Consolas" w:hAnsi="Consolas"/>
          <w:color w:val="882222"/>
          <w:sz w:val="18"/>
        </w:rPr>
        <w:t>GROQ_API_KEY</w:t>
      </w:r>
      <w:r>
        <w:t xml:space="preserve">) als primäre Analyse-Ebene für Phase 3 — dauerhaft kostenlos (kein Kreditkarten-Zwang, kein zeitlich begrenztes Guthaben), finanziell solide unterlegt (&gt;1,4 Mrd. $ Kapital), Nutzungsbedingungen erlauben automatisierte Nutzung innerhalb der Rate-Limits. Damit ist P-8 sowohl erfüllt (lokal via Phi-4-mini weiterhin voll funktionsfähig als Offline-Fallback) als auch übertroffen (deutlich stärkeres Modell als lokal möglich, ohne Kostenschranke). Grundsatz dahinter: kostenlose Optionen zuerst voll ausschöpfen (lokal UND remote parallel), kostenpflichtige Quellen (z. B. Claude API) erst wenn eine konkrete Aufgabe die Qualität von Groq/lokalem Modell nachweislich übersteigt. </w:t>
      </w:r>
      <w:r>
        <w:rPr>
          <w:b/>
        </w:rPr>
        <w:t>Ehrlichkeits-Korrektur (2026-07-10):</w:t>
      </w:r>
      <w:r>
        <w:t xml:space="preserve"> die obige Aussage "lokal via Phi-4-mini voll funktionsfähig" war zum Zeitpunkt 2026-07-07 eine Absicht, keine Tatsache — es existierte nie tatsächlicher Code dafür (nur ein Kommentar-Verweis in </w:t>
      </w:r>
      <w:r>
        <w:rPr>
          <w:rFonts w:ascii="Consolas" w:hAnsi="Consolas"/>
          <w:color w:val="882222"/>
          <w:sz w:val="18"/>
        </w:rPr>
        <w:t>api/groq.py</w:t>
      </w:r>
      <w:r>
        <w:t xml:space="preserve">), </w:t>
      </w:r>
      <w:r>
        <w:rPr>
          <w:rFonts w:ascii="Consolas" w:hAnsi="Consolas"/>
          <w:color w:val="882222"/>
          <w:sz w:val="18"/>
        </w:rPr>
        <w:t>requirements.txt</w:t>
      </w:r>
      <w:r>
        <w:t xml:space="preserve"> enthält bis heute keine lokale-ML-Bibliothek. </w:t>
      </w:r>
      <w:r>
        <w:rPr>
          <w:b/>
        </w:rPr>
        <w:t>Architektur-Seam jetzt nachgeholt</w:t>
      </w:r>
      <w:r>
        <w:t xml:space="preserve"> (2026-07-10, siehe </w:t>
      </w:r>
      <w:r>
        <w:rPr>
          <w:rFonts w:ascii="Consolas" w:hAnsi="Consolas"/>
          <w:color w:val="882222"/>
          <w:sz w:val="18"/>
        </w:rPr>
        <w:t>api/local_model.py</w:t>
      </w:r>
      <w:r>
        <w:t xml:space="preserve">): </w:t>
      </w:r>
      <w:r>
        <w:rPr>
          <w:rFonts w:ascii="Consolas" w:hAnsi="Consolas"/>
          <w:color w:val="882222"/>
          <w:sz w:val="18"/>
        </w:rPr>
        <w:t>agent/krypto/analyst.py::call_groq_for_signal()</w:t>
      </w:r>
      <w:r>
        <w:t xml:space="preserve"> ruft bereits ausschließlich </w:t>
      </w:r>
      <w:r>
        <w:rPr>
          <w:rFonts w:ascii="Consolas" w:hAnsi="Consolas"/>
          <w:color w:val="882222"/>
          <w:sz w:val="18"/>
        </w:rPr>
        <w:t>.chat(messages, model, temperature, response_format)</w:t>
      </w:r>
      <w:r>
        <w:t xml:space="preserve"> auf einem beliebigen Client auf — war also schon vorher provider-agnostisch, ohne dass das dokumentiert war. Neuer Konfig-Schalter </w:t>
      </w:r>
      <w:r>
        <w:rPr>
          <w:rFonts w:ascii="Consolas" w:hAnsi="Consolas"/>
          <w:color w:val="882222"/>
          <w:sz w:val="18"/>
        </w:rPr>
        <w:t>config.yaml agent.ai_provider</w:t>
      </w:r>
      <w:r>
        <w:t xml:space="preserve"> (</w:t>
      </w:r>
      <w:r>
        <w:rPr>
          <w:rFonts w:ascii="Consolas" w:hAnsi="Consolas"/>
          <w:color w:val="882222"/>
          <w:sz w:val="18"/>
        </w:rPr>
        <w:t>groq</w:t>
      </w:r>
      <w:r>
        <w:t xml:space="preserve"> | </w:t>
      </w:r>
      <w:r>
        <w:rPr>
          <w:rFonts w:ascii="Consolas" w:hAnsi="Consolas"/>
          <w:color w:val="882222"/>
          <w:sz w:val="18"/>
        </w:rPr>
        <w:t>lokal</w:t>
      </w:r>
      <w:r>
        <w:t xml:space="preserve">), </w:t>
      </w:r>
      <w:r>
        <w:rPr>
          <w:rFonts w:ascii="Consolas" w:hAnsi="Consolas"/>
          <w:color w:val="882222"/>
          <w:sz w:val="18"/>
        </w:rPr>
        <w:t>main.py</w:t>
      </w:r>
      <w:r>
        <w:t xml:space="preserve"> wählt entsprechend zwischen </w:t>
      </w:r>
      <w:r>
        <w:rPr>
          <w:rFonts w:ascii="Consolas" w:hAnsi="Consolas"/>
          <w:color w:val="882222"/>
          <w:sz w:val="18"/>
        </w:rPr>
        <w:t>GroqClient</w:t>
      </w:r>
      <w:r>
        <w:t xml:space="preserve"> und dem neuen </w:t>
      </w:r>
      <w:r>
        <w:rPr>
          <w:rFonts w:ascii="Consolas" w:hAnsi="Consolas"/>
          <w:color w:val="882222"/>
          <w:sz w:val="18"/>
        </w:rPr>
        <w:t>LocalModelClient</w:t>
      </w:r>
      <w:r>
        <w:t xml:space="preserve">-Platzhalter. Modell-/Runtime-Entscheidung getroffen: </w:t>
      </w:r>
      <w:r>
        <w:rPr>
          <w:b/>
        </w:rPr>
        <w:t>llama-cpp-python + Phi-4-mini-GGUF + GBNF-Grammar-Constraint</w:t>
      </w:r>
      <w:r>
        <w:t xml:space="preserve"> (nicht ONNX Runtime GenAI/Microsofts eigener Pfad) — Begründung: unser SYSTEM_PROMPT-Schema ist streng validiert (exakt 5 </w:t>
      </w:r>
      <w:r>
        <w:rPr>
          <w:rFonts w:ascii="Consolas" w:hAnsi="Consolas"/>
          <w:color w:val="882222"/>
          <w:sz w:val="18"/>
        </w:rPr>
        <w:t>top_gruende</w:t>
      </w:r>
      <w:r>
        <w:t xml:space="preserve">, Enum-Werte, </w:t>
      </w:r>
      <w:r>
        <w:rPr>
          <w:rFonts w:ascii="Consolas" w:hAnsi="Consolas"/>
          <w:color w:val="882222"/>
          <w:sz w:val="18"/>
        </w:rPr>
        <w:t>von&lt;=bis</w:t>
      </w:r>
      <w:r>
        <w:t xml:space="preserve">-Zonen, bedingte Pflichtfelder), GBNF erzwingt gültiges JSON strukturell auf Token-Ebene, während natives Tool-Calling nur trainiertes Verhalten ohne harte Garantie ist. </w:t>
      </w:r>
      <w:r>
        <w:rPr>
          <w:b/>
        </w:rPr>
        <w:t>Bewusst NICHT installiert/umgesetzt</w:t>
      </w:r>
      <w:r>
        <w:t xml:space="preserve"> (Stufe 2, erst nach Hardware-Upgrade des 24/7-Notebooks, aktuell 8 GB RAM) — ein int4-quantisiertes 3-4B-Modell bräuchte schätzungsweise 2,5-3,5 GB RAM allein für die Gewichte, das würde den aktuell komfortablen Speicherpuffer spürbar einengen, und ein JSON-Zuverlässigkeitstest auf beengter Hardware wäre ohnehin nicht aussagekräftig. </w:t>
      </w:r>
      <w:r>
        <w:rPr>
          <w:rFonts w:ascii="Consolas" w:hAnsi="Consolas"/>
          <w:color w:val="882222"/>
          <w:sz w:val="18"/>
        </w:rPr>
        <w:t>LocalModelClient.chat()</w:t>
      </w:r>
      <w:r>
        <w:t xml:space="preserve"> wirft bis dahin bewusst </w:t>
      </w:r>
      <w:r>
        <w:rPr>
          <w:rFonts w:ascii="Consolas" w:hAnsi="Consolas"/>
          <w:color w:val="882222"/>
          <w:sz w:val="18"/>
        </w:rPr>
        <w:t>NotImplementedError</w:t>
      </w:r>
      <w:r>
        <w:t xml:space="preserve"> (P-10: kein stilles Scheitern).</w:t>
      </w:r>
    </w:p>
    <w:p>
      <w:pPr>
        <w:pStyle w:val="ListBullet"/>
      </w:pPr>
      <w:r>
        <w:rPr>
          <w:b/>
        </w:rPr>
        <w:t>P-10</w:t>
      </w:r>
      <w:r>
        <w:t xml:space="preserve"> Fail-Loud statt Fail-Silent bei Datenproblemen — Ausfälle, fehlende oder veraltete Daten (z. B. CoinGecko nicht erreichbar, Preis-Cache veraltet, zu wenig Historie für einen Indikator) dürfen </w:t>
      </w:r>
      <w:r>
        <w:rPr>
          <w:b/>
        </w:rPr>
        <w:t>niemals</w:t>
      </w:r>
      <w:r>
        <w:t xml:space="preserve"> zu stillschweigend falschen oder unvollständigen Analysen/Signalen führen. Gilt </w:t>
      </w:r>
      <w:r>
        <w:rPr>
          <w:b/>
        </w:rPr>
        <w:t>einheitlich für alle Bereiche</w:t>
      </w:r>
      <w:r>
        <w:t>: Datenabruf, Persistenz, UI-Anzeige und (ab Phase 3) die Agent-Pipeline. Konkret:</w:t>
      </w:r>
    </w:p>
    <w:p>
      <w:pPr>
        <w:pStyle w:val="ListBullet2"/>
      </w:pPr>
      <w:r>
        <w:t xml:space="preserve">Jeder Wert, der auf veralteten/fehlenden Daten beruht, wird </w:t>
      </w:r>
      <w:r>
        <w:rPr>
          <w:b/>
        </w:rPr>
        <w:t>sichtbar als solcher gekennzeichnet</w:t>
      </w:r>
      <w:r>
        <w:t xml:space="preserve"> (nicht einfach der letzte bekannte Wert kommentarlos angezeigt).</w:t>
      </w:r>
    </w:p>
    <w:p>
      <w:pPr>
        <w:pStyle w:val="ListBullet2"/>
      </w:pPr>
      <w:r>
        <w:t xml:space="preserve">Reicht die Datenlage für eine Berechnung nicht aus (z. B. zu wenig Historie für EMA-200), wird </w:t>
      </w:r>
      <w:r>
        <w:rPr>
          <w:b/>
        </w:rPr>
        <w:t>„nicht verfügbar"</w:t>
      </w:r>
      <w:r>
        <w:t xml:space="preserve"> angezeigt statt eines aus unzureichenden Daten berechneten (potenziell irreführenden) Werts.</w:t>
      </w:r>
    </w:p>
    <w:p>
      <w:pPr>
        <w:pStyle w:val="ListBullet2"/>
      </w:pPr>
      <w:r>
        <w:t xml:space="preserve">Ab Phase 3: ein </w:t>
      </w:r>
      <w:r>
        <w:rPr>
          <w:b/>
        </w:rPr>
        <w:t>Datenqualitäts-Gate</w:t>
      </w:r>
      <w:r>
        <w:t xml:space="preserve"> läuft in der Pipeline (Kap. 5) </w:t>
      </w:r>
      <w:r>
        <w:rPr>
          <w:b/>
        </w:rPr>
        <w:t>vor</w:t>
      </w:r>
      <w:r>
        <w:t xml:space="preserve"> R-5.1 — bei unzureichender Datenlage für ein Asset wird kein Signal erzeugt, sondern „HALTEN — Datenlage unsicher" mit Begründung ausgegeben (siehe R-5.0). Ergänzt die bestehende Risiko-VETO-Stufe (R-5.5), ersetzt sie nicht.</w:t>
      </w:r>
    </w:p>
    <w:p>
      <w:pPr>
        <w:pStyle w:val="ListBullet2"/>
      </w:pPr>
      <w:r>
        <w:t>Jeder Ausfall/jede Degradation wird geloggt (Nachvollziehbarkeit, Z-4).</w:t>
      </w:r>
    </w:p>
    <w:p>
      <w:pPr>
        <w:pStyle w:val="ListBullet2"/>
      </w:pPr>
      <w:r>
        <w:t xml:space="preserve">Exakte Schwellenwerte (ab wann „veraltet"/„zu wenig Historie") sind </w:t>
      </w:r>
      <w:r>
        <w:rPr>
          <w:rFonts w:ascii="Consolas" w:hAnsi="Consolas"/>
          <w:color w:val="882222"/>
          <w:sz w:val="18"/>
        </w:rPr>
        <w:t>[OFFEN]</w:t>
      </w:r>
      <w:r>
        <w:t xml:space="preserve"> (Kap. 16) und pro Datenart/Indikator festzulegen.</w:t>
      </w:r>
    </w:p>
    <w:p>
      <w:pPr>
        <w:pStyle w:val="ListBullet"/>
      </w:pPr>
      <w:r>
        <w:rPr>
          <w:b/>
        </w:rPr>
        <w:t>P-9</w:t>
      </w:r>
      <w:r>
        <w:t xml:space="preserve"> Referenzwährung Euro + durchgängige USD/EUR-Doppelanzeige — der Nutzer hält Bestände und denkt in </w:t>
      </w:r>
      <w:r>
        <w:rPr>
          <w:b/>
        </w:rPr>
        <w:t>Euro</w:t>
      </w:r>
      <w:r>
        <w:t xml:space="preserve">. Alle aktuellen bzw. veränderlichen Geldwertangaben (Live-Preise, Portfolio-Wert, P&amp;L) werden </w:t>
      </w:r>
      <w:r>
        <w:rPr>
          <w:b/>
        </w:rPr>
        <w:t>immer gemeinsam in USD und EUR</w:t>
      </w:r>
      <w:r>
        <w:t xml:space="preserve"> dargestellt, nicht nur in einer Währung. Gilt ausdrücklich auch für Empfehlungen/Signale (siehe P-5: Einstieg/Stop-Loss/Take-Profit/Positionsgröße in beiden Währungen). CoinGecko liefert beide Währungen direkt mit (kein zusätzlicher Umrechnungsschritt/Wechselkurs-Risiko nötig).</w:t>
      </w:r>
    </w:p>
    <w:p>
      <w:pPr>
        <w:pStyle w:val="Heading2"/>
      </w:pPr>
      <w:r>
        <w:t>3. Risikomanagement (Kernmodul — höchste Priorität)</w:t>
      </w:r>
    </w:p>
    <w:p>
      <w:pPr>
        <w:jc w:val="left"/>
      </w:pPr>
      <w:r>
        <w:t xml:space="preserve">Werte in </w:t>
      </w:r>
      <w:r>
        <w:rPr>
          <w:rFonts w:ascii="Consolas" w:hAnsi="Consolas"/>
          <w:color w:val="882222"/>
          <w:sz w:val="18"/>
        </w:rPr>
        <w:t>config.yaml → risiko</w:t>
      </w:r>
      <w:r>
        <w:t>. In der UI pro Nutzer einstellbar.</w:t>
      </w:r>
    </w:p>
    <w:p>
      <w:pPr>
        <w:jc w:val="left"/>
      </w:pPr>
      <w:r>
        <w:rPr>
          <w:b/>
        </w:rPr>
        <w:t>Money-Management:</w:t>
      </w:r>
      <w:r>
        <w:t xml:space="preserve"> Risiko pro Trade (RM-1), max. Allokation pro Einzelwert (RM-2) und pro Assetklasse (RM-3, detailliert statt pauschal), Cash-Reserve (RM-4).</w:t>
      </w:r>
    </w:p>
    <w:p>
      <w:pPr>
        <w:jc w:val="left"/>
      </w:pPr>
      <w:r>
        <w:rPr>
          <w:b/>
        </w:rPr>
        <w:t>Verlustbegrenzung:</w:t>
      </w:r>
      <w:r>
        <w:t xml:space="preserve"> Pflicht-Stop-Loss (RM-5), Trailing-Stop (RM-6), Portfolio-Notbremse bei Drawdown-Limit Z-3 (RM-7).</w:t>
      </w:r>
    </w:p>
    <w:p>
      <w:pPr>
        <w:jc w:val="left"/>
      </w:pPr>
      <w:r>
        <w:rPr>
          <w:b/>
        </w:rPr>
        <w:t>Asset-spezifische Bewertung:</w:t>
      </w:r>
      <w:r>
        <w:t xml:space="preserve"> Risiko-Score je Asset aus Volatilität, Liquidität/ Marktkapitalisierung, Korrelation zu BTC, Projektreife (RM-8). Höheres Risiko → kleinere erlaubte Position (RM-9).</w:t>
      </w:r>
    </w:p>
    <w:p>
      <w:pPr>
        <w:jc w:val="left"/>
      </w:pPr>
      <w:r>
        <w:rPr>
          <w:b/>
        </w:rPr>
        <w:t>Hebel:</w:t>
      </w:r>
      <w:r>
        <w:t xml:space="preserve"> Long UND Short sind Teil der Agent-Logik (P-7, rein beratend) — RM-10 war urspruenglich als "nur Long, kein Short" formuliert, das war aber ein reiner Bitpanda-Ausfuehrungs-Fakt (Bitpanda unterstuetzt aktuell kein Short), keine unabhaengige Risiko-Entscheidung gegen Short an sich (Nutzer-Klarstellung 2026-07-14). Short-Empfehlungen bleiben also moeglich, nur ohne aktuellen Ausfuehrungsweg fuer den Nutzer. Hebelhoehe gedeckelt (RM-1-Risiko-% eigens fuer Hebel auf 1% statt der Spot-2%, siehe unten) und an Volatilitaet/Stop-Loss-Abstand gekoppelt (max_sicherer_hebel = (1 - Sicherheitsmarge) / Stop-Loss-Abstand%); Liquidationspreis stets als Schaetzung ausweisen (Bitpanda veroeffentlicht keine exakte Formel), Sicherheitsabstand zum Stop-Loss (RM-11) - volle Formel-Herleitung und Kalibrierung gegen echte Margin-Trade-Historie siehe </w:t>
      </w:r>
      <w:r>
        <w:rPr>
          <w:rFonts w:ascii="Consolas" w:hAnsi="Consolas"/>
          <w:color w:val="882222"/>
          <w:sz w:val="18"/>
        </w:rPr>
        <w:t>docs/hebel_positionsformel.md</w:t>
      </w:r>
      <w:r>
        <w:t>.</w:t>
      </w:r>
    </w:p>
    <w:p>
      <w:pPr>
        <w:pStyle w:val="Heading2"/>
      </w:pPr>
      <w:r>
        <w:t>4. Assets &amp; Diversifikation</w:t>
      </w:r>
    </w:p>
    <w:p>
      <w:pPr>
        <w:jc w:val="left"/>
      </w:pPr>
      <w:r>
        <w:t xml:space="preserve">Watchlist in </w:t>
      </w:r>
      <w:r>
        <w:rPr>
          <w:rFonts w:ascii="Consolas" w:hAnsi="Consolas"/>
          <w:color w:val="882222"/>
          <w:sz w:val="18"/>
        </w:rPr>
        <w:t>config.yaml → watchlist</w:t>
      </w:r>
      <w:r>
        <w:t xml:space="preserve">. Quelle: </w:t>
      </w:r>
      <w:r>
        <w:rPr>
          <w:rFonts w:ascii="Consolas" w:hAnsi="Consolas"/>
          <w:color w:val="882222"/>
          <w:sz w:val="18"/>
        </w:rPr>
        <w:t>Basisinfos/Assets.xlsx</w:t>
      </w:r>
      <w:r>
        <w:t xml:space="preserve"> (Erstimport Stand 2026-07-01, 41 Assets — eigene Bestände und reine Beobachtungswerte).</w:t>
      </w:r>
    </w:p>
    <w:p>
      <w:pPr>
        <w:pStyle w:val="ListBullet"/>
      </w:pPr>
      <w:r>
        <w:rPr>
          <w:b/>
        </w:rPr>
        <w:t>A-1</w:t>
      </w:r>
      <w:r>
        <w:t xml:space="preserve"> Jedes Asset hat einen Typ: </w:t>
      </w:r>
      <w:r>
        <w:rPr>
          <w:rFonts w:ascii="Consolas" w:hAnsi="Consolas"/>
          <w:color w:val="882222"/>
          <w:sz w:val="18"/>
        </w:rPr>
        <w:t>core</w:t>
      </w:r>
      <w:r>
        <w:t xml:space="preserve"> (langfristig), </w:t>
      </w:r>
      <w:r>
        <w:rPr>
          <w:rFonts w:ascii="Consolas" w:hAnsi="Consolas"/>
          <w:color w:val="882222"/>
          <w:sz w:val="18"/>
        </w:rPr>
        <w:t>taktisch</w:t>
      </w:r>
      <w:r>
        <w:t xml:space="preserve"> (kürzer) oder </w:t>
      </w:r>
      <w:r>
        <w:rPr>
          <w:rFonts w:ascii="Consolas" w:hAnsi="Consolas"/>
          <w:color w:val="882222"/>
          <w:sz w:val="18"/>
        </w:rPr>
        <w:t>stablecoin</w:t>
      </w:r>
      <w:r>
        <w:t xml:space="preserve"> (Cash-/Swap-Reserve, siehe A-4, kein eigenständiges Handelssignal).</w:t>
      </w:r>
    </w:p>
    <w:p>
      <w:pPr>
        <w:pStyle w:val="ListBullet"/>
      </w:pPr>
      <w:r>
        <w:rPr>
          <w:b/>
        </w:rPr>
        <w:t>A-2</w:t>
      </w:r>
      <w:r>
        <w:t xml:space="preserve"> Klumpenrisiko vermeiden: Viele Altcoins korrelieren stark mit BTC — das ist </w:t>
      </w:r>
      <w:r>
        <w:rPr>
          <w:b/>
        </w:rPr>
        <w:t>keine</w:t>
      </w:r>
      <w:r>
        <w:t xml:space="preserve"> echte Diversifikation und fließt in den Risiko-Score ein.</w:t>
      </w:r>
    </w:p>
    <w:p>
      <w:pPr>
        <w:pStyle w:val="ListBullet"/>
      </w:pPr>
      <w:r>
        <w:rPr>
          <w:b/>
        </w:rPr>
        <w:t>A-3</w:t>
      </w:r>
      <w:r>
        <w:t xml:space="preserve"> Watchlist ist in der UI pflegbar; Datenanbindung automatisch, falls verfügbar.</w:t>
      </w:r>
    </w:p>
    <w:p>
      <w:pPr>
        <w:pStyle w:val="ListBullet"/>
      </w:pPr>
      <w:r>
        <w:rPr>
          <w:b/>
        </w:rPr>
        <w:t>A-4</w:t>
      </w:r>
      <w:r>
        <w:t xml:space="preserve"> Jedes Asset hat einen Status: </w:t>
      </w:r>
      <w:r>
        <w:rPr>
          <w:rFonts w:ascii="Consolas" w:hAnsi="Consolas"/>
          <w:color w:val="882222"/>
          <w:sz w:val="18"/>
        </w:rPr>
        <w:t>aktiv</w:t>
      </w:r>
      <w:r>
        <w:t xml:space="preserve"> (Bestand vorhanden) oder </w:t>
      </w:r>
      <w:r>
        <w:rPr>
          <w:rFonts w:ascii="Consolas" w:hAnsi="Consolas"/>
          <w:color w:val="882222"/>
          <w:sz w:val="18"/>
        </w:rPr>
        <w:t>watchlist</w:t>
      </w:r>
      <w:r>
        <w:t xml:space="preserve"> (reine Beobachtung, potenzielle künftige Position, noch kein Kauf). Die konkrete Bestandsmenge wird nicht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 gepflegt, sondern in der Datenbank (siehe Kap. 10, B-5).</w:t>
      </w:r>
    </w:p>
    <w:p>
      <w:pPr>
        <w:pStyle w:val="ListBullet"/>
      </w:pPr>
      <w:r>
        <w:rPr>
          <w:b/>
        </w:rPr>
        <w:t>A-5</w:t>
      </w:r>
      <w:r>
        <w:t xml:space="preserve"> Stablecoins (aktuell EURCV) zählen zur Cash-Reserve (RM-4) und dienen dem Agenten als Ziel-/Zwischenstation für steuerneutrale Swaps (siehe P-6, R-5.9) sowie als Kapitalschutz-Parkplatz (S-5).</w:t>
      </w:r>
    </w:p>
    <w:p>
      <w:pPr>
        <w:pStyle w:val="Heading2"/>
      </w:pPr>
      <w:r>
        <w:t>5. Agent-Logik &amp; Entscheidungsgrundlagen</w:t>
      </w:r>
    </w:p>
    <w:p>
      <w:pPr>
        <w:jc w:val="left"/>
      </w:pPr>
      <w:r>
        <w:t xml:space="preserve">Zeithorizonte und Gewichtung in </w:t>
      </w:r>
      <w:r>
        <w:rPr>
          <w:rFonts w:ascii="Consolas" w:hAnsi="Consolas"/>
          <w:color w:val="882222"/>
          <w:sz w:val="18"/>
        </w:rPr>
        <w:t>config.yaml → agent</w:t>
      </w:r>
      <w:r>
        <w:t>.</w:t>
      </w:r>
    </w:p>
    <w:p>
      <w:pPr>
        <w:jc w:val="left"/>
      </w:pPr>
      <w:r>
        <w:rPr>
          <w:b/>
        </w:rPr>
        <w:t>Umsetzungsstand (2026-07-07, Phase 3 Slice 1 — siehe Kap. 11):</w:t>
      </w:r>
      <w:r>
        <w:t xml:space="preserve"> Die Pipeline läuft seit dieser Slice erstmals real, ausgelöst manuell über den "Signale"-Tab (</w:t>
      </w:r>
      <w:r>
        <w:rPr>
          <w:rFonts w:ascii="Consolas" w:hAnsi="Consolas"/>
          <w:color w:val="882222"/>
          <w:sz w:val="18"/>
        </w:rPr>
        <w:t>ui/signals_view.py</w:t>
      </w:r>
      <w:r>
        <w:t xml:space="preserve"> → </w:t>
      </w:r>
      <w:r>
        <w:rPr>
          <w:rFonts w:ascii="Consolas" w:hAnsi="Consolas"/>
          <w:color w:val="882222"/>
          <w:sz w:val="18"/>
        </w:rPr>
        <w:t>agent/krypto/pipeline.py::generate_signal()</w:t>
      </w:r>
      <w:r>
        <w:t xml:space="preserve">), noch nicht geplant/ automatisch (siehe Kap. 11). KI-Ebene: Groq (Llama 3.3 70B, siehe P-8), nicht Claude — die Fakten-Schicht (Indikatoren, Regime, Risiko-Check) ist deterministisches Python, Groq synthetisiert daraus die Empfehlung inkl. Begründung; das Modell wird dabei nie blind vertraut, </w:t>
      </w:r>
      <w:r>
        <w:rPr>
          <w:rFonts w:ascii="Consolas" w:hAnsi="Consolas"/>
          <w:color w:val="882222"/>
          <w:sz w:val="18"/>
        </w:rPr>
        <w:t>agent/krypto/risk_gate.py::post_check()</w:t>
      </w:r>
      <w:r>
        <w:t xml:space="preserve"> erzwingt die harten Regeln nach dem Groq-Aufruf nochmals deterministisch. Detaillierter Implementierungsplan (inkl. bewusster Vereinfachungen je Schritt) unter </w:t>
      </w:r>
      <w:r>
        <w:rPr>
          <w:rFonts w:ascii="Consolas" w:hAnsi="Consolas"/>
          <w:color w:val="882222"/>
          <w:sz w:val="18"/>
        </w:rPr>
        <w:t>C:\Users\Geatsch\.claude\plans\deep-launching-zebra.md</w:t>
      </w:r>
      <w:r>
        <w:t>.</w:t>
      </w:r>
    </w:p>
    <w:p>
      <w:pPr>
        <w:jc w:val="left"/>
      </w:pPr>
      <w:r>
        <w:t>Entscheidungs-Pipeline (Reihenfolge je Analyse):</w:t>
      </w:r>
    </w:p>
    <w:p>
      <w:pPr>
        <w:pStyle w:val="ListNumber"/>
      </w:pPr>
      <w:r>
        <w:rPr>
          <w:b/>
        </w:rPr>
        <w:t>R-5.0</w:t>
      </w:r>
      <w:r>
        <w:t xml:space="preserve"> Datenqualitäts-Gate (P-10, VOR allem anderen): Sind die für dieses Asset benötigten Daten aktuell und vollständig genug? Wenn nein → Abbruch für dieses Asset, Ausgabe „HALTEN — Datenlage unsicher" mit konkretem Grund (z. B. „Preis seit X Min. nicht aktualisiert", „nur Y Tage Historie, benötigt Z"), kein Rateversuch mit Lückendaten. </w:t>
      </w:r>
      <w:r>
        <w:rPr>
          <w:b/>
        </w:rPr>
        <w:t>ERLEDIGT (2026-07-07):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agent/krypto/pipeline.py</w:t>
      </w:r>
      <w:r>
        <w:t xml:space="preserve"> prüft Preis-/Historie- Staleness (</w:t>
      </w:r>
      <w:r>
        <w:rPr>
          <w:rFonts w:ascii="Consolas" w:hAnsi="Consolas"/>
          <w:color w:val="882222"/>
          <w:sz w:val="18"/>
        </w:rPr>
        <w:t>staleness.py</w:t>
      </w:r>
      <w:r>
        <w:t>) + Mindestverfügbarkeit von RSI/MACD/Bollinger, bevor irgendein Groq-Call erfolgt.</w:t>
      </w:r>
    </w:p>
    <w:p>
      <w:pPr>
        <w:pStyle w:val="ListNumber"/>
      </w:pPr>
      <w:r>
        <w:rPr>
          <w:b/>
        </w:rPr>
        <w:t>R-5.1</w:t>
      </w:r>
      <w:r>
        <w:t xml:space="preserve"> Marktregime bestimmen (Bulle/Bär/Seitwärts) via BTC-Trend, BTC-Dominanz, Fear &amp; Greed. </w:t>
      </w:r>
      <w:r>
        <w:rPr>
          <w:b/>
        </w:rPr>
        <w:t>ERLEDIGT, regelbasiert (2026-07-07):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agent/krypto/regime.py</w:t>
      </w:r>
      <w:r>
        <w:t xml:space="preserve"> — BTC- EMA-Ordnung, BTC-Dominanz-Trend (CoinGecko </w:t>
      </w:r>
      <w:r>
        <w:rPr>
          <w:rFonts w:ascii="Consolas" w:hAnsi="Consolas"/>
          <w:color w:val="882222"/>
          <w:sz w:val="18"/>
        </w:rPr>
        <w:t>/global</w:t>
      </w:r>
      <w:r>
        <w:t xml:space="preserve">, neu </w:t>
      </w:r>
      <w:r>
        <w:rPr>
          <w:rFonts w:ascii="Consolas" w:hAnsi="Consolas"/>
          <w:color w:val="882222"/>
          <w:sz w:val="18"/>
        </w:rPr>
        <w:t>api/macro.py</w:t>
      </w:r>
      <w:r>
        <w:t>), Fear &amp; Greed (alternative.me, kostenlos/kein Key). Bewusst einfache, dokumentierte Heuristik statt der vollen RG-1..RG-11-Feinheit (siehe Kap. 14); KI-Override (RG-1b) noch nicht umgesetzt. Manueller Override (</w:t>
      </w:r>
      <w:r>
        <w:rPr>
          <w:rFonts w:ascii="Consolas" w:hAnsi="Consolas"/>
          <w:color w:val="882222"/>
          <w:sz w:val="18"/>
        </w:rPr>
        <w:t>config.yaml regime.manueller_override</w:t>
      </w:r>
      <w:r>
        <w:t>) wird respektiert (RG-8/RG-9).</w:t>
      </w:r>
    </w:p>
    <w:p>
      <w:pPr>
        <w:pStyle w:val="ListNumber"/>
      </w:pPr>
      <w:r>
        <w:rPr>
          <w:b/>
        </w:rPr>
        <w:t>R-5.2</w:t>
      </w:r>
      <w:r>
        <w:t xml:space="preserve"> Makro-Kontext: Leitzinsen, Risikoumfeld USA/Japan/China/EU/Korea. </w:t>
      </w:r>
      <w:r>
        <w:rPr>
          <w:b/>
        </w:rPr>
        <w:t>Teilweise ERLEDIGT (2026-07-08, Nutzungs-Diskussion).</w:t>
      </w:r>
      <w:r>
        <w:t xml:space="preserve"> Neue Regime-Dimension </w:t>
      </w:r>
      <w:r>
        <w:rPr>
          <w:rFonts w:ascii="Consolas" w:hAnsi="Consolas"/>
          <w:color w:val="882222"/>
          <w:sz w:val="18"/>
        </w:rPr>
        <w:t>liquiditaets_regime</w:t>
      </w:r>
      <w:r>
        <w:t xml:space="preserve"> (</w:t>
      </w:r>
      <w:r>
        <w:rPr>
          <w:rFonts w:ascii="Consolas" w:hAnsi="Consolas"/>
          <w:color w:val="882222"/>
          <w:sz w:val="18"/>
        </w:rPr>
        <w:t>agent/krypto/regime.py</w:t>
      </w:r>
      <w:r>
        <w:t xml:space="preserve">) kombiniert Fed-Funds-Rate-Richtung (Historie via </w:t>
      </w:r>
      <w:r>
        <w:rPr>
          <w:rFonts w:ascii="Consolas" w:hAnsi="Consolas"/>
          <w:color w:val="882222"/>
          <w:sz w:val="18"/>
        </w:rPr>
        <w:t>api/macro.py::get_fred_history</w:t>
      </w:r>
      <w:r>
        <w:t xml:space="preserve">) mit dem globalen M2-Trend (USA/Eurozone/China, Mehrheitsentscheid über die prozentuale Veränderung — bewusst keine Währungsumrechnung/Summe, siehe Modul-Docstring) zu expansiv/restriktiv/gemischt/widersprüchlich/unbekannt. Bewusst als </w:t>
      </w:r>
      <w:r>
        <w:rPr>
          <w:b/>
        </w:rPr>
        <w:t>frischer Live-Abruf pro Pipeline-Lauf</w:t>
      </w:r>
      <w:r>
        <w:t xml:space="preserve"> (</w:t>
      </w:r>
      <w:r>
        <w:rPr>
          <w:rFonts w:ascii="Consolas" w:hAnsi="Consolas"/>
          <w:color w:val="882222"/>
          <w:sz w:val="18"/>
        </w:rPr>
        <w:t>agent/krypto/pipeline.py::_fetch_liquidity_context</w:t>
      </w:r>
      <w:r>
        <w:t xml:space="preserve">), nicht aus der </w:t>
      </w:r>
      <w:r>
        <w:rPr>
          <w:rFonts w:ascii="Consolas" w:hAnsi="Consolas"/>
          <w:color w:val="882222"/>
          <w:sz w:val="18"/>
        </w:rPr>
        <w:t>macro_snapshot</w:t>
      </w:r>
      <w:r>
        <w:t xml:space="preserve">-Akkumulation abgeleitet — die Pipeline läuft nur bei manuellem Klick (kein täglicher Scheduler), ein reiner "erster vs. letzter Snapshot"-Trend hätte real Monate gebraucht, bis genug Datenpunkte da sind. Fließt als </w:t>
      </w:r>
      <w:r>
        <w:rPr>
          <w:b/>
        </w:rPr>
        <w:t>Kontext, keine harte Regel</w:t>
      </w:r>
      <w:r>
        <w:t xml:space="preserve"> in </w:t>
      </w:r>
      <w:r>
        <w:rPr>
          <w:rFonts w:ascii="Consolas" w:hAnsi="Consolas"/>
          <w:color w:val="882222"/>
          <w:sz w:val="18"/>
        </w:rPr>
        <w:t>long_reasoning.makro</w:t>
      </w:r>
      <w:r>
        <w:t xml:space="preserve"> ein (Regel 10, </w:t>
      </w:r>
      <w:r>
        <w:rPr>
          <w:rFonts w:ascii="Consolas" w:hAnsi="Consolas"/>
          <w:color w:val="882222"/>
          <w:sz w:val="18"/>
        </w:rPr>
        <w:t>agent/krypto/analyst.py</w:t>
      </w:r>
      <w:r>
        <w:t xml:space="preserve">). </w:t>
      </w:r>
      <w:r>
        <w:rPr>
          <w:b/>
        </w:rPr>
        <w:t>Weiterhin `[OFFEN]`:</w:t>
      </w:r>
      <w:r>
        <w:t xml:space="preserve"> CPI/ISM-Ersatz/Trueflation/einzelne Leitbörsen — </w:t>
      </w:r>
      <w:r>
        <w:rPr>
          <w:rFonts w:ascii="Consolas" w:hAnsi="Consolas"/>
          <w:color w:val="882222"/>
          <w:sz w:val="18"/>
        </w:rPr>
        <w:t>disclaimers.makro_einbezogen</w:t>
      </w:r>
      <w:r>
        <w:t xml:space="preserve"> steht deshalb ehrlich auf </w:t>
      </w:r>
      <w:r>
        <w:rPr>
          <w:rFonts w:ascii="Consolas" w:hAnsi="Consolas"/>
          <w:color w:val="882222"/>
          <w:sz w:val="18"/>
        </w:rPr>
        <w:t>"teilweise"</w:t>
      </w:r>
      <w:r>
        <w:t xml:space="preserve"> (P-2/P-10), nicht mehr fest auf </w:t>
      </w:r>
      <w:r>
        <w:rPr>
          <w:rFonts w:ascii="Consolas" w:hAnsi="Consolas"/>
          <w:color w:val="882222"/>
          <w:sz w:val="18"/>
        </w:rPr>
        <w:t>false</w:t>
      </w:r>
      <w:r>
        <w:t xml:space="preserve">. </w:t>
      </w:r>
      <w:r>
        <w:rPr>
          <w:b/>
        </w:rPr>
        <w:t>Schritt 2 ERLEDIGT (2026-07-08): Zyklus-Risiko.</w:t>
      </w:r>
      <w:r>
        <w:t xml:space="preserve"> Weiteres neues Regime-Feld </w:t>
      </w:r>
      <w:r>
        <w:rPr>
          <w:rFonts w:ascii="Consolas" w:hAnsi="Consolas"/>
          <w:color w:val="882222"/>
          <w:sz w:val="18"/>
        </w:rPr>
        <w:t>zyklus_risiko</w:t>
      </w:r>
      <w:r>
        <w:t xml:space="preserve"> (0–1) aus dem BTC-Log-Regression-Risk-Modell (</w:t>
      </w:r>
      <w:r>
        <w:rPr>
          <w:rFonts w:ascii="Consolas" w:hAnsi="Consolas"/>
          <w:color w:val="882222"/>
          <w:sz w:val="18"/>
        </w:rPr>
        <w:t>indicators/calculations.py::compute_btc_log_regression_risk</w:t>
      </w:r>
      <w:r>
        <w:t>), MVRV/NUPL (</w:t>
      </w:r>
      <w:r>
        <w:rPr>
          <w:rFonts w:ascii="Consolas" w:hAnsi="Consolas"/>
          <w:color w:val="882222"/>
          <w:sz w:val="18"/>
        </w:rPr>
        <w:t>api/onchain.py</w:t>
      </w:r>
      <w:r>
        <w:t>) bewusst NICHT als eigenes Feld, sondern nur als Cross-Check-Text daneben (</w:t>
      </w:r>
      <w:r>
        <w:rPr>
          <w:rFonts w:ascii="Consolas" w:hAnsi="Consolas"/>
          <w:color w:val="882222"/>
          <w:sz w:val="18"/>
        </w:rPr>
        <w:t>_mvrv_band()</w:t>
      </w:r>
      <w:r>
        <w:t xml:space="preserve">, eigene dokumentierte Bänder — keine Nachbildung einer kommerziellen Formel) — beide Modelle beantworten dieselbe Frage (Bewertungsextrem), ein zweites Feld würde das Signal doppelt gewichten. Gilt für </w:t>
      </w:r>
      <w:r>
        <w:rPr>
          <w:b/>
        </w:rPr>
        <w:t>alle</w:t>
      </w:r>
      <w:r>
        <w:t xml:space="preserve"> Assets, nicht nur BTC (Prompt-Regel 11) — Alts leiden historisch am stärksten nahe einem BTC-Zyklus-Top. Live-verifiziert gegen echte BTC- </w:t>
      </w:r>
      <w:r>
        <w:rPr>
          <w:b/>
        </w:rPr>
        <w:t>und</w:t>
      </w:r>
      <w:r>
        <w:t xml:space="preserve"> ETH-Pipeline-Läufe: Groq hat </w:t>
      </w:r>
      <w:r>
        <w:rPr>
          <w:rFonts w:ascii="Consolas" w:hAnsi="Consolas"/>
          <w:color w:val="882222"/>
          <w:sz w:val="18"/>
        </w:rPr>
        <w:t>zyklus_risiko: 0.32</w:t>
      </w:r>
      <w:r>
        <w:t xml:space="preserve"> in beiden Fällen korrekt in </w:t>
      </w:r>
      <w:r>
        <w:rPr>
          <w:rFonts w:ascii="Consolas" w:hAnsi="Consolas"/>
          <w:color w:val="882222"/>
          <w:sz w:val="18"/>
        </w:rPr>
        <w:t>long_reasoning.fundamental</w:t>
      </w:r>
      <w:r>
        <w:t xml:space="preserve"> eingeordnet.</w:t>
      </w:r>
    </w:p>
    <w:p>
      <w:pPr>
        <w:pStyle w:val="ListNumber"/>
      </w:pPr>
      <w:r>
        <w:rPr>
          <w:b/>
        </w:rPr>
        <w:t>R-5.3</w:t>
      </w:r>
      <w:r>
        <w:t xml:space="preserve"> Technische Analyse je Asset: Trend, Indikatoren (Kap. 7), Fibonacci, Support/Resistance. </w:t>
      </w:r>
      <w:r>
        <w:rPr>
          <w:b/>
        </w:rPr>
        <w:t>ERLEDIGT:</w:t>
      </w:r>
      <w:r>
        <w:t xml:space="preserve"> volle Wiederverwendung von </w:t>
      </w:r>
      <w:r>
        <w:rPr>
          <w:rFonts w:ascii="Consolas" w:hAnsi="Consolas"/>
          <w:color w:val="882222"/>
          <w:sz w:val="18"/>
        </w:rPr>
        <w:t>indicators/calculations.py</w:t>
      </w:r>
      <w:r>
        <w:t xml:space="preserve"> (</w:t>
      </w:r>
      <w:r>
        <w:rPr>
          <w:rFonts w:ascii="Consolas" w:hAnsi="Consolas"/>
          <w:color w:val="882222"/>
          <w:sz w:val="18"/>
        </w:rPr>
        <w:t>build_technical_snapshot()</w:t>
      </w:r>
      <w:r>
        <w:t xml:space="preserve">, geteilt mit </w:t>
      </w:r>
      <w:r>
        <w:rPr>
          <w:rFonts w:ascii="Consolas" w:hAnsi="Consolas"/>
          <w:color w:val="882222"/>
          <w:sz w:val="18"/>
        </w:rPr>
        <w:t>ui/charts.py</w:t>
      </w:r>
      <w:r>
        <w:t xml:space="preserve"> — keine zwei Datenquellen), neu </w:t>
      </w:r>
      <w:r>
        <w:rPr>
          <w:rFonts w:ascii="Consolas" w:hAnsi="Consolas"/>
          <w:color w:val="882222"/>
          <w:sz w:val="18"/>
        </w:rPr>
        <w:t>summarize_confluence()</w:t>
      </w:r>
      <w:r>
        <w:t xml:space="preserve"> als einfache, explizit als Heuristik gekennzeichnete Zusammenfassung (entscheidet nichts selbst, liefert nur Fakten an Groq).</w:t>
      </w:r>
    </w:p>
    <w:p>
      <w:pPr>
        <w:pStyle w:val="ListNumber"/>
      </w:pPr>
      <w:r>
        <w:rPr>
          <w:b/>
        </w:rPr>
        <w:t>R-5.4</w:t>
      </w:r>
      <w:r>
        <w:t xml:space="preserve"> Sentiment (X/YouTube) — nur Zusatz, niedrig gewichtet, nur seriöse Quellen. Weiterhin Phase 4 (siehe Kap. 11), im Facts-Objekt ebenfalls als </w:t>
      </w:r>
      <w:r>
        <w:rPr>
          <w:rFonts w:ascii="Consolas" w:hAnsi="Consolas"/>
          <w:color w:val="882222"/>
          <w:sz w:val="18"/>
        </w:rPr>
        <w:t>disclaimers.sentiment_einbezogen: false</w:t>
      </w:r>
      <w:r>
        <w:t xml:space="preserve"> ausgewiesen.</w:t>
      </w:r>
    </w:p>
    <w:p>
      <w:pPr>
        <w:pStyle w:val="ListNumber"/>
      </w:pPr>
      <w:r>
        <w:rPr>
          <w:b/>
        </w:rPr>
        <w:t>R-5.5</w:t>
      </w:r>
      <w:r>
        <w:t xml:space="preserve"> Risikoprüfung (Kap. 3) als </w:t>
      </w:r>
      <w:r>
        <w:rPr>
          <w:b/>
        </w:rPr>
        <w:t>VETO-Stufe</w:t>
      </w:r>
      <w:r>
        <w:t xml:space="preserve">: scheitert hier → kein Kauf. </w:t>
      </w:r>
      <w:r>
        <w:rPr>
          <w:b/>
        </w:rPr>
        <w:t>ERLEDIGT (RM-1/-2/-4/-5):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agent/krypto/risk_gate.py::pre_check()</w:t>
      </w:r>
      <w:r>
        <w:t xml:space="preserve"> (vor dem Groq-Call, liefert eine harte Positionsgrößen-Obergrenze als Fakt) UND </w:t>
      </w:r>
      <w:r>
        <w:rPr>
          <w:rFonts w:ascii="Consolas" w:hAnsi="Consolas"/>
          <w:color w:val="882222"/>
          <w:sz w:val="18"/>
        </w:rPr>
        <w:t>post_check()</w:t>
      </w:r>
      <w:r>
        <w:t xml:space="preserve"> (danach, erzwingt dieselben Regeln nochmal deterministisch — das Modell wird nie blind vertraut). RM-7/Z-3 (Drawdown-Notbremse) bleibt </w:t>
      </w:r>
      <w:r>
        <w:rPr>
          <w:rFonts w:ascii="Consolas" w:hAnsi="Consolas"/>
          <w:color w:val="882222"/>
          <w:sz w:val="18"/>
        </w:rPr>
        <w:t>[OFFEN]</w:t>
      </w:r>
      <w:r>
        <w:t xml:space="preserve"> (braucht eine noch nicht existierende Portfolio-Wert-Historie), RM-8/-9 (voller Risiko-Score) und RM-10/-11 (Hebel) ebenfalls offen (S-6 Hebel-Long ist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 </w:t>
      </w:r>
      <w:r>
        <w:rPr>
          <w:rFonts w:ascii="Consolas" w:hAnsi="Consolas"/>
          <w:color w:val="882222"/>
          <w:sz w:val="18"/>
        </w:rPr>
        <w:t>aktiv: false</w:t>
      </w:r>
      <w:r>
        <w:t>).</w:t>
      </w:r>
    </w:p>
    <w:p>
      <w:pPr>
        <w:pStyle w:val="ListNumber"/>
      </w:pPr>
      <w:r>
        <w:rPr>
          <w:b/>
        </w:rPr>
        <w:t>R-5.6</w:t>
      </w:r>
      <w:r>
        <w:t xml:space="preserve"> Signal + Konfidenz + vollständige Empfehlung (Format P-5). </w:t>
      </w:r>
      <w:r>
        <w:rPr>
          <w:b/>
        </w:rPr>
        <w:t>ERLEDIGT: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agent/krypto/analyst.py</w:t>
      </w:r>
      <w:r>
        <w:t xml:space="preserve"> — striktes JSON-Schema (Groq </w:t>
      </w:r>
      <w:r>
        <w:rPr>
          <w:rFonts w:ascii="Consolas" w:hAnsi="Consolas"/>
          <w:color w:val="882222"/>
          <w:sz w:val="18"/>
        </w:rPr>
        <w:t>response_format: json_object</w:t>
      </w:r>
      <w:r>
        <w:t>), Validierung inkl. case-insensitiver Enum-Normalisierung (Groq antwortet nicht immer in Großbuchstaben), ein Retry bei kaputtem JSON, danach fail-loud („HALTEN — Agent-Antwort ungültig").</w:t>
      </w:r>
    </w:p>
    <w:p>
      <w:pPr>
        <w:pStyle w:val="ListNumber"/>
      </w:pPr>
      <w:r>
        <w:rPr>
          <w:b/>
        </w:rPr>
        <w:t>R-5.7</w:t>
      </w:r>
      <w:r>
        <w:t xml:space="preserve"> Haltedauer-Empfehlung (kurz/mittel/lang) mit Begründung; Nutzer kann eigene Parameter ergänzen (interaktiver Dialog), die in die nächste Bewertung einfließen. Haltedauer-Feld </w:t>
      </w:r>
      <w:r>
        <w:rPr>
          <w:b/>
        </w:rPr>
        <w:t>ERLEDIGT</w:t>
      </w:r>
      <w:r>
        <w:t xml:space="preserve"> (Teil der Groq-Antwort), der interaktive Dialog (U-9) bleibt </w:t>
      </w:r>
      <w:r>
        <w:rPr>
          <w:rFonts w:ascii="Consolas" w:hAnsi="Consolas"/>
          <w:color w:val="882222"/>
          <w:sz w:val="18"/>
        </w:rPr>
        <w:t>[OFFEN]</w:t>
      </w:r>
      <w:r>
        <w:t>.</w:t>
      </w:r>
    </w:p>
    <w:p>
      <w:pPr>
        <w:pStyle w:val="ListNumber"/>
      </w:pPr>
      <w:r>
        <w:rPr>
          <w:b/>
        </w:rPr>
        <w:t>R-5.8</w:t>
      </w:r>
      <w:r>
        <w:t xml:space="preserve"> Forecast als Szenario (Bull/Base/Bear) mit Wahrscheinlichkeiten, statt einzelner Punktprognose. </w:t>
      </w:r>
      <w:r>
        <w:rPr>
          <w:b/>
        </w:rPr>
        <w:t>ERLEDIGT</w:t>
      </w:r>
      <w:r>
        <w:t xml:space="preserve"> (zusätzliches Feld in der Groq-Antwort).</w:t>
      </w:r>
    </w:p>
    <w:p>
      <w:pPr>
        <w:pStyle w:val="ListNumber"/>
      </w:pPr>
      <w:r>
        <w:rPr>
          <w:b/>
        </w:rPr>
        <w:t>R-5.9</w:t>
      </w:r>
      <w:r>
        <w:t xml:space="preserve"> Steuerliche Optimierung (AT, siehe P-6): Bei strategisch gleichwertigen Alternativen bevorzugt TAUSCHEN (Krypto-zu-Krypto/Stablecoin) statt VERKAUFEN vorschlagen, da steuerlich neutral bis zur Auszahlung in Fiat. </w:t>
      </w:r>
      <w:r>
        <w:rPr>
          <w:b/>
        </w:rPr>
        <w:t>ERLEDIGT:</w:t>
      </w:r>
      <w:r>
        <w:t xml:space="preserve"> per Prompt-Klausel UND mechanisch in </w:t>
      </w:r>
      <w:r>
        <w:rPr>
          <w:rFonts w:ascii="Consolas" w:hAnsi="Consolas"/>
          <w:color w:val="882222"/>
          <w:sz w:val="18"/>
        </w:rPr>
        <w:t>risk_gate.post_check()</w:t>
      </w:r>
      <w:r>
        <w:t xml:space="preserve"> erzwungen (VERKAUFEN → TAUSCHEN, wenn ein Swap-Ziel genannt wurde) — nicht nur der Prompt-Hoffnung überlassen.</w:t>
      </w:r>
    </w:p>
    <w:p>
      <w:pPr>
        <w:pStyle w:val="ListNumber"/>
      </w:pPr>
      <w:r>
        <w:rPr>
          <w:b/>
        </w:rPr>
        <w:t>R-5.10</w:t>
      </w:r>
      <w:r>
        <w:t xml:space="preserve"> Regime-Profil anwenden (Kap. 14): Das in R-5.1/R-5.2 bestimmte Regime moduliert Gewichte, Schwellen, Small-Cap-Budget und Mindest-Konfidenz; Overrides nach der Governance-Regel (Sicherheits-Asymmetrie, harte Limits unantastbar). </w:t>
      </w:r>
      <w:r>
        <w:rPr>
          <w:b/>
        </w:rPr>
        <w:t>ERLEDIGT (Mindest-Konfidenz + Small-Cap-Budget):</w:t>
      </w:r>
      <w:r>
        <w:t xml:space="preserve"> </w:t>
      </w:r>
      <w:r>
        <w:rPr>
          <w:rFonts w:ascii="Consolas" w:hAnsi="Consolas"/>
          <w:color w:val="882222"/>
          <w:sz w:val="18"/>
        </w:rPr>
        <w:t>risk_gate.py</w:t>
      </w:r>
      <w:r>
        <w:t xml:space="preserve"> nutzt </w:t>
      </w:r>
      <w:r>
        <w:rPr>
          <w:rFonts w:ascii="Consolas" w:hAnsi="Consolas"/>
          <w:color w:val="882222"/>
          <w:sz w:val="18"/>
        </w:rPr>
        <w:t>config.yaml regime.profile[&lt;regime&gt;]</w:t>
      </w:r>
      <w:r>
        <w:t xml:space="preserve"> statt der statischen Werte.</w:t>
      </w:r>
    </w:p>
    <w:p>
      <w:pPr>
        <w:pStyle w:val="ListNumber"/>
      </w:pPr>
      <w:r>
        <w:rPr>
          <w:b/>
        </w:rPr>
        <w:t>R-5.11</w:t>
      </w:r>
      <w:r>
        <w:t xml:space="preserve"> Bei Kauf-/Nachkauf-Empfehlungen antizyklische Disziplin (Kap. 15): Flush vs. fundamentaler Zusammenbruch klassifizieren, Bestätigungs-Gate, gestaffelt. </w:t>
      </w:r>
      <w:r>
        <w:rPr>
          <w:b/>
        </w:rPr>
        <w:t>Nur einfache Heuristik (2026-07-07):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agent/krypto/anticyclic.py</w:t>
      </w:r>
      <w:r>
        <w:t xml:space="preserve"> — Funding-Rate- Extremwert (Kraken Futures) + Kursrückgang-Geschwindigkeit als grober Hinweis, NICHT die volle AZ-1..AZ-8-Klassifikation (fehlt eine unabhängige Nachrichten-/ Fundamentalquelle). Liefert nur Kontext an Groq, trifft keine eigene Veto- Entscheidung. </w:t>
      </w:r>
      <w:r>
        <w:rPr>
          <w:b/>
        </w:rPr>
        <w:t>Erweitert (Nutzungs-Diskussion Schritt 3, 2026-07-08):</w:t>
      </w:r>
      <w:r>
        <w:t xml:space="preserve"> zusätzlich Open Interest (Binance/Bybit/OKX, </w:t>
      </w:r>
      <w:r>
        <w:rPr>
          <w:rFonts w:ascii="Consolas" w:hAnsi="Consolas"/>
          <w:color w:val="882222"/>
          <w:sz w:val="18"/>
        </w:rPr>
        <w:t>api/derivatives.py</w:t>
      </w:r>
      <w:r>
        <w:t>, unabhängig voneinander versucht — fehlt eine Börse, blockiert das nicht die anderen) und Binance- Long-Short-Ratio. Der Long-Konten-Anteil (</w:t>
      </w:r>
      <w:r>
        <w:rPr>
          <w:rFonts w:ascii="Consolas" w:hAnsi="Consolas"/>
          <w:color w:val="882222"/>
          <w:sz w:val="18"/>
        </w:rPr>
        <w:t>LONG_BIAS_EXTREME_THRESHOLD_PCT = 65%</w:t>
      </w:r>
      <w:r>
        <w:t xml:space="preserve">, dokumentierter Platzhalter wie die bestehende Funding-Rate-Schwelle) verstärkt nur den Beschreibungstext ("zusätzlich bestätigt"/"uneindeutig"), ändert aber NICHT die bestehende </w:t>
      </w:r>
      <w:r>
        <w:rPr>
          <w:rFonts w:ascii="Consolas" w:hAnsi="Consolas"/>
          <w:color w:val="882222"/>
          <w:sz w:val="18"/>
        </w:rPr>
        <w:t>moeglicher_flush</w:t>
      </w:r>
      <w:r>
        <w:t xml:space="preserve">-Formel selbst — kein Risiko einer Verhaltensänderung an bereits getesteter Logik. Live verifiziert inkl. eines echten Falls mit </w:t>
      </w:r>
      <w:r>
        <w:rPr>
          <w:rFonts w:ascii="Consolas" w:hAnsi="Consolas"/>
          <w:color w:val="882222"/>
          <w:sz w:val="18"/>
        </w:rPr>
        <w:t>moeglicher_flush=true</w:t>
      </w:r>
      <w:r>
        <w:t xml:space="preserve"> + 81,8 % Long-Bias (GRIFFAIN) und eines Falls mit fehlender OKX-Notierung (graceful, P-10).</w:t>
      </w:r>
    </w:p>
    <w:p>
      <w:pPr>
        <w:ind w:left="360"/>
      </w:pPr>
      <w:r>
        <w:rPr>
          <w:b/>
          <w:i/>
        </w:rPr>
        <w:t>Nutzungs-Diskussion abgeschlossen (letzter Schritt, 2026-07-08):</w:t>
      </w:r>
      <w:r>
        <w:rPr>
          <w:i/>
        </w:rPr>
        <w:t xml:space="preserve"> Facts-Feld</w:t>
      </w:r>
    </w:p>
    <w:p>
      <w:pPr>
        <w:ind w:left="360"/>
      </w:pPr>
      <w:r>
        <w:rPr>
          <w:rFonts w:ascii="Consolas" w:hAnsi="Consolas"/>
          <w:i/>
          <w:color w:val="882222"/>
          <w:sz w:val="18"/>
        </w:rPr>
        <w:t>markt_kontext</w:t>
      </w:r>
      <w:r>
        <w:rPr>
          <w:i/>
        </w:rPr>
        <w:t xml:space="preserve"> (</w:t>
      </w:r>
      <w:r>
        <w:rPr>
          <w:rFonts w:ascii="Consolas" w:hAnsi="Consolas"/>
          <w:i/>
          <w:color w:val="882222"/>
          <w:sz w:val="18"/>
        </w:rPr>
        <w:t>agent/krypto/analyst.py::build_facts</w:t>
      </w:r>
      <w:r>
        <w:rPr>
          <w:i/>
        </w:rPr>
        <w:t>) — BTC-Exchange-Flow-Netto</w:t>
      </w:r>
    </w:p>
    <w:p>
      <w:pPr>
        <w:ind w:left="360"/>
      </w:pPr>
      <w:r>
        <w:rPr>
          <w:i/>
        </w:rPr>
        <w:t>(</w:t>
      </w:r>
      <w:r>
        <w:rPr>
          <w:rFonts w:ascii="Consolas" w:hAnsi="Consolas"/>
          <w:i/>
          <w:color w:val="882222"/>
          <w:sz w:val="18"/>
        </w:rPr>
        <w:t>api/onchain.py</w:t>
      </w:r>
      <w:r>
        <w:rPr>
          <w:i/>
        </w:rPr>
        <w:t>), globale Stablecoin-Supply (DefiLlama), Präsidentschaftszyklus-</w:t>
      </w:r>
    </w:p>
    <w:p>
      <w:pPr>
        <w:ind w:left="360"/>
      </w:pPr>
      <w:r>
        <w:rPr>
          <w:i/>
        </w:rPr>
        <w:t xml:space="preserve">Kontext + nächste FOMC-Sitzungen (beide </w:t>
      </w:r>
      <w:r>
        <w:rPr>
          <w:rFonts w:ascii="Consolas" w:hAnsi="Consolas"/>
          <w:i/>
          <w:color w:val="882222"/>
          <w:sz w:val="18"/>
        </w:rPr>
        <w:t>agent/cycles.py</w:t>
      </w:r>
      <w:r>
        <w:rPr>
          <w:i/>
        </w:rPr>
        <w:t>, reine Datumsrechnung,</w:t>
      </w:r>
    </w:p>
    <w:p>
      <w:pPr>
        <w:ind w:left="360"/>
      </w:pPr>
      <w:r>
        <w:rPr>
          <w:i/>
        </w:rPr>
        <w:t xml:space="preserve">kein Netzwerk-Call). </w:t>
      </w:r>
      <w:r>
        <w:rPr>
          <w:b/>
          <w:i/>
        </w:rPr>
        <w:t>Bewusst KEINE neue Regime-Logik</w:t>
      </w:r>
      <w:r>
        <w:rPr>
          <w:i/>
        </w:rPr>
        <w:t xml:space="preserve"> — reiner, niedrig</w:t>
      </w:r>
    </w:p>
    <w:p>
      <w:pPr>
        <w:ind w:left="360"/>
      </w:pPr>
      <w:r>
        <w:rPr>
          <w:i/>
        </w:rPr>
        <w:t>gewichteter Kontext für Groq (Prompt-Regel 13): FOMC-Sitzung &lt; 14 Tage entfernt →</w:t>
      </w:r>
    </w:p>
    <w:p>
      <w:pPr>
        <w:ind w:left="360"/>
      </w:pPr>
      <w:r>
        <w:rPr>
          <w:i/>
        </w:rPr>
        <w:t xml:space="preserve">explizit als Volatilitätsfaktor in </w:t>
      </w:r>
      <w:r>
        <w:rPr>
          <w:rFonts w:ascii="Consolas" w:hAnsi="Consolas"/>
          <w:i/>
          <w:color w:val="882222"/>
          <w:sz w:val="18"/>
        </w:rPr>
        <w:t>key_risks</w:t>
      </w:r>
      <w:r>
        <w:rPr>
          <w:i/>
        </w:rPr>
        <w:t xml:space="preserve"> nennen, Präsidentschaftszyklus nur</w:t>
      </w:r>
    </w:p>
    <w:p>
      <w:pPr>
        <w:ind w:left="360"/>
      </w:pPr>
      <w:r>
        <w:rPr>
          <w:i/>
        </w:rPr>
        <w:t>mit explizitem "keine Prognose-Garantie"-Vorbehalt. Live verifiziert: bei der</w:t>
      </w:r>
    </w:p>
    <w:p>
      <w:pPr>
        <w:ind w:left="360"/>
      </w:pPr>
      <w:r>
        <w:rPr>
          <w:i/>
        </w:rPr>
        <w:t>echten, 19 Tage entfernten Sitzung korrekt nicht erzwungen (unter der Schwelle),</w:t>
      </w:r>
    </w:p>
    <w:p>
      <w:pPr>
        <w:ind w:left="360"/>
      </w:pPr>
      <w:r>
        <w:rPr>
          <w:i/>
        </w:rPr>
        <w:t xml:space="preserve">bei einer künstlich auf 5 Tage gesetzten Sitzung korrekt in </w:t>
      </w:r>
      <w:r>
        <w:rPr>
          <w:rFonts w:ascii="Consolas" w:hAnsi="Consolas"/>
          <w:i/>
          <w:color w:val="882222"/>
          <w:sz w:val="18"/>
        </w:rPr>
        <w:t>key_risks</w:t>
      </w:r>
      <w:r>
        <w:rPr>
          <w:i/>
        </w:rPr>
        <w:t xml:space="preserve"> genannt.</w:t>
      </w:r>
    </w:p>
    <w:p>
      <w:pPr>
        <w:ind w:left="360"/>
      </w:pPr>
      <w:r>
        <w:rPr>
          <w:i/>
        </w:rPr>
        <w:t>Damit ist die gesamte am 2026-07-08 vereinbarte Nutzungs-Tabelle (Liquiditäts-</w:t>
      </w:r>
    </w:p>
    <w:p>
      <w:pPr>
        <w:ind w:left="360"/>
      </w:pPr>
      <w:r>
        <w:rPr>
          <w:i/>
        </w:rPr>
        <w:t>Regime, Zyklus-Risiko, AZ-1-Erweiterung, Markt-Kontext) umgesetzt.</w:t>
      </w:r>
    </w:p>
    <w:p>
      <w:pPr>
        <w:ind w:left="360"/>
      </w:pPr>
      <w:r>
        <w:rPr>
          <w:b/>
          <w:i/>
        </w:rPr>
        <w:t>A-1-Ausnahme:</w:t>
      </w:r>
      <w:r>
        <w:rPr>
          <w:i/>
        </w:rPr>
        <w:t xml:space="preserve"> Stablecoins (</w:t>
      </w:r>
      <w:r>
        <w:rPr>
          <w:rFonts w:ascii="Consolas" w:hAnsi="Consolas"/>
          <w:i/>
          <w:color w:val="882222"/>
          <w:sz w:val="18"/>
        </w:rPr>
        <w:t>typ: stablecoin</w:t>
      </w:r>
      <w:r>
        <w:rPr>
          <w:i/>
        </w:rPr>
        <w:t>, aktuell nur EURCV) durchlaufen die</w:t>
      </w:r>
    </w:p>
    <w:p>
      <w:pPr>
        <w:ind w:left="360"/>
      </w:pPr>
      <w:r>
        <w:rPr>
          <w:i/>
        </w:rPr>
        <w:t>Pipeline gar nicht erst — festes „HALTEN" ohne Groq-Call, da sie laut Kap. 4 (A-1)</w:t>
      </w:r>
    </w:p>
    <w:p>
      <w:pPr>
        <w:ind w:left="360"/>
      </w:pPr>
      <w:r>
        <w:rPr>
          <w:i/>
        </w:rPr>
        <w:t>kein eigenständiges Handelssignal bekommen sollen.</w:t>
      </w:r>
    </w:p>
    <w:p>
      <w:pPr>
        <w:ind w:left="360"/>
      </w:pPr>
      <w:r>
        <w:rPr>
          <w:b/>
          <w:i/>
        </w:rPr>
        <w:t>Separater Job — Marktscan (Kap. 13):</w:t>
      </w:r>
      <w:r>
        <w:rPr>
          <w:i/>
        </w:rPr>
        <w:t xml:space="preserve"> Die Entdeckung </w:t>
      </w:r>
      <w:r>
        <w:rPr>
          <w:i/>
        </w:rPr>
        <w:t>neuer</w:t>
      </w:r>
      <w:r>
        <w:rPr>
          <w:i/>
        </w:rPr>
        <w:t xml:space="preserve"> Assets läuft nicht</w:t>
      </w:r>
    </w:p>
    <w:p>
      <w:pPr>
        <w:ind w:left="360"/>
      </w:pPr>
      <w:r>
        <w:rPr>
          <w:i/>
        </w:rPr>
        <w:t>in dieser Pro-Asset-Pipeline, sondern als periodischer Hintergrund-Scan (2× täglich).</w:t>
      </w:r>
    </w:p>
    <w:p>
      <w:pPr>
        <w:ind w:left="360"/>
      </w:pPr>
      <w:r>
        <w:rPr>
          <w:i/>
        </w:rPr>
        <w:t xml:space="preserve">Treffer werden automatisch als </w:t>
      </w:r>
      <w:r>
        <w:rPr>
          <w:rFonts w:ascii="Consolas" w:hAnsi="Consolas"/>
          <w:i/>
          <w:color w:val="882222"/>
          <w:sz w:val="18"/>
        </w:rPr>
        <w:t>status: watchlist</w:t>
      </w:r>
      <w:r>
        <w:rPr>
          <w:i/>
        </w:rPr>
        <w:t xml:space="preserve"> aufgenommen und durchlaufen danach</w:t>
      </w:r>
    </w:p>
    <w:p>
      <w:pPr>
        <w:ind w:left="360"/>
      </w:pPr>
      <w:r>
        <w:rPr>
          <w:i/>
        </w:rPr>
        <w:t>dieselbe Pipeline wie bestehende Watchlist-Assets.</w:t>
      </w:r>
    </w:p>
    <w:p>
      <w:pPr>
        <w:pStyle w:val="Heading2"/>
      </w:pPr>
      <w:r>
        <w:t>6. Strategie-Katalog (auswählbar je Asset)</w:t>
      </w:r>
    </w:p>
    <w:p>
      <w:pPr>
        <w:jc w:val="left"/>
      </w:pPr>
      <w:r>
        <w:t xml:space="preserve">Katalog in </w:t>
      </w:r>
      <w:r>
        <w:rPr>
          <w:rFonts w:ascii="Consolas" w:hAnsi="Consolas"/>
          <w:color w:val="882222"/>
          <w:sz w:val="18"/>
        </w:rPr>
        <w:t>config.yaml → strategien</w:t>
      </w:r>
      <w:r>
        <w:t>. Pro Asset wählbar; der Agent schlägt die zum Marktregime passende Strategie vor und begründet die Auswahl („beste Strategie jetzt").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Strategie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Kern</w:t>
            </w:r>
          </w:p>
        </w:tc>
      </w:tr>
      <w:tr>
        <w:tc>
          <w:tcPr>
            <w:tcW w:type="dxa" w:w="2880"/>
          </w:tcPr>
          <w:p>
            <w:r/>
            <w:r>
              <w:t>S-1</w:t>
            </w:r>
          </w:p>
        </w:tc>
        <w:tc>
          <w:tcPr>
            <w:tcW w:type="dxa" w:w="2880"/>
          </w:tcPr>
          <w:p>
            <w:r/>
            <w:r>
              <w:t>HODL / Core</w:t>
            </w:r>
          </w:p>
        </w:tc>
        <w:tc>
          <w:tcPr>
            <w:tcW w:type="dxa" w:w="2880"/>
          </w:tcPr>
          <w:p>
            <w:r/>
            <w:r>
              <w:t>langfristig halten, an Leveln nachkaufen</w:t>
            </w:r>
          </w:p>
        </w:tc>
      </w:tr>
      <w:tr>
        <w:tc>
          <w:tcPr>
            <w:tcW w:type="dxa" w:w="2880"/>
          </w:tcPr>
          <w:p>
            <w:r/>
            <w:r>
              <w:t>S-2</w:t>
            </w:r>
          </w:p>
        </w:tc>
        <w:tc>
          <w:tcPr>
            <w:tcW w:type="dxa" w:w="2880"/>
          </w:tcPr>
          <w:p>
            <w:r/>
            <w:r>
              <w:t>DCA</w:t>
            </w:r>
          </w:p>
        </w:tc>
        <w:tc>
          <w:tcPr>
            <w:tcW w:type="dxa" w:w="2880"/>
          </w:tcPr>
          <w:p>
            <w:r/>
            <w:r>
              <w:t>regelmäßige Käufe unabhängig vom Preis</w:t>
            </w:r>
          </w:p>
        </w:tc>
      </w:tr>
      <w:tr>
        <w:tc>
          <w:tcPr>
            <w:tcW w:type="dxa" w:w="2880"/>
          </w:tcPr>
          <w:p>
            <w:r/>
            <w:r>
              <w:t>S-3</w:t>
            </w:r>
          </w:p>
        </w:tc>
        <w:tc>
          <w:tcPr>
            <w:tcW w:type="dxa" w:w="2880"/>
          </w:tcPr>
          <w:p>
            <w:r/>
            <w:r>
              <w:t>Swing-Trading</w:t>
            </w:r>
          </w:p>
        </w:tc>
        <w:tc>
          <w:tcPr>
            <w:tcW w:type="dxa" w:w="2880"/>
          </w:tcPr>
          <w:p>
            <w:r/>
            <w:r>
              <w:t>Ein-/Ausstieg an Leveln &amp; Fibonacci</w:t>
            </w:r>
          </w:p>
        </w:tc>
      </w:tr>
      <w:tr>
        <w:tc>
          <w:tcPr>
            <w:tcW w:type="dxa" w:w="2880"/>
          </w:tcPr>
          <w:p>
            <w:r/>
            <w:r>
              <w:t>S-4</w:t>
            </w:r>
          </w:p>
        </w:tc>
        <w:tc>
          <w:tcPr>
            <w:tcW w:type="dxa" w:w="2880"/>
          </w:tcPr>
          <w:p>
            <w:r/>
            <w:r>
              <w:t>Trendfolge</w:t>
            </w:r>
          </w:p>
        </w:tc>
        <w:tc>
          <w:tcPr>
            <w:tcW w:type="dxa" w:w="2880"/>
          </w:tcPr>
          <w:p>
            <w:r/>
            <w:r>
              <w:t>Einstieg bei bestätigtem Trend, Trailing-Stop</w:t>
            </w:r>
          </w:p>
        </w:tc>
      </w:tr>
      <w:tr>
        <w:tc>
          <w:tcPr>
            <w:tcW w:type="dxa" w:w="2880"/>
          </w:tcPr>
          <w:p>
            <w:r/>
            <w:r>
              <w:t>S-5</w:t>
            </w:r>
          </w:p>
        </w:tc>
        <w:tc>
          <w:tcPr>
            <w:tcW w:type="dxa" w:w="2880"/>
          </w:tcPr>
          <w:p>
            <w:r/>
            <w:r>
              <w:t>Kapitalschutz</w:t>
            </w:r>
          </w:p>
        </w:tc>
        <w:tc>
          <w:tcPr>
            <w:tcW w:type="dxa" w:w="2880"/>
          </w:tcPr>
          <w:p>
            <w:r/>
            <w:r>
              <w:t>defensiv, hohe Cash-Quote (auto bei Drawdown)</w:t>
            </w:r>
          </w:p>
        </w:tc>
      </w:tr>
      <w:tr>
        <w:tc>
          <w:tcPr>
            <w:tcW w:type="dxa" w:w="2880"/>
          </w:tcPr>
          <w:p>
            <w:r/>
            <w:r>
              <w:t>S-6</w:t>
            </w:r>
          </w:p>
        </w:tc>
        <w:tc>
          <w:tcPr>
            <w:tcW w:type="dxa" w:w="2880"/>
          </w:tcPr>
          <w:p>
            <w:r/>
            <w:r>
              <w:t>Hebel-Long</w:t>
            </w:r>
          </w:p>
        </w:tc>
        <w:tc>
          <w:tcPr>
            <w:tcW w:type="dxa" w:w="2880"/>
          </w:tcPr>
          <w:p>
            <w:r/>
            <w:r>
              <w:t>nur geeignete Assets, nur Long (vorerst aus)</w:t>
            </w:r>
          </w:p>
        </w:tc>
      </w:tr>
    </w:tbl>
    <w:p/>
    <w:p>
      <w:pPr>
        <w:pStyle w:val="Heading2"/>
      </w:pPr>
      <w:r>
        <w:t>7. Technische Indikatoren (Mindestumfang)</w:t>
      </w:r>
    </w:p>
    <w:p>
      <w:pPr>
        <w:jc w:val="left"/>
      </w:pPr>
      <w:r>
        <w:t xml:space="preserve">Liste in </w:t>
      </w:r>
      <w:r>
        <w:rPr>
          <w:rFonts w:ascii="Consolas" w:hAnsi="Consolas"/>
          <w:color w:val="882222"/>
          <w:sz w:val="18"/>
        </w:rPr>
        <w:t>config.yaml → indikatoren</w:t>
      </w:r>
      <w:r>
        <w:t xml:space="preserve">. Kein Signal aus einem einzelnen Indikator — </w:t>
      </w:r>
      <w:r>
        <w:rPr>
          <w:b/>
        </w:rPr>
        <w:t>Bestätigung durch mehrere (Confluence)</w:t>
      </w:r>
      <w:r>
        <w:t xml:space="preserve"> ist Voraussetzung.</w:t>
      </w:r>
    </w:p>
    <w:p>
      <w:pPr>
        <w:jc w:val="left"/>
      </w:pPr>
      <w:r>
        <w:rPr>
          <w:b/>
        </w:rPr>
        <w:t>Datenqualität (P-10):</w:t>
      </w:r>
      <w:r>
        <w:t xml:space="preserve"> Reicht die vorhandene Historie für einen Indikator nicht aus (z. B. Asset erst seit 50 Tagen gelistet, EMA-200 braucht 200 Tage), wird dieser Indikator als </w:t>
      </w:r>
      <w:r>
        <w:rPr>
          <w:b/>
        </w:rPr>
        <w:t>„nicht verfügbar"</w:t>
      </w:r>
      <w:r>
        <w:t xml:space="preserve"> markiert statt mit einem verkürzten/falschen Fenster berechnet. Confluence-Bewertung berücksichtigt nur tatsächlich verfügbare Indikatoren.</w:t>
      </w:r>
    </w:p>
    <w:p>
      <w:pPr>
        <w:pStyle w:val="ListBullet"/>
      </w:pPr>
      <w:r>
        <w:t>Trend: EMA (20/50/200), MACD</w:t>
      </w:r>
    </w:p>
    <w:p>
      <w:pPr>
        <w:pStyle w:val="ListBullet"/>
      </w:pPr>
      <w:r>
        <w:t>Momentum: RSI (Überkauft/Überverkauft, Divergenzen)</w:t>
      </w:r>
    </w:p>
    <w:p>
      <w:pPr>
        <w:pStyle w:val="ListBullet"/>
      </w:pPr>
      <w:r>
        <w:t>Volatilität: Bollinger Bands, ATR (Stop-Loss-Abstand)</w:t>
      </w:r>
    </w:p>
    <w:p>
      <w:pPr>
        <w:pStyle w:val="ListBullet"/>
      </w:pPr>
      <w:r>
        <w:t>Levels: Fibonacci, Support/Resistance, Swing-Highs/-Lows</w:t>
      </w:r>
    </w:p>
    <w:p>
      <w:pPr>
        <w:pStyle w:val="ListBullet"/>
      </w:pPr>
      <w:r>
        <w:t>Volumen: Bestätigung von Ausbrüchen</w:t>
      </w:r>
    </w:p>
    <w:p>
      <w:pPr>
        <w:pStyle w:val="ListBullet"/>
      </w:pPr>
      <w:r>
        <w:t>Marktbreite: BTC-Dominanz, Fear &amp; Greed Index</w:t>
      </w:r>
    </w:p>
    <w:p>
      <w:pPr>
        <w:pStyle w:val="Heading2"/>
      </w:pPr>
      <w:r>
        <w:t>8. Datenquellen</w:t>
      </w:r>
    </w:p>
    <w:p>
      <w:pPr>
        <w:jc w:val="left"/>
      </w:pPr>
      <w:r>
        <w:t xml:space="preserve">Konfiguration in </w:t>
      </w:r>
      <w:r>
        <w:rPr>
          <w:rFonts w:ascii="Consolas" w:hAnsi="Consolas"/>
          <w:color w:val="882222"/>
          <w:sz w:val="18"/>
        </w:rPr>
        <w:t>config.yaml → datenquellen</w:t>
      </w:r>
      <w:r>
        <w:t>.</w:t>
      </w:r>
    </w:p>
    <w:p>
      <w:pPr>
        <w:jc w:val="left"/>
      </w:pPr>
      <w:r>
        <w:rPr>
          <w:b/>
        </w:rPr>
        <w:t>Datenqualität (P-10):</w:t>
      </w:r>
      <w:r>
        <w:t xml:space="preserve"> Jede hier genannte Quelle kann ausfallen oder veraltete Daten liefern (Rate-Limit, Netzwerk, Wartung). Bei Ausfall: letzter bekannter Wert bleibt in der DB, wird in der UI aber mit </w:t>
      </w:r>
      <w:r>
        <w:rPr>
          <w:b/>
        </w:rPr>
        <w:t>Alter/Zeitstempel sichtbar</w:t>
      </w:r>
      <w:r>
        <w:t xml:space="preserve"> dargestellt, nicht kommentarlos als aktuell präsentiert. Exakte „veraltet ab wann"-Schwellen je Datenart sind </w:t>
      </w:r>
      <w:r>
        <w:rPr>
          <w:rFonts w:ascii="Consolas" w:hAnsi="Consolas"/>
          <w:color w:val="882222"/>
          <w:sz w:val="18"/>
        </w:rPr>
        <w:t>[OFFEN]</w:t>
      </w:r>
      <w:r>
        <w:t xml:space="preserve"> (Kap. 16).</w:t>
      </w:r>
    </w:p>
    <w:p>
      <w:pPr>
        <w:jc w:val="left"/>
      </w:pPr>
      <w:r>
        <w:rPr>
          <w:b/>
        </w:rPr>
        <w:t>Prinzip zur Quellenwahl (2026-07-06):</w:t>
      </w:r>
      <w:r>
        <w:t xml:space="preserve"> CoinGecko deckt bewusst nur Krypto- Marktdaten ab. Zwei Fälle sind zu unterscheiden: (1) Wird für eine </w:t>
      </w:r>
      <w:r>
        <w:rPr>
          <w:b/>
        </w:rPr>
        <w:t>tatsächlich erforderliche</w:t>
      </w:r>
      <w:r>
        <w:t xml:space="preserve"> Funktionalität eine Datenart benötigt, die CoinGecko grundsätzlich nicht liefert (z. B. Makro-/Zinsdaten, Sentiment, Funding-Rates) → gezielt eine passende zusätzliche Quelle recherchieren, nicht versuchen, es mit CoinGecko zu erzwingen. (2) Liefert CoinGecko eine Datenart nur eingeschränkt, aber die Einschränkung blockiert </w:t>
      </w:r>
      <w:r>
        <w:rPr>
          <w:b/>
        </w:rPr>
        <w:t>keine</w:t>
      </w:r>
      <w:r>
        <w:t xml:space="preserve"> tatsächlich erforderliche Funktionalität (z. B. echtes Tages-OHLC für ATR — Phase 2 zeigt nur an, entscheidet noch nichts) → eine transparent gekennzeichnete Näherung bevorzugen statt vorschnell eine zweite Quelle einzubauen (siehe P-10-Entscheidung zu ATR/Swing-Highs-Lows). Sobald eine Phase tatsächlich Entscheidungen/Signale auf einer nur genäherten Datenart aufbauen will, ist die Näherung an dieser Stelle neu zu bewerten.</w:t>
      </w:r>
    </w:p>
    <w:p>
      <w:pPr>
        <w:pStyle w:val="ListBullet"/>
      </w:pPr>
      <w:r>
        <w:rPr>
          <w:b/>
        </w:rPr>
        <w:t>Marktdaten (Pflicht):</w:t>
      </w:r>
      <w:r>
        <w:t xml:space="preserve"> CoinGecko. </w:t>
      </w:r>
      <w:r>
        <w:rPr>
          <w:b/>
        </w:rPr>
        <w:t>ERLEDIGT (2026-07-06):</w:t>
      </w:r>
      <w:r>
        <w:t xml:space="preserve"> Anonymer Zugriff (30 Req/Min) erwies sich als unzuverlässig — bei intensiverer Nutzung verhängt CoinGecko längere Sperren, als das dokumentierte Limit vermuten lässt. Optionaler kostenloser </w:t>
      </w:r>
      <w:r>
        <w:rPr>
          <w:b/>
        </w:rPr>
        <w:t>Demo-API-Key</w:t>
      </w:r>
      <w:r>
        <w:t xml:space="preserve"> (100 Req/Min, stabiler) via </w:t>
      </w:r>
      <w:r>
        <w:rPr>
          <w:rFonts w:ascii="Consolas" w:hAnsi="Consolas"/>
          <w:color w:val="882222"/>
          <w:sz w:val="18"/>
        </w:rPr>
        <w:t>COINGECKO_API_KEY</w:t>
      </w:r>
      <w:r>
        <w:t xml:space="preserve"> in </w:t>
      </w:r>
      <w:r>
        <w:rPr>
          <w:rFonts w:ascii="Consolas" w:hAnsi="Consolas"/>
          <w:color w:val="882222"/>
          <w:sz w:val="18"/>
        </w:rPr>
        <w:t>.env</w:t>
      </w:r>
      <w:r>
        <w:t xml:space="preserve"> eingebaut — App funktioniert weiterhin auch ohne Key (Fallback auf 30 Req/Min), ein Key wird aber empfohlen. Kein Widerspruch zu P-8 (betrifft nur Claude/Anthropic). </w:t>
      </w:r>
      <w:r>
        <w:rPr>
          <w:b/>
        </w:rPr>
        <w:t>Wichtige Ergänzung:</w:t>
      </w:r>
      <w:r>
        <w:t xml:space="preserve"> Der Demo-Key erhöht nur das Minuten-Limit — das </w:t>
      </w:r>
      <w:r>
        <w:rPr>
          <w:b/>
        </w:rPr>
        <w:t>Monats-Kontingent bleibt bei 10.000 Calls, mit oder ohne Key</w:t>
      </w:r>
      <w:r>
        <w:t xml:space="preserve">. Ursprünglich geplanter 5-Min-Live-Preis-Takt hätte zusammen mit dem täglichen Historie-Refresh (41 Assets × 2 Währungen) ca. 11.100 Calls/Monat verbraucht — über dem Limit. Deshalb Live-Preis-Takt auf </w:t>
      </w:r>
      <w:r>
        <w:rPr>
          <w:b/>
        </w:rPr>
        <w:t>15 Min</w:t>
      </w:r>
      <w:r>
        <w:t xml:space="preserve"> reduziert (</w:t>
      </w:r>
      <w:r>
        <w:rPr>
          <w:rFonts w:ascii="Consolas" w:hAnsi="Consolas"/>
          <w:color w:val="882222"/>
          <w:sz w:val="18"/>
        </w:rPr>
        <w:t>scheduler/background.py</w:t>
      </w:r>
      <w:r>
        <w:t xml:space="preserve">, </w:t>
      </w:r>
      <w:r>
        <w:rPr>
          <w:rFonts w:ascii="Consolas" w:hAnsi="Consolas"/>
          <w:color w:val="882222"/>
          <w:sz w:val="18"/>
        </w:rPr>
        <w:t>REFRESH_INTERVAL_MINUTES</w:t>
      </w:r>
      <w:r>
        <w:t xml:space="preserve">) → ca. 5.340 Calls/Monat, mit Puffer für Erstimport/ manuelle Aktualisierungen. Staleness-Schwelle entsprechend auf 30 Min angepasst (weiterhin 2× Scheduler-Takt, siehe </w:t>
      </w:r>
      <w:r>
        <w:rPr>
          <w:rFonts w:ascii="Consolas" w:hAnsi="Consolas"/>
          <w:color w:val="882222"/>
          <w:sz w:val="18"/>
        </w:rPr>
        <w:t>ui/formatting.py</w:t>
      </w:r>
      <w:r>
        <w:t xml:space="preserve">). </w:t>
      </w:r>
      <w:r>
        <w:rPr>
          <w:b/>
        </w:rPr>
        <w:t>Nachtrag (2026-07-27, LINK-Vorfall, siehe Regelwerksmanual):</w:t>
      </w:r>
      <w:r>
        <w:t xml:space="preserve"> die obige Rechnung hatte den </w:t>
      </w:r>
      <w:r>
        <w:rPr>
          <w:rFonts w:ascii="Consolas" w:hAnsi="Consolas"/>
          <w:color w:val="882222"/>
          <w:sz w:val="18"/>
        </w:rPr>
        <w:t>/global</w:t>
      </w:r>
      <w:r>
        <w:t xml:space="preserve">-Call (BTC-Dominanz, </w:t>
      </w:r>
      <w:r>
        <w:rPr>
          <w:rFonts w:ascii="Consolas" w:hAnsi="Consolas"/>
          <w:color w:val="882222"/>
          <w:sz w:val="18"/>
        </w:rPr>
        <w:t>api/macro.py:: get_btc_dominance()</w:t>
      </w:r>
      <w:r>
        <w:t xml:space="preserve">) übersehen — er lief bisher ungecacht bei </w:t>
      </w:r>
      <w:r>
        <w:rPr>
          <w:b/>
        </w:rPr>
        <w:t>jeder</w:t>
      </w:r>
      <w:r>
        <w:t xml:space="preserve"> Signal-Generierung mit, nicht nur im Scheduler-Takt. Jetzt auf 1×/UTC-Tag gedeckelt (</w:t>
      </w:r>
      <w:r>
        <w:rPr>
          <w:rFonts w:ascii="Consolas" w:hAnsi="Consolas"/>
          <w:color w:val="882222"/>
          <w:sz w:val="18"/>
        </w:rPr>
        <w:t>agent/krypto/pipeline.py::_update_macro_snapshot()</w:t>
      </w:r>
      <w:r>
        <w:t>), was gleichzeitig das neu eingeführte JIT-Historie-Nachladen (siehe dort) quotenneutral finanziert.</w:t>
      </w:r>
    </w:p>
    <w:p>
      <w:pPr>
        <w:pStyle w:val="ListBullet"/>
      </w:pPr>
      <w:r>
        <w:rPr>
          <w:b/>
        </w:rPr>
        <w:t>Echtes OHLC (ATR, Swing-Highs/-Lows):</w:t>
      </w:r>
      <w:r>
        <w:t xml:space="preserve"> </w:t>
      </w:r>
      <w:r>
        <w:rPr>
          <w:b/>
        </w:rPr>
        <w:t>ERLEDIGT (2026-07-07):</w:t>
      </w:r>
      <w:r>
        <w:t xml:space="preserve"> Kraken liefert echte Kerzendaten (Open/High/Low/Close) über öffentliche Endpunkte — kein Account, kein API-Key, keine Anmeldung nötig, zählt nicht gegen Rate-Limits. Ersetzt die in Phase 2 eingeführte Schlusskurs-Näherung (</w:t>
      </w:r>
      <w:r>
        <w:rPr>
          <w:rFonts w:ascii="Consolas" w:hAnsi="Consolas"/>
          <w:color w:val="882222"/>
          <w:sz w:val="18"/>
        </w:rPr>
        <w:t>atr_close_to_close_proxy</w:t>
      </w:r>
      <w:r>
        <w:t xml:space="preserve">, </w:t>
      </w:r>
      <w:r>
        <w:rPr>
          <w:rFonts w:ascii="Consolas" w:hAnsi="Consolas"/>
          <w:color w:val="882222"/>
          <w:sz w:val="18"/>
        </w:rPr>
        <w:t>swing_highs_lows_close_proxy</w:t>
      </w:r>
      <w:r>
        <w:t>) für alle bei Kraken gelisteten Assets — echtes Wilder's-ATR (</w:t>
      </w:r>
      <w:r>
        <w:rPr>
          <w:rFonts w:ascii="Consolas" w:hAnsi="Consolas"/>
          <w:color w:val="882222"/>
          <w:sz w:val="18"/>
        </w:rPr>
        <w:t>atr_wilder</w:t>
      </w:r>
      <w:r>
        <w:t>) und echtes Williams-Fraktal (</w:t>
      </w:r>
      <w:r>
        <w:rPr>
          <w:rFonts w:ascii="Consolas" w:hAnsi="Consolas"/>
          <w:color w:val="882222"/>
          <w:sz w:val="18"/>
        </w:rPr>
        <w:t>swing_highs_lows_fractal</w:t>
      </w:r>
      <w:r>
        <w:t xml:space="preserve">) in </w:t>
      </w:r>
      <w:r>
        <w:rPr>
          <w:rFonts w:ascii="Consolas" w:hAnsi="Consolas"/>
          <w:color w:val="882222"/>
          <w:sz w:val="18"/>
        </w:rPr>
        <w:t>indicators/calculations.py</w:t>
      </w:r>
      <w:r>
        <w:t xml:space="preserve">, verdrahtet in </w:t>
      </w:r>
      <w:r>
        <w:rPr>
          <w:rFonts w:ascii="Consolas" w:hAnsi="Consolas"/>
          <w:color w:val="882222"/>
          <w:sz w:val="18"/>
        </w:rPr>
        <w:t>ui/charts.py</w:t>
      </w:r>
      <w:r>
        <w:t xml:space="preserve"> (bevorzugt echte Werte, fällt für nicht gelistete Assets automatisch und klar gekennzeichnet auf die Näherung zurück). </w:t>
      </w:r>
      <w:r>
        <w:rPr>
          <w:b/>
        </w:rPr>
        <w:t>Verifizierte Abdeckung (gegen `/0/public/AssetPairs` geprüft, nicht nur BTC/ETH angenommen):</w:t>
      </w:r>
      <w:r>
        <w:t xml:space="preserve"> 35 von 41 Watchlist-Assets haben ein Kraken-Spot-Paar in USD </w:t>
      </w:r>
      <w:r>
        <w:rPr>
          <w:b/>
        </w:rPr>
        <w:t>und</w:t>
      </w:r>
      <w:r>
        <w:t xml:space="preserve"> EUR; 36 von 41 haben zusätzlich Funding-Rate-Daten (Kraken Futures, deckt AZ-1 ab, ohne CoinGlass ab 29 $/Monat zu benötigen). Ohne Kraken-Listing (bleiben bei der Näherung): EURCV (Stablecoin, braucht ohnehin kein OHLC/ATR), KAIA, BRETT, IO, SUPRA, CANTON. Persistiert in eigener Tabelle </w:t>
      </w:r>
      <w:r>
        <w:rPr>
          <w:rFonts w:ascii="Consolas" w:hAnsi="Consolas"/>
          <w:color w:val="882222"/>
          <w:sz w:val="18"/>
        </w:rPr>
        <w:t>price_history_ohlc</w:t>
      </w:r>
      <w:r>
        <w:t xml:space="preserve"> (Schlüssel: Symbol + Währung + Datum, getrennt von der CoinGecko-basierten </w:t>
      </w:r>
      <w:r>
        <w:rPr>
          <w:rFonts w:ascii="Consolas" w:hAnsi="Consolas"/>
          <w:color w:val="882222"/>
          <w:sz w:val="18"/>
        </w:rPr>
        <w:t>price_history</w:t>
      </w:r>
      <w:r>
        <w:t xml:space="preserve">), täglicher Backfill/Refresh über </w:t>
      </w:r>
      <w:r>
        <w:rPr>
          <w:rFonts w:ascii="Consolas" w:hAnsi="Consolas"/>
          <w:color w:val="882222"/>
          <w:sz w:val="18"/>
        </w:rPr>
        <w:t>api/kraken_history.py</w:t>
      </w:r>
      <w:r>
        <w:t xml:space="preserve"> + eigenen Scheduler-Job (</w:t>
      </w:r>
      <w:r>
        <w:rPr>
          <w:rFonts w:ascii="Consolas" w:hAnsi="Consolas"/>
          <w:color w:val="882222"/>
          <w:sz w:val="18"/>
        </w:rPr>
        <w:t>refresh_ohlc_job</w:t>
      </w:r>
      <w:r>
        <w:t xml:space="preserve">, 24 h). </w:t>
      </w:r>
      <w:r>
        <w:rPr>
          <w:b/>
        </w:rPr>
        <w:t>MiCA-Klarstellung:</w:t>
      </w:r>
      <w:r>
        <w:t xml:space="preserve"> Die EU-Regulierung betrifft Kunden-Dienstleistungen (Handel, Verwahrung, Transfer) — nicht rein lesende, öffentliche Marktdaten-APIs. Kraken wurde trotzdem als pragmatischer Standard gewählt (unkompliziert, gut dokumentiert), nicht aus einer unbegründeten Regulierungs-Sorge bei alternativen Börsen.</w:t>
      </w:r>
    </w:p>
    <w:p>
      <w:pPr>
        <w:pStyle w:val="ListBullet"/>
      </w:pPr>
      <w:r>
        <w:rPr>
          <w:b/>
        </w:rPr>
        <w:t>Historische Daten:</w:t>
      </w:r>
      <w:r>
        <w:t xml:space="preserve"> für TA und Backtesting (Kap. 11). Grundsatz: Historie wiederholt sich nicht 1:1, ähnelt sich aber oft — Muster aus der Vergangenheit sollen daher (ab Phase 3, Agent-Logik) als Vergleichsbasis einfließen, nicht nur aktuelle Werte isoliert betrachtet werden. </w:t>
      </w:r>
      <w:r>
        <w:rPr>
          <w:b/>
        </w:rPr>
        <w:t>Klarstellung 365-Tage-Grenze (2026-07-06):</w:t>
      </w:r>
      <w:r>
        <w:t xml:space="preserve"> Gilt gleichermaßen für Charts UND für die Daten, die der Agent (Phase 3) nutzen wird — beide greifen auf dieselbe </w:t>
      </w:r>
      <w:r>
        <w:rPr>
          <w:rFonts w:ascii="Consolas" w:hAnsi="Consolas"/>
          <w:color w:val="882222"/>
          <w:sz w:val="18"/>
        </w:rPr>
        <w:t>price_history</w:t>
      </w:r>
      <w:r>
        <w:t xml:space="preserve">-Tabelle zu, gespeist vom selben CoinGecko-Endpunkt mit derselben Grenze. Kein separater, "besserer" Datentopf für den Agenten. Ist aber </w:t>
      </w:r>
      <w:r>
        <w:rPr>
          <w:b/>
        </w:rPr>
        <w:t>kein</w:t>
      </w:r>
      <w:r>
        <w:t xml:space="preserve"> festes Dauerlimit: Der tägliche Historie-Job löscht nie alte Tage, die DB wächst mit der Zeit über ein Jahr hinaus, solange die App läuft. Einschränkung bleibt aber: </w:t>
      </w:r>
      <w:r>
        <w:rPr>
          <w:b/>
        </w:rPr>
        <w:t>rückwirkend</w:t>
      </w:r>
      <w:r>
        <w:t xml:space="preserve"> weiter als 365 Tage zurückliegende Muster (z. B. Zyklen von 2018/2021) sind mit dem Free/Demo-Tier grundsätzlich nicht nachträglich abrufbar — nur ab jetzt laufend akkumulierbar. Für echte mehrjährige Rückblicke wäre ein kostenpflichtiger CoinGecko-Tier oder eine andere Quelle nötig (spätere Phase, falls gewünscht).</w:t>
      </w:r>
    </w:p>
    <w:p>
      <w:pPr>
        <w:pStyle w:val="ListBullet"/>
      </w:pPr>
      <w:r>
        <w:rPr>
          <w:b/>
        </w:rPr>
        <w:t>Makro:</w:t>
      </w:r>
      <w:r>
        <w:t xml:space="preserve"> Leitzinsen (Fed, EZB, BoJ, PBoC, BoK), Leitbörsen USA/Japan/China/EU/Korea, BTC-Dominanz, Fear &amp; Greed. </w:t>
      </w:r>
      <w:r>
        <w:rPr>
          <w:b/>
        </w:rPr>
        <w:t>ERLEDIGT (2026-07-08):</w:t>
      </w:r>
      <w:r>
        <w:t xml:space="preserve"> Alle Werte sind live in </w:t>
      </w:r>
      <w:r>
        <w:rPr>
          <w:rFonts w:ascii="Consolas" w:hAnsi="Consolas"/>
          <w:color w:val="882222"/>
          <w:sz w:val="18"/>
        </w:rPr>
        <w:t>api/macro.py</w:t>
      </w:r>
      <w:r>
        <w:t>/</w:t>
      </w:r>
      <w:r>
        <w:rPr>
          <w:rFonts w:ascii="Consolas" w:hAnsi="Consolas"/>
          <w:color w:val="882222"/>
          <w:sz w:val="18"/>
        </w:rPr>
        <w:t>agent/krypto/pipeline.py</w:t>
      </w:r>
      <w:r>
        <w:t>/</w:t>
      </w:r>
      <w:r>
        <w:rPr>
          <w:rFonts w:ascii="Consolas" w:hAnsi="Consolas"/>
          <w:color w:val="882222"/>
          <w:sz w:val="18"/>
        </w:rPr>
        <w:t>database/models.py::MacroSnapshot</w:t>
      </w:r>
      <w:r>
        <w:t xml:space="preserve"> implementiert UND end-to-end mit einem echten </w:t>
      </w:r>
      <w:r>
        <w:rPr>
          <w:rFonts w:ascii="Consolas" w:hAnsi="Consolas"/>
          <w:color w:val="882222"/>
          <w:sz w:val="18"/>
        </w:rPr>
        <w:t>FRED_API_KEY</w:t>
      </w:r>
      <w:r>
        <w:t xml:space="preserve"> verifiziert (Fed 3,63 %, EZB 2,25/2,40/2,65 %, M2, CPI, Philly-Fed-ISM-Ersatz, BoJ/BoK, PBoC-LPR 3,0/3,5 % — alle korrekt in der DB gelandet). Für die übrigen Werte (Leitzinsen + Zusatzwunsch vom Nutzer 2026-07-06: </w:t>
      </w:r>
      <w:r>
        <w:rPr>
          <w:b/>
        </w:rPr>
        <w:t>ISM</w:t>
      </w:r>
      <w:r>
        <w:t xml:space="preserve">, </w:t>
      </w:r>
      <w:r>
        <w:rPr>
          <w:b/>
        </w:rPr>
        <w:t>M2-Geldmenge</w:t>
      </w:r>
      <w:r>
        <w:t xml:space="preserve">, </w:t>
      </w:r>
      <w:r>
        <w:rPr>
          <w:b/>
        </w:rPr>
        <w:t>CPI</w:t>
      </w:r>
      <w:r>
        <w:t xml:space="preserve">, </w:t>
      </w:r>
      <w:r>
        <w:rPr>
          <w:b/>
        </w:rPr>
        <w:t>Trueflation</w:t>
      </w:r>
      <w:r>
        <w:t>) wurden am 2026-07-08 alle Quellen live recherchiert und verifiziert (nicht nur angenommen):</w:t>
      </w:r>
    </w:p>
    <w:p>
      <w:pPr>
        <w:pStyle w:val="ListBullet2"/>
      </w:pPr>
      <w:r>
        <w:rPr>
          <w:b/>
        </w:rPr>
        <w:t>FRED (St. Louis Fed) deckt den Grossteil ab, EINE einzige API statt der urspruenglich angenommenen mehreren Notenbank-Systeme:</w:t>
      </w:r>
    </w:p>
    <w:p>
      <w:pPr>
        <w:pStyle w:val="ListBullet3"/>
      </w:pPr>
      <w:r>
        <w:t xml:space="preserve">Fed Funds Rate: Series </w:t>
      </w:r>
      <w:r>
        <w:rPr>
          <w:rFonts w:ascii="Consolas" w:hAnsi="Consolas"/>
          <w:color w:val="882222"/>
          <w:sz w:val="18"/>
        </w:rPr>
        <w:t>FEDFUNDS</w:t>
      </w:r>
    </w:p>
    <w:p>
      <w:pPr>
        <w:pStyle w:val="ListBullet3"/>
      </w:pPr>
      <w:r>
        <w:t xml:space="preserve">M2-Geldmenge: Series </w:t>
      </w:r>
      <w:r>
        <w:rPr>
          <w:rFonts w:ascii="Consolas" w:hAnsi="Consolas"/>
          <w:color w:val="882222"/>
          <w:sz w:val="18"/>
        </w:rPr>
        <w:t>M2SL</w:t>
      </w:r>
    </w:p>
    <w:p>
      <w:pPr>
        <w:pStyle w:val="ListBullet3"/>
      </w:pPr>
      <w:r>
        <w:t xml:space="preserve">CPI (Headline/Core): Series </w:t>
      </w:r>
      <w:r>
        <w:rPr>
          <w:rFonts w:ascii="Consolas" w:hAnsi="Consolas"/>
          <w:color w:val="882222"/>
          <w:sz w:val="18"/>
        </w:rPr>
        <w:t>CPIAUCSL</w:t>
      </w:r>
      <w:r>
        <w:t xml:space="preserve"> / </w:t>
      </w:r>
      <w:r>
        <w:rPr>
          <w:rFonts w:ascii="Consolas" w:hAnsi="Consolas"/>
          <w:color w:val="882222"/>
          <w:sz w:val="18"/>
        </w:rPr>
        <w:t>CPILFESL</w:t>
      </w:r>
    </w:p>
    <w:p>
      <w:pPr>
        <w:pStyle w:val="ListBullet3"/>
      </w:pPr>
      <w:r>
        <w:rPr>
          <w:b/>
        </w:rPr>
        <w:t>EZB-Leitzinsen laufen ebenfalls über FRED</w:t>
      </w:r>
      <w:r>
        <w:t xml:space="preserve"> (nicht über eine separate ECB-SDW- Integration, wie urspruenglich angenommen): </w:t>
      </w:r>
      <w:r>
        <w:rPr>
          <w:rFonts w:ascii="Consolas" w:hAnsi="Consolas"/>
          <w:color w:val="882222"/>
          <w:sz w:val="18"/>
        </w:rPr>
        <w:t>ECBDFR</w:t>
      </w:r>
      <w:r>
        <w:t xml:space="preserve"> (Einlagensatz), </w:t>
      </w:r>
      <w:r>
        <w:rPr>
          <w:rFonts w:ascii="Consolas" w:hAnsi="Consolas"/>
          <w:color w:val="882222"/>
          <w:sz w:val="18"/>
        </w:rPr>
        <w:t>ECBMRRFR</w:t>
      </w:r>
      <w:r>
        <w:t xml:space="preserve"> (Hauptrefinanzierungssatz), </w:t>
      </w:r>
      <w:r>
        <w:rPr>
          <w:rFonts w:ascii="Consolas" w:hAnsi="Consolas"/>
          <w:color w:val="882222"/>
          <w:sz w:val="18"/>
        </w:rPr>
        <w:t>ECBMLFR</w:t>
      </w:r>
      <w:r>
        <w:t xml:space="preserve"> (Spitzenrefinanzierungssatz) — live bis 2026-07-07 verifiziert.</w:t>
      </w:r>
    </w:p>
    <w:p>
      <w:pPr>
        <w:pStyle w:val="ListBullet3"/>
      </w:pPr>
      <w:r>
        <w:t xml:space="preserve">BoJ (Japan): </w:t>
      </w:r>
      <w:r>
        <w:rPr>
          <w:rFonts w:ascii="Consolas" w:hAnsi="Consolas"/>
          <w:color w:val="882222"/>
          <w:sz w:val="18"/>
        </w:rPr>
        <w:t>IRSTCI01JPM156N</w:t>
      </w:r>
      <w:r>
        <w:t xml:space="preserve"> (Tagesgeld-/Interbankensatz, OECD-Quelle), </w:t>
      </w:r>
      <w:r>
        <w:rPr>
          <w:b/>
        </w:rPr>
        <w:t>~2 Monate Meldeverzug</w:t>
      </w:r>
      <w:r>
        <w:t xml:space="preserve"> — eigene, grosszuegigere Staleness-Schwelle noetig.</w:t>
      </w:r>
    </w:p>
    <w:p>
      <w:pPr>
        <w:pStyle w:val="ListBullet3"/>
      </w:pPr>
      <w:r>
        <w:t xml:space="preserve">BoK (Korea): </w:t>
      </w:r>
      <w:r>
        <w:rPr>
          <w:rFonts w:ascii="Consolas" w:hAnsi="Consolas"/>
          <w:color w:val="882222"/>
          <w:sz w:val="18"/>
        </w:rPr>
        <w:t>INTDSRKRM193N</w:t>
      </w:r>
      <w:r>
        <w:t xml:space="preserve"> (Diskontsatz, OECD-Quelle), ebenfalls ~2 Monate Verzug.</w:t>
      </w:r>
    </w:p>
    <w:p>
      <w:pPr>
        <w:pStyle w:val="ListBullet3"/>
      </w:pPr>
      <w:r>
        <w:rPr>
          <w:b/>
        </w:rPr>
        <w:t>ISM Manufacturing PMI ist NICHT ueber FRED verfuegbar</w:t>
      </w:r>
      <w:r>
        <w:t xml:space="preserve"> (2016 wegen Lizenzrechten des Institute for Supply Management entfernt). Ersatzquelle DBnomics (</w:t>
      </w:r>
      <w:r>
        <w:rPr>
          <w:rFonts w:ascii="Consolas" w:hAnsi="Consolas"/>
          <w:color w:val="882222"/>
          <w:sz w:val="18"/>
        </w:rPr>
        <w:t>db.nomics.world</w:t>
      </w:r>
      <w:r>
        <w:t xml:space="preserve">) hat noch Daten, ABER die letzten 4 Monatswerte waren beim Live-Test (2026-07-08) offensichtlich fehlerhaft (PMI ~10-11 statt der ueblichen 40-60er-Spanne) — als Quelle NICHT vertrauenswuerdig ohne eigene Plausibilitaetspruefung. </w:t>
      </w:r>
      <w:r>
        <w:rPr>
          <w:b/>
        </w:rPr>
        <w:t>Empfohlener Ersatz:</w:t>
      </w:r>
      <w:r>
        <w:t xml:space="preserve"> Philadelphia Fed Manufacturing Index, Series </w:t>
      </w:r>
      <w:r>
        <w:rPr>
          <w:rFonts w:ascii="Consolas" w:hAnsi="Consolas"/>
          <w:color w:val="882222"/>
          <w:sz w:val="18"/>
        </w:rPr>
        <w:t>GACDFSA066MSFRBPHI</w:t>
      </w:r>
      <w:r>
        <w:t>, ebenfalls ueber FRED, aktuell (bis Juni 2026 verifiziert), etablierter Fruehindikator, methodisch aehnlich (Diffusionsindex).</w:t>
      </w:r>
    </w:p>
    <w:p>
      <w:pPr>
        <w:pStyle w:val="ListBullet3"/>
      </w:pPr>
      <w:r>
        <w:t>FRED-API: kostenlos, Key wird sofort bei Registrierung vergeben (</w:t>
      </w:r>
      <w:r>
        <w:rPr>
          <w:rFonts w:ascii="Consolas" w:hAnsi="Consolas"/>
          <w:color w:val="882222"/>
          <w:sz w:val="18"/>
        </w:rPr>
        <w:t>fredaccount.stlouisfed.org/apikeys</w:t>
      </w:r>
      <w:r>
        <w:t>), 120 Requests/Minute Limit (fuer unseren Bedarf grosszuegig), Nutzung fuer private/kommerzielle Projekte laut ToS erlaubt.</w:t>
      </w:r>
    </w:p>
    <w:p>
      <w:pPr>
        <w:pStyle w:val="ListBullet2"/>
      </w:pPr>
      <w:r>
        <w:rPr>
          <w:b/>
        </w:rPr>
        <w:t>PBoC (China): automatisierbare Quelle gefunden bei vertiefter Recherche (2026-07-08).</w:t>
      </w:r>
      <w:r>
        <w:t xml:space="preserve"> Amtliche Quelle (chinamoney.com.cn/NIFC) und World Bank/IMF (&gt;1 Jahr Verzug) sowie FRED (</w:t>
      </w:r>
      <w:r>
        <w:rPr>
          <w:rFonts w:ascii="Consolas" w:hAnsi="Consolas"/>
          <w:color w:val="882222"/>
          <w:sz w:val="18"/>
        </w:rPr>
        <w:t>INTDSRCNM193N</w:t>
      </w:r>
      <w:r>
        <w:t xml:space="preserve">, seit Mitte 2025 nicht mehr aktualisiert) bleiben unbrauchbar. </w:t>
      </w:r>
      <w:r>
        <w:rPr>
          <w:b/>
        </w:rPr>
        <w:t>Gefunden:</w:t>
      </w:r>
      <w:r>
        <w:t xml:space="preserve"> die Open-Source-Bibliothek </w:t>
      </w:r>
      <w:r>
        <w:rPr>
          <w:rFonts w:ascii="Consolas" w:hAnsi="Consolas"/>
          <w:color w:val="882222"/>
          <w:sz w:val="18"/>
        </w:rPr>
        <w:t>akshare</w:t>
      </w:r>
      <w:r>
        <w:t xml:space="preserve"> (16,6k GitHub-Stars, aktiv gepflegt, aggregiert chinesische Finanzdaten) nutzt fuer </w:t>
      </w:r>
      <w:r>
        <w:rPr>
          <w:rFonts w:ascii="Consolas" w:hAnsi="Consolas"/>
          <w:color w:val="882222"/>
          <w:sz w:val="18"/>
        </w:rPr>
        <w:t>macro_china_lpr()</w:t>
      </w:r>
      <w:r>
        <w:t xml:space="preserve"> intern den Endpunkt </w:t>
      </w:r>
      <w:r>
        <w:rPr>
          <w:rFonts w:ascii="Consolas" w:hAnsi="Consolas"/>
          <w:color w:val="882222"/>
          <w:sz w:val="18"/>
        </w:rPr>
        <w:t>https://datacenter-web.eastmoney.com/api/data/v1/get</w:t>
      </w:r>
      <w:r>
        <w:t xml:space="preserve"> (Eastmoney, einer der groessten chinesischen Finanzdatenanbieter) mit einem oeffentlichen Token im Query-String — liefert strukturiertes JSON mit LPR1Y/LPR5Y, live getestet: 2026-06-22, 3,0 %/3,5 %, deckt sich mit unabhaengiger News-Recherche. Kein OCR/Scraping noetig. </w:t>
      </w:r>
      <w:r>
        <w:rPr>
          <w:b/>
        </w:rPr>
        <w:t>Integrationsentscheidung:</w:t>
      </w:r>
      <w:r>
        <w:t xml:space="preserve"> direkter, leichtgewichtiger </w:t>
      </w:r>
      <w:r>
        <w:rPr>
          <w:rFonts w:ascii="Consolas" w:hAnsi="Consolas"/>
          <w:color w:val="882222"/>
          <w:sz w:val="18"/>
        </w:rPr>
        <w:t>requests</w:t>
      </w:r>
      <w:r>
        <w:t xml:space="preserve">-Call (wie bei </w:t>
      </w:r>
      <w:r>
        <w:rPr>
          <w:rFonts w:ascii="Consolas" w:hAnsi="Consolas"/>
          <w:color w:val="882222"/>
          <w:sz w:val="18"/>
        </w:rPr>
        <w:t>api/kraken.py</w:t>
      </w:r>
      <w:r>
        <w:t>/</w:t>
      </w:r>
      <w:r>
        <w:rPr>
          <w:rFonts w:ascii="Consolas" w:hAnsi="Consolas"/>
          <w:color w:val="882222"/>
          <w:sz w:val="18"/>
        </w:rPr>
        <w:t>api/groq.py</w:t>
      </w:r>
      <w:r>
        <w:t xml:space="preserve">), NICHT die volle </w:t>
      </w:r>
      <w:r>
        <w:rPr>
          <w:rFonts w:ascii="Consolas" w:hAnsi="Consolas"/>
          <w:color w:val="882222"/>
          <w:sz w:val="18"/>
        </w:rPr>
        <w:t>akshare</w:t>
      </w:r>
      <w:r>
        <w:t xml:space="preserve">-Bibliothek als Dependency (zieht pandas/tqdm/weitere Pakete mit) — der eine Endpunkt reicht. </w:t>
      </w:r>
      <w:r>
        <w:rPr>
          <w:b/>
        </w:rPr>
        <w:t>Wichtiger Vorbehalt (P-10):</w:t>
      </w:r>
      <w:r>
        <w:t xml:space="preserve"> das ist keine offiziell dokumentierte, versionierte API, sondern der interne Endpunkt von Eastmoneys eigener Webseite, den </w:t>
      </w:r>
      <w:r>
        <w:rPr>
          <w:rFonts w:ascii="Consolas" w:hAnsi="Consolas"/>
          <w:color w:val="882222"/>
          <w:sz w:val="18"/>
        </w:rPr>
        <w:t>akshare</w:t>
      </w:r>
      <w:r>
        <w:t xml:space="preserve"> reverse-engineered hat — kann sich ohne Vorankuendigung aendern. Bei Fehlschlag: letzter bekannter Wert bleibt in der DB, mit Alters-Kennzeichnung (wie bei allen anderen Quellen), kein Absturz, keine Fantasiewerte. Da der LPR nur ca. 1×/Monat wechselt, ist das Abfrage-Risiko gering.</w:t>
      </w:r>
    </w:p>
    <w:p>
      <w:pPr>
        <w:pStyle w:val="ListBullet2"/>
      </w:pPr>
      <w:r>
        <w:rPr>
          <w:b/>
        </w:rPr>
        <w:t>Trueflation: verworfen, kein kostenloser API-Zugang.</w:t>
      </w:r>
      <w:r>
        <w:t xml:space="preserve"> Das Web-Dashboard ist mit einem kostenlosen Konto nutzbar (1.200 Credits/90 Tage, Live-Test zeigte Daten mit nur 1 Tag Verzug), aber programmatischer API-Zugang (das, was </w:t>
      </w:r>
      <w:r>
        <w:rPr>
          <w:rFonts w:ascii="Consolas" w:hAnsi="Consolas"/>
          <w:color w:val="882222"/>
          <w:sz w:val="18"/>
        </w:rPr>
        <w:t>api/macro.py</w:t>
      </w:r>
      <w:r>
        <w:t xml:space="preserve"> braeuchte) ist laut eigener Pricing-Seite explizit NICHT in den guenstigen Stufen enthalten, sondern nur in einer separaten, individuell bepreisten "API Access"-Stufe — vom Nutzer am eigenen Konto bestaetigt (API-Keys vorhanden, aber ohne kostenlose Variante beworben). Zusaetzlicher Vorbehalt: Truflations eigener "Echtzeit"-CPI-Wert wich beim Live-Test massiv vom offiziellen BLS-Wert ab (1,79 % vs. 4,20 % YoY) — andere Methodik, muesste bei Nutzung klar gekennzeichnet werden, um nicht wie ein Fehler zu wirken.</w:t>
      </w:r>
    </w:p>
    <w:p>
      <w:pPr>
        <w:pStyle w:val="ListBullet2"/>
      </w:pPr>
      <w:r>
        <w:rPr>
          <w:b/>
        </w:rPr>
        <w:t>Wichtig fuer die spaetere Umsetzung:</w:t>
      </w:r>
      <w:r>
        <w:t xml:space="preserve"> Makro-Daten haben von Natur aus einen viel laengeren Meldeverzug als Krypto-Preise (CPI/M2 ueblicherweise 1-2 Monate, selbst beim Erscheinen brandaktuell). Die bestehende Staleness-Logik (</w:t>
      </w:r>
      <w:r>
        <w:rPr>
          <w:rFonts w:ascii="Consolas" w:hAnsi="Consolas"/>
          <w:color w:val="882222"/>
          <w:sz w:val="18"/>
        </w:rPr>
        <w:t>staleness.py</w:t>
      </w:r>
      <w:r>
        <w:t>, aktuell auf Minuten/Tage fuer Preise/Historie ausgelegt) braucht fuer Makro-Daten eigene, deutlich groessere Schwellen — sonst wuerden korrekte, aktuelle FRED-Daten faelschlich als "veraltet" markiert.</w:t>
      </w:r>
    </w:p>
    <w:p>
      <w:pPr>
        <w:pStyle w:val="ListBullet"/>
      </w:pPr>
      <w:r>
        <w:rPr>
          <w:b/>
        </w:rPr>
        <w:t>Sentiment (niedrig gewichtet):</w:t>
      </w:r>
      <w:r>
        <w:t xml:space="preserve"> X/Twitter (kuratierte Whitelist) und YouTube (ausgewählte Kanäle). </w:t>
      </w:r>
      <w:r>
        <w:rPr>
          <w:rFonts w:ascii="Consolas" w:hAnsi="Consolas"/>
          <w:color w:val="882222"/>
          <w:sz w:val="18"/>
        </w:rPr>
        <w:t>[OFFEN]</w:t>
      </w:r>
      <w:r>
        <w:t xml:space="preserve"> API-Kosten/ToS/Machbarkeit, spätere Phase. Sentiment </w:t>
      </w:r>
      <w:r>
        <w:rPr>
          <w:b/>
        </w:rPr>
        <w:t>nie</w:t>
      </w:r>
      <w:r>
        <w:t xml:space="preserve"> als alleiniger Signalgeber.</w:t>
      </w:r>
    </w:p>
    <w:p>
      <w:pPr>
        <w:pStyle w:val="ListBullet"/>
      </w:pPr>
      <w:r>
        <w:rPr>
          <w:b/>
        </w:rPr>
        <w:t>Globale M2-Geldmenge (Eurozone/China/Japan): ERLEDIGT (2026-07-08).</w:t>
      </w:r>
      <w:r>
        <w:t xml:space="preserve"> Ergänzt die US-M2 (</w:t>
      </w:r>
      <w:r>
        <w:rPr>
          <w:rFonts w:ascii="Consolas" w:hAnsi="Consolas"/>
          <w:color w:val="882222"/>
          <w:sz w:val="18"/>
        </w:rPr>
        <w:t>M2SL</w:t>
      </w:r>
      <w:r>
        <w:t xml:space="preserve"> über FRED) um eine echte globale Liquiditätssicht, </w:t>
      </w:r>
      <w:r>
        <w:rPr>
          <w:rFonts w:ascii="Consolas" w:hAnsi="Consolas"/>
          <w:color w:val="882222"/>
          <w:sz w:val="18"/>
        </w:rPr>
        <w:t>api/onchain.py</w:t>
      </w:r>
      <w:r>
        <w:t xml:space="preserve"> + </w:t>
      </w:r>
      <w:r>
        <w:rPr>
          <w:rFonts w:ascii="Consolas" w:hAnsi="Consolas"/>
          <w:color w:val="882222"/>
          <w:sz w:val="18"/>
        </w:rPr>
        <w:t>agent/cycles.py</w:t>
      </w:r>
      <w:r>
        <w:t xml:space="preserve">-Nachbarmodul-Muster. Eurozone über die EZB-eigene SDMX-API, China über denselben Eastmoney-Endpunkt wie der PBoC-LPR. </w:t>
      </w:r>
      <w:r>
        <w:rPr>
          <w:b/>
        </w:rPr>
        <w:t>Japan ist ein HTML-Scraping- Fallback</w:t>
      </w:r>
      <w:r>
        <w:t xml:space="preserve">, keine echte API: die 2026 gestartete BoJ-JSON-API ließ sich trotz ~30 Versuchen (Query-Parameter, POST-Body-Varianten, ~15 Feldnamen) nicht ansteuern — selbst </w:t>
      </w:r>
      <w:r>
        <w:rPr>
          <w:rFonts w:ascii="Consolas" w:hAnsi="Consolas"/>
          <w:color w:val="882222"/>
          <w:sz w:val="18"/>
        </w:rPr>
        <w:t>bojpy</w:t>
      </w:r>
      <w:r>
        <w:t xml:space="preserve"> (einzige gefundene Community-Bibliothek) scraped aus demselben Grund HTML. Der Scraper sucht die M2-Spalte über ihren Namen (nicht per festem Index) und wirft bei Strukturänderung einen klaren Fehler statt eines falschen Werts. Alle drei live verifiziert (Mai 2026). </w:t>
      </w:r>
      <w:r>
        <w:rPr>
          <w:b/>
        </w:rPr>
        <w:t>Korea-M2 pausiert</w:t>
      </w:r>
      <w:r>
        <w:t xml:space="preserve"> (5. der ursprünglich 5 Notenbanken Fed/EZB/BoJ/PBoC/BoK) — Quelle ist die Bank-of-Korea-eigene ECOS-API, URL-Format bereits recherichert, braucht aber einen registrierten Key UND die Registrierung selbst ist bis 24.07.2026 ausgesetzt (die Bank of Korea fährt vom 29.06.–24.07.2026 einen offiziellen Penetrationstest/"Mock Hack" gegen ECOS, Instabilität ist laut eigener Ankündigung erwartet — SSL-Zertifikat bei eigener Prüfung echt und gültig, kein Hinweis auf Kompromittierung). Revisit nach dem 24.07.2026.</w:t>
      </w:r>
    </w:p>
    <w:p>
      <w:pPr>
        <w:pStyle w:val="ListBullet"/>
      </w:pPr>
      <w:r>
        <w:rPr>
          <w:b/>
        </w:rPr>
        <w:t>On-Chain-Metriken (MVRV/NUPL/Realized Price): ERLEDIGT (2026-07-08).</w:t>
      </w:r>
      <w:r>
        <w:t xml:space="preserve"> </w:t>
      </w:r>
      <w:r>
        <w:rPr>
          <w:rFonts w:ascii="Consolas" w:hAnsi="Consolas"/>
          <w:color w:val="882222"/>
          <w:sz w:val="18"/>
        </w:rPr>
        <w:t>api/onchain.py</w:t>
      </w:r>
      <w:r>
        <w:t xml:space="preserve"> nutzt die </w:t>
      </w:r>
      <w:r>
        <w:rPr>
          <w:b/>
        </w:rPr>
        <w:t>CoinMetrics Community API</w:t>
      </w:r>
      <w:r>
        <w:t xml:space="preserve"> (</w:t>
      </w:r>
      <w:r>
        <w:rPr>
          <w:rFonts w:ascii="Consolas" w:hAnsi="Consolas"/>
          <w:color w:val="882222"/>
          <w:sz w:val="18"/>
        </w:rPr>
        <w:t>community-api.coinmetrics.io</w:t>
      </w:r>
      <w:r>
        <w:t xml:space="preserve">, kein API-Key nötig, Rate-Limit 10 Req/6-Sek.- Fenster) für </w:t>
      </w:r>
      <w:r>
        <w:rPr>
          <w:rFonts w:ascii="Consolas" w:hAnsi="Consolas"/>
          <w:color w:val="882222"/>
          <w:sz w:val="18"/>
        </w:rPr>
        <w:t>CapMVRVCur</w:t>
      </w:r>
      <w:r>
        <w:t xml:space="preserve"> (MVRV), </w:t>
      </w:r>
      <w:r>
        <w:rPr>
          <w:rFonts w:ascii="Consolas" w:hAnsi="Consolas"/>
          <w:color w:val="882222"/>
          <w:sz w:val="18"/>
        </w:rPr>
        <w:t>CapMrktCurUSD</w:t>
      </w:r>
      <w:r>
        <w:t xml:space="preserve">, </w:t>
      </w:r>
      <w:r>
        <w:rPr>
          <w:rFonts w:ascii="Consolas" w:hAnsi="Consolas"/>
          <w:color w:val="882222"/>
          <w:sz w:val="18"/>
        </w:rPr>
        <w:t>SplyCur</w:t>
      </w:r>
      <w:r>
        <w:t xml:space="preserve">, </w:t>
      </w:r>
      <w:r>
        <w:rPr>
          <w:rFonts w:ascii="Consolas" w:hAnsi="Consolas"/>
          <w:color w:val="882222"/>
          <w:sz w:val="18"/>
        </w:rPr>
        <w:t>PriceUSD</w:t>
      </w:r>
      <w:r>
        <w:t xml:space="preserve">. NUPL und Realized Price/-Cap sind dort selbst nicht frei ("forbidden" bei Live-Test), werden aber </w:t>
      </w:r>
      <w:r>
        <w:rPr>
          <w:b/>
        </w:rPr>
        <w:t>mathematisch exakt</w:t>
      </w:r>
      <w:r>
        <w:t xml:space="preserve"> hergeleitet (keine Näherung): </w:t>
      </w:r>
      <w:r>
        <w:rPr>
          <w:rFonts w:ascii="Consolas" w:hAnsi="Consolas"/>
          <w:color w:val="882222"/>
          <w:sz w:val="18"/>
        </w:rPr>
        <w:t>NUPL = 1 − 1/MVRV</w:t>
      </w:r>
      <w:r>
        <w:t xml:space="preserve">, </w:t>
      </w:r>
      <w:r>
        <w:rPr>
          <w:rFonts w:ascii="Consolas" w:hAnsi="Consolas"/>
          <w:color w:val="882222"/>
          <w:sz w:val="18"/>
        </w:rPr>
        <w:t>RealizedCap = MarketCap/MVRV</w:t>
      </w:r>
      <w:r>
        <w:t xml:space="preserve">, </w:t>
      </w:r>
      <w:r>
        <w:rPr>
          <w:rFonts w:ascii="Consolas" w:hAnsi="Consolas"/>
          <w:color w:val="882222"/>
          <w:sz w:val="18"/>
        </w:rPr>
        <w:t>RealizedPrice = RealizedCap/Supply</w:t>
      </w:r>
      <w:r>
        <w:t xml:space="preserve">. Live verifiziert: MVRV 1,196, NUPL 0,164, Realized Price 53.046 $ vs. Kurs 63.458 $ — intern konsistent. </w:t>
      </w:r>
      <w:r>
        <w:rPr>
          <w:b/>
        </w:rPr>
        <w:t>Wichtig:</w:t>
      </w:r>
      <w:r>
        <w:t xml:space="preserve"> die API kennt keinen </w:t>
      </w:r>
      <w:r>
        <w:rPr>
          <w:rFonts w:ascii="Consolas" w:hAnsi="Consolas"/>
          <w:color w:val="882222"/>
          <w:sz w:val="18"/>
        </w:rPr>
        <w:t>order</w:t>
      </w:r>
      <w:r>
        <w:t xml:space="preserve">-Parameter (Standard ist aufsteigend nach Zeit) — </w:t>
      </w:r>
      <w:r>
        <w:rPr>
          <w:rFonts w:ascii="Consolas" w:hAnsi="Consolas"/>
          <w:color w:val="882222"/>
          <w:sz w:val="18"/>
        </w:rPr>
        <w:t>page_size</w:t>
      </w:r>
      <w:r>
        <w:t xml:space="preserve"> mit Puffer abfragen und den letzten Eintrag nehmen, nicht </w:t>
      </w:r>
      <w:r>
        <w:rPr>
          <w:rFonts w:ascii="Consolas" w:hAnsi="Consolas"/>
          <w:color w:val="882222"/>
          <w:sz w:val="18"/>
        </w:rPr>
        <w:t>page_size=1</w:t>
      </w:r>
      <w:r>
        <w:t xml:space="preserve">. </w:t>
      </w:r>
      <w:r>
        <w:rPr>
          <w:b/>
        </w:rPr>
        <w:t>SOPR wurde endgültig verworfen</w:t>
      </w:r>
      <w:r>
        <w:t xml:space="preserve"> (vier Anbieter geprüft: BGeometrics, CoinMetrics, Glassnode, CryptoQuant zeigen alle dasselbe Muster — frei im Dashboard, API nur ab Professional-/Premium-Stufe; strukturell nicht aus Bestandsgrößen wie MVRV herleitbar, da Transaktions-Ebene-Daten nötig). Kein Revisit-Trigger.</w:t>
      </w:r>
    </w:p>
    <w:p>
      <w:pPr>
        <w:pStyle w:val="ListBullet"/>
      </w:pPr>
      <w:r>
        <w:rPr>
          <w:b/>
        </w:rPr>
        <w:t>BTC-Log-Regression-Risk-Modell: ERLEDIGT (2026-07-08).</w:t>
      </w:r>
      <w:r>
        <w:t xml:space="preserve"> </w:t>
      </w:r>
      <w:r>
        <w:rPr>
          <w:rFonts w:ascii="Consolas" w:hAnsi="Consolas"/>
          <w:color w:val="882222"/>
          <w:sz w:val="18"/>
        </w:rPr>
        <w:t>indicators/calculations.py::compute_btc_log_regression_risk()</w:t>
      </w:r>
      <w:r>
        <w:t xml:space="preserve"> — Log-Log-lineare Regression (Power-Law) über die gesamte BTC-Historie seit Genesis (2009-01-03), liefert Abweichung vom Regressions-Trend in Standardabweichungen + einen Risiko-Wert 0–1. Bewusst </w:t>
      </w:r>
      <w:r>
        <w:rPr>
          <w:b/>
        </w:rPr>
        <w:t>nicht</w:t>
      </w:r>
      <w:r>
        <w:t xml:space="preserve"> die Replikation einer kommerziellen proprietären Formel, sondern ein eigenes, einfaches statistisches Modell. Historie-Beschaffung brauchte eine eigene Recherche: CoinGecko (365-Tage-Grenze, live bestätigt), Kraken (720-Kerzen-Hardlimit, live bestätigt mit </w:t>
      </w:r>
      <w:r>
        <w:rPr>
          <w:rFonts w:ascii="Consolas" w:hAnsi="Consolas"/>
          <w:color w:val="882222"/>
          <w:sz w:val="18"/>
        </w:rPr>
        <w:t>since=2015</w:t>
      </w:r>
      <w:r>
        <w:t xml:space="preserve"> getestet) reichen beide nicht — </w:t>
      </w:r>
      <w:r>
        <w:rPr>
          <w:b/>
        </w:rPr>
        <w:t>Blockchain.com's Charts-API liefert die volle Historie seit Genesis</w:t>
      </w:r>
      <w:r>
        <w:t>, kostenlos, kein Key. Live gegen vier historische Extrempunkte (2017/2018/2021/2022 Top/Bottom) geprüft — alle Richtungen korrekt.</w:t>
      </w:r>
    </w:p>
    <w:p>
      <w:pPr>
        <w:pStyle w:val="ListBullet"/>
      </w:pPr>
      <w:r>
        <w:rPr>
          <w:b/>
        </w:rPr>
        <w:t>On-Chain Exchange-Reserven/Stablecoin-Supply: ERLEDIGT (2026-07-08).</w:t>
      </w:r>
      <w:r>
        <w:t xml:space="preserve"> </w:t>
      </w:r>
      <w:r>
        <w:rPr>
          <w:rFonts w:ascii="Consolas" w:hAnsi="Consolas"/>
          <w:color w:val="882222"/>
          <w:sz w:val="18"/>
        </w:rPr>
        <w:t>api/onchain.py::get_btc_exchange_flows()</w:t>
      </w:r>
      <w:r>
        <w:t xml:space="preserve"> nutzt CoinMetrics (</w:t>
      </w:r>
      <w:r>
        <w:rPr>
          <w:rFonts w:ascii="Consolas" w:hAnsi="Consolas"/>
          <w:color w:val="882222"/>
          <w:sz w:val="18"/>
        </w:rPr>
        <w:t>FlowInExNtv</w:t>
      </w:r>
      <w:r>
        <w:t>/</w:t>
      </w:r>
      <w:r>
        <w:rPr>
          <w:rFonts w:ascii="Consolas" w:hAnsi="Consolas"/>
          <w:color w:val="882222"/>
          <w:sz w:val="18"/>
        </w:rPr>
        <w:t>FlowOutExNtv</w:t>
      </w:r>
      <w:r>
        <w:t xml:space="preserve">) für Netto-Exchange-Flow (Zufluss = potenzieller Verkaufsdruck, Abfluss = Akkumulation/Self-Custody). </w:t>
      </w:r>
      <w:r>
        <w:rPr>
          <w:rFonts w:ascii="Consolas" w:hAnsi="Consolas"/>
          <w:color w:val="882222"/>
          <w:sz w:val="18"/>
        </w:rPr>
        <w:t>api/onchain.py::get_stablecoin_supply()</w:t>
      </w:r>
      <w:r>
        <w:t xml:space="preserve"> nutzt DefiLlama (</w:t>
      </w:r>
      <w:r>
        <w:rPr>
          <w:rFonts w:ascii="Consolas" w:hAnsi="Consolas"/>
          <w:color w:val="882222"/>
          <w:sz w:val="18"/>
        </w:rPr>
        <w:t>stablecoins.llama.fi</w:t>
      </w:r>
      <w:r>
        <w:t>, kein Key) für USDT/USDC-Gesamt-Supply (wachsende Stablecoin-Supply gilt als "trockenes Pulver" am Seitenrand). Beide kostenlos, live verifiziert.</w:t>
      </w:r>
    </w:p>
    <w:p>
      <w:pPr>
        <w:pStyle w:val="ListBullet"/>
      </w:pPr>
      <w:r>
        <w:rPr>
          <w:b/>
        </w:rPr>
        <w:t>Derivate (Open Interest/Long-Short-Ratio): ERLEDIGT (2026-07-08).</w:t>
      </w:r>
      <w:r>
        <w:t xml:space="preserve"> Neues Modul </w:t>
      </w:r>
      <w:r>
        <w:rPr>
          <w:rFonts w:ascii="Consolas" w:hAnsi="Consolas"/>
          <w:color w:val="882222"/>
          <w:sz w:val="18"/>
        </w:rPr>
        <w:t>api/derivatives.py</w:t>
      </w:r>
      <w:r>
        <w:t xml:space="preserve"> — Open Interest von Binance, Bybit und OKX (Diversifikation über drei Börsen statt Einzelquelle), Long-Short-Ratio von Binance. Alle öffentliche Endpunkte, kein Key nötig. Ergänzt die bereits vorhandenen Kraken-Funding-Rates (Kap. 8, AZ-1-Heuristik) um eine breitere Derivate-Sicht.</w:t>
      </w:r>
    </w:p>
    <w:p>
      <w:pPr>
        <w:pStyle w:val="ListBullet"/>
      </w:pPr>
      <w:r>
        <w:rPr>
          <w:b/>
        </w:rPr>
        <w:t>Ereignis-Kalender (FOMC-Termine + US-Präsidentschaftszyklus): ERLEDIGT (2026-07-08).</w:t>
      </w:r>
      <w:r>
        <w:t xml:space="preserve"> Neues Modul </w:t>
      </w:r>
      <w:r>
        <w:rPr>
          <w:rFonts w:ascii="Consolas" w:hAnsi="Consolas"/>
          <w:color w:val="882222"/>
          <w:sz w:val="18"/>
        </w:rPr>
        <w:t>agent/cycles.py</w:t>
      </w:r>
      <w:r>
        <w:t xml:space="preserve">, bewusst getrennt von den übrigen </w:t>
      </w:r>
      <w:r>
        <w:rPr>
          <w:rFonts w:ascii="Consolas" w:hAnsi="Consolas"/>
          <w:color w:val="882222"/>
          <w:sz w:val="18"/>
        </w:rPr>
        <w:t>api/*.py</w:t>
      </w:r>
      <w:r>
        <w:t xml:space="preserve">-Modulen, da </w:t>
      </w:r>
      <w:r>
        <w:rPr>
          <w:b/>
        </w:rPr>
        <w:t>keine</w:t>
      </w:r>
      <w:r>
        <w:t xml:space="preserve"> Live-API nötig ist: </w:t>
      </w:r>
      <w:r>
        <w:rPr>
          <w:rFonts w:ascii="Consolas" w:hAnsi="Consolas"/>
          <w:color w:val="882222"/>
          <w:sz w:val="18"/>
        </w:rPr>
        <w:t>FOMC_MEETING_DATES_2026</w:t>
      </w:r>
      <w:r>
        <w:t xml:space="preserve"> ist eine statische, öffentlich Jahre im Voraus veröffentlichte Liste (federalreserve.gov/monetarypolicy/fomccalendars.htm, live verifiziert) — braucht </w:t>
      </w:r>
      <w:r>
        <w:rPr>
          <w:b/>
        </w:rPr>
        <w:t>jährliche manuelle Pflege</w:t>
      </w:r>
      <w:r>
        <w:t>, kein automatischer Abruf. Der Präsidentschaftszyklus-Kontext (</w:t>
      </w:r>
      <w:r>
        <w:rPr>
          <w:rFonts w:ascii="Consolas" w:hAnsi="Consolas"/>
          <w:color w:val="882222"/>
          <w:sz w:val="18"/>
        </w:rPr>
        <w:t>get_presidential_cycle_context()</w:t>
      </w:r>
      <w:r>
        <w:t xml:space="preserve">) ist reine Datumsrechnung (US-Wahlen sind laut Verfassung immer im November eines durch 4 teilbaren Jahres) mit einer deskriptiven historischen Tendenz je Zyklusjahr (Jahr 1 schwächstes, Jahr 3 stärkstes) — </w:t>
      </w:r>
      <w:r>
        <w:rPr>
          <w:b/>
        </w:rPr>
        <w:t>explizit keine Prognose-Garantie</w:t>
      </w:r>
      <w:r>
        <w:t>, nur Kontext-Information für Groq. Ein zunächst mit erwogener FRED-Release-Calendar-Weg (</w:t>
      </w:r>
      <w:r>
        <w:rPr>
          <w:rFonts w:ascii="Consolas" w:hAnsi="Consolas"/>
          <w:color w:val="882222"/>
          <w:sz w:val="18"/>
        </w:rPr>
        <w:t>release_id=101</w:t>
      </w:r>
      <w:r>
        <w:t xml:space="preserve">, "FOMC Press Release") erwies sich als Fehlspur: lieferte ~187 tägliche Pseudo-Termine statt der ~8 echten Jahressitzungen. </w:t>
      </w:r>
      <w:r>
        <w:rPr>
          <w:b/>
        </w:rPr>
        <w:t>Noch nicht verdrahtet</w:t>
      </w:r>
      <w:r>
        <w:t xml:space="preserve"> — reine Datenschicht, gleiches "Datensicht vor Nutzung"-Muster wie der Rest dieses Abschnitts. Weitere Ereignistypen (NFP/CPI-Release-Termine, US-Wahltermine selbst, Schuldenobergrenze) wurden bewusst </w:t>
      </w:r>
      <w:r>
        <w:rPr>
          <w:b/>
        </w:rPr>
        <w:t>nicht</w:t>
      </w:r>
      <w:r>
        <w:t xml:space="preserve"> in dieser Slice ergänzt (Umfang als "kleinerer Punkt" begrenzt) — bei Bedarf später erweiterbar, gleiches statisches Muster.</w:t>
      </w:r>
    </w:p>
    <w:p>
      <w:pPr>
        <w:pStyle w:val="ListBullet"/>
      </w:pPr>
      <w:r>
        <w:rPr>
          <w:b/>
        </w:rPr>
        <w:t>Spot-ETF-Flows (IBIT/FBTC/ARKB/BITB/GBTC etc.) — offen, bedingt pausiert (2026-07-08).</w:t>
      </w:r>
      <w:r>
        <w:t xml:space="preserve"> Mehrere echte Blockaden gefunden: Farside Investors durch Cloudflare-Bot-Schutz blockiert; bitbo.io lädt Flow-Daten per JavaScript nach (kein statischer Endpunkt); SoSoValue ohne dokumentierte freie API; CoinGlass kostenpflichtig; Dune Analytics API-Zugang im Gratis-Tier unklar. Eine Eigenkonstruktion über Shares-Outstanding-Änderungen (Yahoo Finance/Alpha Vantage) wäre technisch möglich, aber deutlich komplexer. </w:t>
      </w:r>
      <w:r>
        <w:rPr>
          <w:b/>
        </w:rPr>
        <w:t>Nutzer-Bedingung:</w:t>
      </w:r>
      <w:r>
        <w:t xml:space="preserve"> nur weiterverfolgen, falls sich zeigt, dass diese Werte für die Agent-Entscheidungen essenziell sind.</w:t>
      </w:r>
    </w:p>
    <w:p>
      <w:pPr>
        <w:pStyle w:val="ListBullet"/>
      </w:pPr>
      <w:r>
        <w:rPr>
          <w:b/>
        </w:rPr>
        <w:t>Trueflation — verworfen (2026-07-08).</w:t>
      </w:r>
      <w:r>
        <w:t xml:space="preserve"> Kein kostenloser API-Zugang (nur kostenpflichtige "API Access"-Stufe), Web-Dashboard ist kein Ersatz für </w:t>
      </w:r>
      <w:r>
        <w:rPr>
          <w:rFonts w:ascii="Consolas" w:hAnsi="Consolas"/>
          <w:color w:val="882222"/>
          <w:sz w:val="18"/>
        </w:rPr>
        <w:t>api/macro.py</w:t>
      </w:r>
      <w:r>
        <w:t>. Zusätzlich wich der eigene "Echtzeit"-CPI-Wert beim Live-Test massiv vom offiziellen BLS-Wert ab (1,79 % vs. 4,20 % YoY). Revisit falls ein echtes Gratis-API-Tier eingeführt wird.</w:t>
      </w:r>
    </w:p>
    <w:p>
      <w:pPr>
        <w:jc w:val="left"/>
      </w:pPr>
      <w:r>
        <w:rPr>
          <w:b/>
        </w:rPr>
        <w:t>Wichtige Klarstellung zu allen Punkten oben:</w:t>
      </w:r>
      <w:r>
        <w:t xml:space="preserve"> "ERLEDIGT" heißt hier ausschließlich die </w:t>
      </w:r>
      <w:r>
        <w:rPr>
          <w:b/>
        </w:rPr>
        <w:t>Datenbeschaffung</w:t>
      </w:r>
      <w:r>
        <w:t xml:space="preserve">. Ob/wie diese Werte tatsächlich in </w:t>
      </w:r>
      <w:r>
        <w:rPr>
          <w:rFonts w:ascii="Consolas" w:hAnsi="Consolas"/>
          <w:color w:val="882222"/>
          <w:sz w:val="18"/>
        </w:rPr>
        <w:t>agent/krypto/regime.py</w:t>
      </w:r>
      <w:r>
        <w:t xml:space="preserve"> oder den Groq-Prompt (</w:t>
      </w:r>
      <w:r>
        <w:rPr>
          <w:rFonts w:ascii="Consolas" w:hAnsi="Consolas"/>
          <w:color w:val="882222"/>
          <w:sz w:val="18"/>
        </w:rPr>
        <w:t>agent/krypto/analyst.py::build_facts()</w:t>
      </w:r>
      <w:r>
        <w:t>) einfließen, ist ein separates, weiterhin offenes Thema (Kap. 16).</w:t>
      </w:r>
    </w:p>
    <w:p>
      <w:pPr>
        <w:jc w:val="left"/>
      </w:pPr>
      <w:r>
        <w:rPr>
          <w:b/>
        </w:rPr>
        <w:t>Staleness-Schwellen für Makro-/On-Chain-Daten: ERLEDIGT (2026-07-08).</w:t>
      </w:r>
      <w:r>
        <w:t xml:space="preserve"> </w:t>
      </w:r>
      <w:r>
        <w:rPr>
          <w:rFonts w:ascii="Consolas" w:hAnsi="Consolas"/>
          <w:color w:val="882222"/>
          <w:sz w:val="18"/>
        </w:rPr>
        <w:t>staleness.py::is_macro_value_stale()</w:t>
      </w:r>
      <w:r>
        <w:t xml:space="preserve"> mit vier Kategorien: Zinsen/Wirtschaftsdaten 60 Tage (Notenbank-Sitzungsrhythmus/Meldeverzug), On-Chain 4 Tage, bestehende BTC-Dominanz/Fear&amp;Greed (</w:t>
      </w:r>
      <w:r>
        <w:rPr>
          <w:rFonts w:ascii="Consolas" w:hAnsi="Consolas"/>
          <w:color w:val="882222"/>
          <w:sz w:val="18"/>
        </w:rPr>
        <w:t>krypto_makro</w:t>
      </w:r>
      <w:r>
        <w:t xml:space="preserve">) 2 Tage. </w:t>
      </w:r>
      <w:r>
        <w:rPr>
          <w:b/>
        </w:rPr>
        <w:t>Bekannte Einschränkung, bewusst nicht gelöst:</w:t>
      </w:r>
      <w:r>
        <w:t xml:space="preserve"> </w:t>
      </w:r>
      <w:r>
        <w:rPr>
          <w:rFonts w:ascii="Consolas" w:hAnsi="Consolas"/>
          <w:color w:val="882222"/>
          <w:sz w:val="18"/>
        </w:rPr>
        <w:t>fetched_at</w:t>
      </w:r>
      <w:r>
        <w:t xml:space="preserve"> ist ein Zeitstempel fürs ganze Zeilen-Upsert (COALESCE-Merge in </w:t>
      </w:r>
      <w:r>
        <w:rPr>
          <w:rFonts w:ascii="Consolas" w:hAnsi="Consolas"/>
          <w:color w:val="882222"/>
          <w:sz w:val="18"/>
        </w:rPr>
        <w:t>agent/krypto/pipeline.py::_update_macro_snapshot</w:t>
      </w:r>
      <w:r>
        <w:t>), nicht pro Feld — echte feldgenaue Frische bräuchte eine Schema-Erweiterung (pro Feld ein eigenes "zuletzt erfolgreich aktualisiert"). Noch nicht in UI/Facts verdrahtet.</w:t>
      </w:r>
    </w:p>
    <w:p>
      <w:pPr>
        <w:pStyle w:val="Heading2"/>
      </w:pPr>
      <w:r>
        <w:t>9. Funktionen in der Oberfläche (UI)</w:t>
      </w:r>
    </w:p>
    <w:p>
      <w:pPr>
        <w:jc w:val="left"/>
      </w:pPr>
      <w:r>
        <w:t>Start mit Kryptowährungen, später erweiterbar auf Aktien, ETF, Rohstoffe.</w:t>
      </w:r>
    </w:p>
    <w:p>
      <w:pPr>
        <w:pStyle w:val="ListBullet"/>
      </w:pPr>
      <w:r>
        <w:rPr>
          <w:b/>
        </w:rPr>
        <w:t>U-1</w:t>
      </w:r>
      <w:r>
        <w:t xml:space="preserve"> Dashboard: Portfolio-Wert, P&amp;L, Drawdown, Cash-Quote, Marktregime-Ampel — Geldwerte in </w:t>
      </w:r>
      <w:r>
        <w:rPr>
          <w:b/>
        </w:rPr>
        <w:t>USD und EUR</w:t>
      </w:r>
      <w:r>
        <w:t xml:space="preserve"> (P-9), veraltete Werte sichtbar markiert (P-10).</w:t>
      </w:r>
    </w:p>
    <w:p>
      <w:pPr>
        <w:pStyle w:val="ListBullet"/>
      </w:pPr>
      <w:r>
        <w:rPr>
          <w:b/>
        </w:rPr>
        <w:t>U-2</w:t>
      </w:r>
      <w:r>
        <w:t xml:space="preserve"> Watchlist mit Live-Preisen (</w:t>
      </w:r>
      <w:r>
        <w:rPr>
          <w:b/>
        </w:rPr>
        <w:t>USD und EUR</w:t>
      </w:r>
      <w:r>
        <w:t>, P-9) + Asset-Risiko-Score; Preis-Zeitstempel/Alter sichtbar, veraltete Werte optisch markiert (P-10).</w:t>
      </w:r>
    </w:p>
    <w:p>
      <w:pPr>
        <w:pStyle w:val="ListBullet"/>
      </w:pPr>
      <w:r>
        <w:rPr>
          <w:b/>
        </w:rPr>
        <w:t>U-3</w:t>
      </w:r>
      <w:r>
        <w:t xml:space="preserve"> Chart-Ansicht je Asset mit Indikatoren + Forecast-Szenario.</w:t>
      </w:r>
    </w:p>
    <w:p>
      <w:pPr>
        <w:pStyle w:val="ListBullet"/>
      </w:pPr>
      <w:r>
        <w:rPr>
          <w:b/>
        </w:rPr>
        <w:t>U-4</w:t>
      </w:r>
      <w:r>
        <w:t xml:space="preserve"> Signal-/Empfehlungsansicht im Format P-5 (kurz + lang, Geldwerte in USD+EUR).</w:t>
      </w:r>
    </w:p>
    <w:p>
      <w:pPr>
        <w:pStyle w:val="ListBullet"/>
      </w:pPr>
      <w:r>
        <w:rPr>
          <w:b/>
        </w:rPr>
        <w:t>U-5</w:t>
      </w:r>
      <w:r>
        <w:t xml:space="preserve"> Strategie-Auswahl je Asset + Vorschlag „beste Strategie jetzt".</w:t>
      </w:r>
    </w:p>
    <w:p>
      <w:pPr>
        <w:pStyle w:val="ListBullet"/>
      </w:pPr>
      <w:r>
        <w:rPr>
          <w:b/>
        </w:rPr>
        <w:t>U-6</w:t>
      </w:r>
      <w:r>
        <w:t xml:space="preserve"> Portfolio-Verwaltung: Bestände eintragen, Signale zuordnen, Wert in USD+EUR.</w:t>
      </w:r>
    </w:p>
    <w:p>
      <w:pPr>
        <w:pStyle w:val="ListBullet"/>
      </w:pPr>
      <w:r>
        <w:rPr>
          <w:b/>
        </w:rPr>
        <w:t>U-7</w:t>
      </w:r>
      <w:r>
        <w:t xml:space="preserve"> Einstellungen: Risikoparameter (Kap. 3) pro Nutzer anpassbar.</w:t>
      </w:r>
    </w:p>
    <w:p>
      <w:pPr>
        <w:pStyle w:val="ListBullet"/>
      </w:pPr>
      <w:r>
        <w:rPr>
          <w:b/>
        </w:rPr>
        <w:t>U-8</w:t>
      </w:r>
      <w:r>
        <w:t xml:space="preserve"> Desktop-Benachrichtigungen bei neuen Signalen.</w:t>
      </w:r>
    </w:p>
    <w:p>
      <w:pPr>
        <w:pStyle w:val="ListBullet"/>
      </w:pPr>
      <w:r>
        <w:rPr>
          <w:b/>
        </w:rPr>
        <w:t>U-9</w:t>
      </w:r>
      <w:r>
        <w:t xml:space="preserve"> Interaktiver Dialog: Nutzer ergänzt Bewertungsparameter (R-5.7).</w:t>
      </w:r>
    </w:p>
    <w:p>
      <w:pPr>
        <w:pStyle w:val="ListBullet"/>
      </w:pPr>
      <w:r>
        <w:rPr>
          <w:b/>
        </w:rPr>
        <w:t>U-10</w:t>
      </w:r>
      <w:r>
        <w:t xml:space="preserve"> Marktscan-Vorschläge (Kap. 13): </w:t>
      </w:r>
      <w:r>
        <w:rPr>
          <w:b/>
        </w:rPr>
        <w:t>ERLEDIGT (2026-07-09, Schreibweg am selben Tag nachgebessert).</w:t>
      </w:r>
      <w:r>
        <w:t xml:space="preserve"> Neuer Tab "Marktscan" (</w:t>
      </w:r>
      <w:r>
        <w:rPr>
          <w:rFonts w:ascii="Consolas" w:hAnsi="Consolas"/>
          <w:color w:val="882222"/>
          <w:sz w:val="18"/>
        </w:rPr>
        <w:t>ui/marktscan_view.py</w:t>
      </w:r>
      <w:r>
        <w:t xml:space="preserve">) zeigt neu entdeckte Kandidaten mit Score-Aufschlüsselung und optionaler P-5-Begründung; "In Watchlist übernehmen" schreibt den Eintrag jetzt </w:t>
      </w:r>
      <w:r>
        <w:rPr>
          <w:b/>
        </w:rPr>
        <w:t>direkt</w:t>
      </w:r>
      <w:r>
        <w:t xml:space="preserve"> in </w:t>
      </w:r>
      <w:r>
        <w:rPr>
          <w:rFonts w:ascii="Consolas" w:hAnsi="Consolas"/>
          <w:color w:val="882222"/>
          <w:sz w:val="18"/>
        </w:rPr>
        <w:t>Basisinfos/config.yaml</w:t>
      </w:r>
      <w:r>
        <w:t xml:space="preserve"> (</w:t>
      </w:r>
      <w:r>
        <w:rPr>
          <w:rFonts w:ascii="Consolas" w:hAnsi="Consolas"/>
          <w:color w:val="882222"/>
          <w:sz w:val="18"/>
        </w:rPr>
        <w:t>config.py::add_watchlist_entry()</w:t>
      </w:r>
      <w:r>
        <w:t xml:space="preserve"> — chirurgische Text-Einfügung statt voller YAML-Neuserialisierung, IMMER mit Backup + Nachher- Validierung, fällt bei Fehlschlag auf den ursprünglichen copy-paste-YAML-Weg zurück, siehe Kap. 13 MS-1), "Verwerfen" markiert einen Kandidaten dauerhaft als nicht relevant.</w:t>
      </w:r>
    </w:p>
    <w:p>
      <w:pPr>
        <w:pStyle w:val="ListBullet"/>
      </w:pPr>
      <w:r>
        <w:rPr>
          <w:b/>
        </w:rPr>
        <w:t>U-11</w:t>
      </w:r>
      <w:r>
        <w:t xml:space="preserve"> Regime-Anzeige (Kap. 14): aktuelles Marktregime sichtbar; manueller Override wählbar und — solange aktiv — permanent als Warnhinweis eingeblendet.</w:t>
      </w:r>
    </w:p>
    <w:p>
      <w:pPr>
        <w:pStyle w:val="ListBullet"/>
      </w:pPr>
      <w:r>
        <w:rPr>
          <w:b/>
        </w:rPr>
        <w:t>U-12</w:t>
      </w:r>
      <w:r>
        <w:t xml:space="preserve"> Datenquellen-Gesundheitsstatus </w:t>
      </w:r>
      <w:r>
        <w:rPr>
          <w:rFonts w:ascii="Consolas" w:hAnsi="Consolas"/>
          <w:color w:val="882222"/>
          <w:sz w:val="18"/>
        </w:rPr>
        <w:t>[TEILWEISE ERLEDIGT, Idee 2026-07-08]</w:t>
      </w:r>
      <w:r>
        <w:t xml:space="preserve">: Erweiterung von P-10 — nicht nur einzelne veraltete Werte in der jeweiligen Ansicht kennzeichnen (bereits umgesetzt), sondern eine </w:t>
      </w:r>
      <w:r>
        <w:rPr>
          <w:b/>
        </w:rPr>
        <w:t>zentrale, aggregierte Übersicht</w:t>
      </w:r>
      <w:r>
        <w:t xml:space="preserve">, welche Datenquellen-Abhängigkeiten (CoinGecko, Kraken, Groq, künftig FRED/ Eastmoney-PBoC/alternative.me) gerade fehlschlagen oder unerwartet reagieren — inkl. seit wann und mit welchem Fehler. Ziel: der Nutzer erfährt aktiv, wenn eine Quelle "nicht mehr wie gewünscht/erforderlich funktioniert" (Zitat), statt es zufällig in einer einzelnen Ansicht zu bemerken oder es unbemerkt zu bleiben, bis ein Signal falsch/unvollständig wird. Anlass: beim Live-Test mehrerer Makro-Quellen (Kap. 8) traten mehrfach stille Qualitätsprobleme auf (z. B. ISM-Ersatzquelle mit offensichtlich falschen Werten, inkonsistente Trueflation-Pricing-Angaben) — ein Mensch musste das manuell bemerken. </w:t>
      </w:r>
      <w:r>
        <w:rPr>
          <w:b/>
        </w:rPr>
        <w:t>Minimalfix ERLEDIGT (2026-07-09):</w:t>
      </w:r>
      <w:r>
        <w:t xml:space="preserve"> </w:t>
      </w:r>
      <w:r>
        <w:rPr>
          <w:rFonts w:ascii="Consolas" w:hAnsi="Consolas"/>
          <w:color w:val="882222"/>
          <w:sz w:val="18"/>
        </w:rPr>
        <w:t>main.py</w:t>
      </w:r>
      <w:r>
        <w:t xml:space="preserve"> schreibt zusätzlich in eine rotierende Logdatei (</w:t>
      </w:r>
      <w:r>
        <w:rPr>
          <w:rFonts w:ascii="Consolas" w:hAnsi="Consolas"/>
          <w:color w:val="882222"/>
          <w:sz w:val="18"/>
        </w:rPr>
        <w:t>data/ tradinginfotool.log</w:t>
      </w:r>
      <w:r>
        <w:t xml:space="preserve">, UTF-8, 5 MB × 3) statt nur in die Konsole; </w:t>
      </w:r>
      <w:r>
        <w:rPr>
          <w:rFonts w:ascii="Consolas" w:hAnsi="Consolas"/>
          <w:color w:val="882222"/>
          <w:sz w:val="18"/>
        </w:rPr>
        <w:t>scheduler/ background.py</w:t>
      </w:r>
      <w:r>
        <w:t xml:space="preserve"> hat einen </w:t>
      </w:r>
      <w:r>
        <w:rPr>
          <w:rFonts w:ascii="Consolas" w:hAnsi="Consolas"/>
          <w:color w:val="882222"/>
          <w:sz w:val="18"/>
        </w:rPr>
        <w:t>EVENT_JOB_ERROR</w:t>
      </w:r>
      <w:r>
        <w:t>/</w:t>
      </w:r>
      <w:r>
        <w:rPr>
          <w:rFonts w:ascii="Consolas" w:hAnsi="Consolas"/>
          <w:color w:val="882222"/>
          <w:sz w:val="18"/>
        </w:rPr>
        <w:t>EVENT_JOB_MISSED</w:t>
      </w:r>
      <w:r>
        <w:t xml:space="preserve">-Listener als zweite Verteidigungslinie zu den bereits vorhandenen Try/Except-Blöcken je Job, und deckt neu auch verpasste Läufe ab (z. B. Rechner im Standby zur geplanten Uhrzeit). </w:t>
      </w:r>
      <w:r>
        <w:rPr>
          <w:b/>
        </w:rPr>
        <w:t>Weiterhin offen:</w:t>
      </w:r>
      <w:r>
        <w:t xml:space="preserve"> die eigentliche aggregierte UI-Übersicht, Verlaufsstatistik über mehrere Läufe, proaktive Benachrichtigung — aktuell muss der Nutzer die Logdatei selbst öffnen.</w:t>
      </w:r>
    </w:p>
    <w:p>
      <w:pPr>
        <w:pStyle w:val="ListBullet"/>
      </w:pPr>
      <w:r>
        <w:rPr>
          <w:b/>
        </w:rPr>
        <w:t>U-13</w:t>
      </w:r>
      <w:r>
        <w:t xml:space="preserve"> GUI-Usability-Standards </w:t>
      </w:r>
      <w:r>
        <w:rPr>
          <w:rFonts w:ascii="Consolas" w:hAnsi="Consolas"/>
          <w:color w:val="882222"/>
          <w:sz w:val="18"/>
        </w:rPr>
        <w:t>[Idee 2026-07-09]</w:t>
      </w:r>
      <w:r>
        <w:t xml:space="preserve">: allgemeine UI-Politur für alle Tabs, nicht nur einzelne Features — bewusst offen als Kategorie formuliert ("etc."), nicht als abschließende Liste. </w:t>
      </w:r>
      <w:r>
        <w:rPr>
          <w:b/>
        </w:rPr>
        <w:t>Sortierbare Spalten ERLEDIGT (2026-07-09):</w:t>
      </w:r>
      <w:r>
        <w:t xml:space="preserve"> neues </w:t>
      </w:r>
      <w:r>
        <w:rPr>
          <w:rFonts w:ascii="Consolas" w:hAnsi="Consolas"/>
          <w:color w:val="882222"/>
          <w:sz w:val="18"/>
        </w:rPr>
        <w:t>ui/sortable_tree.py::make_sortable()</w:t>
      </w:r>
      <w:r>
        <w:t xml:space="preserve"> — Klick auf einen Spaltenkopf sortiert (erneuter Klick kehrt um, Pfeil zeigt Richtung), zahlenbewusst für Preis-/Wert-/Mengen-/Prozent-Spalten (fehlende Werte immer am Ende), sonst alphabetisch — auf allen vier Treeview-Tabs (Watchlist, Portfolio, Signale, Marktscan) einheitlich verdrahtet statt Tab-für-Tab-Einzellösungen. </w:t>
      </w:r>
      <w:r>
        <w:rPr>
          <w:b/>
        </w:rPr>
        <w:t>Lesbarkeits-Politur ERLEDIGT (2026-07-09):</w:t>
      </w:r>
      <w:r>
        <w:t xml:space="preserve"> </w:t>
      </w:r>
      <w:r>
        <w:rPr>
          <w:rFonts w:ascii="Consolas" w:hAnsi="Consolas"/>
          <w:color w:val="882222"/>
          <w:sz w:val="18"/>
        </w:rPr>
        <w:t>ui/theme.py::apply_base_style()</w:t>
      </w:r>
      <w:r>
        <w:t xml:space="preserve"> bumpt die von Tk benannten Standard-Fonts von ~9pt auf 10pt (wirkt automatisch auf klassische Tk- UND ttk-Widgets), größere Treeview-Zeilenhöhe, großzügigere Button-/Checkbutton-/Radiobutton-Abstände. </w:t>
      </w:r>
      <w:r>
        <w:rPr>
          <w:b/>
        </w:rPr>
        <w:t>Dark Mode ERLEDIGT (2026-07-09).</w:t>
      </w:r>
      <w:r>
        <w:t xml:space="preserve"> Neues </w:t>
      </w:r>
      <w:r>
        <w:rPr>
          <w:rFonts w:ascii="Consolas" w:hAnsi="Consolas"/>
          <w:color w:val="882222"/>
          <w:sz w:val="18"/>
        </w:rPr>
        <w:t>ui/settings.py</w:t>
      </w:r>
      <w:r>
        <w:t xml:space="preserve"> speichert die Präferenz in einer lokalen, nicht versionierten </w:t>
      </w:r>
      <w:r>
        <w:rPr>
          <w:rFonts w:ascii="Consolas" w:hAnsi="Consolas"/>
          <w:color w:val="882222"/>
          <w:sz w:val="18"/>
        </w:rPr>
        <w:t>data/settings.json</w:t>
      </w:r>
      <w:r>
        <w:t xml:space="preserve"> (bewusst NICHT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, die Datei ist handgepflegt/versioniert). </w:t>
      </w:r>
      <w:r>
        <w:rPr>
          <w:rFonts w:ascii="Consolas" w:hAnsi="Consolas"/>
          <w:color w:val="882222"/>
          <w:sz w:val="18"/>
        </w:rPr>
        <w:t>ui/theme.py</w:t>
      </w:r>
      <w:r>
        <w:t xml:space="preserve"> hat Light-/Dark-Paletten + semantische Farbfunktionen (</w:t>
      </w:r>
      <w:r>
        <w:rPr>
          <w:rFonts w:ascii="Consolas" w:hAnsi="Consolas"/>
          <w:color w:val="882222"/>
          <w:sz w:val="18"/>
        </w:rPr>
        <w:t>action_color()</w:t>
      </w:r>
      <w:r>
        <w:t xml:space="preserve">, </w:t>
      </w:r>
      <w:r>
        <w:rPr>
          <w:rFonts w:ascii="Consolas" w:hAnsi="Consolas"/>
          <w:color w:val="882222"/>
          <w:sz w:val="18"/>
        </w:rPr>
        <w:t>einstufung_color()</w:t>
      </w:r>
      <w:r>
        <w:t xml:space="preserve">, </w:t>
      </w:r>
      <w:r>
        <w:rPr>
          <w:rFonts w:ascii="Consolas" w:hAnsi="Consolas"/>
          <w:color w:val="882222"/>
          <w:sz w:val="18"/>
        </w:rPr>
        <w:t>stale_color()</w:t>
      </w:r>
      <w:r>
        <w:t xml:space="preserve">, ...), die alle vier Tabs statt verstreuter Farb-Literale abfragen. </w:t>
      </w:r>
      <w:r>
        <w:rPr>
          <w:b/>
        </w:rPr>
        <w:t>Bewusster Scope-Schnitt:</w:t>
      </w:r>
      <w:r>
        <w:t xml:space="preserve"> Dark Mode wird einmal beim Start angewendet, kein Live-Umschalten während die App läuft — der Menüpunkt "Ansicht → Dark Mode" speichert die Einstellung nur und bittet um einen Neustart. ttk wechselt für Dark Mode auf das </w:t>
      </w:r>
      <w:r>
        <w:rPr>
          <w:rFonts w:ascii="Consolas" w:hAnsi="Consolas"/>
          <w:color w:val="882222"/>
          <w:sz w:val="18"/>
        </w:rPr>
        <w:t>clam</w:t>
      </w:r>
      <w:r>
        <w:t xml:space="preserve">-Theme (die einzige eingebaute Theme-Basis, die Farb-Overrides unter Windows tatsächlich vollständig übernimmt — vista/xpnative zeichnen viele Elemente OS-nativ). Die Charts (matplotlib, </w:t>
      </w:r>
      <w:r>
        <w:rPr>
          <w:rFonts w:ascii="Consolas" w:hAnsi="Consolas"/>
          <w:color w:val="882222"/>
          <w:sz w:val="18"/>
        </w:rPr>
        <w:t>ui/charts.py</w:t>
      </w:r>
      <w:r>
        <w:t xml:space="preserve">) ziehen mit: Flächen-/Text-/Gitterfarben passend zum aktiven Theme, einzelne Indikatorfarben (EMA/Bollinger/RSI/MACD) bleiben unverändert, da auf beiden Hintergründen ausreichend lesbar. Light Mode ist unverändert zum vorherigen Stand (keine Regression). </w:t>
      </w:r>
      <w:r>
        <w:rPr>
          <w:b/>
        </w:rPr>
        <w:t>Zeilentrennung ERLEDIGT (2026-07-12).</w:t>
      </w:r>
      <w:r>
        <w:t xml:space="preserve"> Nutzer-Wunsch nach Rasterlinien zwischen Tabellenzeilen — echte Rasterlinien unterstützt </w:t>
      </w:r>
      <w:r>
        <w:rPr>
          <w:rFonts w:ascii="Consolas" w:hAnsi="Consolas"/>
          <w:color w:val="882222"/>
          <w:sz w:val="18"/>
        </w:rPr>
        <w:t>ttk.Treeview</w:t>
      </w:r>
      <w:r>
        <w:t xml:space="preserve"> unter Windows nicht zuverlässig nativ, stattdessen Zebra-Streifen als robuste Standard-Alternative (per Nutzer-Entscheidung). Neues </w:t>
      </w:r>
      <w:r>
        <w:rPr>
          <w:rFonts w:ascii="Consolas" w:hAnsi="Consolas"/>
          <w:color w:val="882222"/>
          <w:sz w:val="18"/>
        </w:rPr>
        <w:t>ui/theme.py::restripe_treeview()</w:t>
      </w:r>
      <w:r>
        <w:t xml:space="preserve"> (nur </w:t>
      </w:r>
      <w:r>
        <w:rPr>
          <w:rFonts w:ascii="Consolas" w:hAnsi="Consolas"/>
          <w:color w:val="882222"/>
          <w:sz w:val="18"/>
        </w:rPr>
        <w:t>background</w:t>
      </w:r>
      <w:r>
        <w:t xml:space="preserve">, kollidiert nie mit bestehenden </w:t>
      </w:r>
      <w:r>
        <w:rPr>
          <w:rFonts w:ascii="Consolas" w:hAnsi="Consolas"/>
          <w:color w:val="882222"/>
          <w:sz w:val="18"/>
        </w:rPr>
        <w:t>foreground</w:t>
      </w:r>
      <w:r>
        <w:t xml:space="preserve">-Tags wie </w:t>
      </w:r>
      <w:r>
        <w:rPr>
          <w:rFonts w:ascii="Consolas" w:hAnsi="Consolas"/>
          <w:color w:val="882222"/>
          <w:sz w:val="18"/>
        </w:rPr>
        <w:t>stale</w:t>
      </w:r>
      <w:r>
        <w:t>/</w:t>
      </w:r>
      <w:r>
        <w:rPr>
          <w:rFonts w:ascii="Consolas" w:hAnsi="Consolas"/>
          <w:color w:val="882222"/>
          <w:sz w:val="18"/>
        </w:rPr>
        <w:t>kaufkandidat</w:t>
      </w:r>
      <w:r>
        <w:t>), automatisch nach jedem Sortier-Klick erneut angewendet (</w:t>
      </w:r>
      <w:r>
        <w:rPr>
          <w:rFonts w:ascii="Consolas" w:hAnsi="Consolas"/>
          <w:color w:val="882222"/>
          <w:sz w:val="18"/>
        </w:rPr>
        <w:t>ui/sortable_tree.py::make_sortable()</w:t>
      </w:r>
      <w:r>
        <w:t>), sowie nach jeder Tabellen-Neubefüllung auf allen fünf Treeviews (Watchlist, Portfolio, Marktscan, Signale, Signal-Historie-Dialog). Eigene, dezente Farbtöne für Light (</w:t>
      </w:r>
      <w:r>
        <w:rPr>
          <w:rFonts w:ascii="Consolas" w:hAnsi="Consolas"/>
          <w:color w:val="882222"/>
          <w:sz w:val="18"/>
        </w:rPr>
        <w:t>#f4f4f4</w:t>
      </w:r>
      <w:r>
        <w:t>) und Dark (</w:t>
      </w:r>
      <w:r>
        <w:rPr>
          <w:rFonts w:ascii="Consolas" w:hAnsi="Consolas"/>
          <w:color w:val="882222"/>
          <w:sz w:val="18"/>
        </w:rPr>
        <w:t>#333333</w:t>
      </w:r>
      <w:r>
        <w:t>).</w:t>
      </w:r>
    </w:p>
    <w:p>
      <w:pPr>
        <w:pStyle w:val="Heading2"/>
      </w:pPr>
      <w:r>
        <w:t>10. Agent- &amp; Datenbank-Betrieb</w:t>
      </w:r>
    </w:p>
    <w:p>
      <w:pPr>
        <w:pStyle w:val="ListBullet"/>
      </w:pPr>
      <w:r>
        <w:rPr>
          <w:b/>
        </w:rPr>
        <w:t>B-1</w:t>
      </w:r>
      <w:r>
        <w:t xml:space="preserve"> Hintergrund-Scheduler (APScheduler) holt periodisch Marktdaten, respektiert das CoinGecko-Rate-Limit (Caching in SQLite).</w:t>
      </w:r>
    </w:p>
    <w:p>
      <w:pPr>
        <w:pStyle w:val="ListBullet"/>
      </w:pPr>
      <w:r>
        <w:rPr>
          <w:b/>
        </w:rPr>
        <w:t>B-2</w:t>
      </w:r>
      <w:r>
        <w:t xml:space="preserve"> Persistenz: Preise, Indikatoren, Signale, Portfolio, Strategien, Nutzer- Parameter und Agent-Begründungen in SQLite (Historie &amp; Nachvollziehbarkeit).</w:t>
      </w:r>
    </w:p>
    <w:p>
      <w:pPr>
        <w:pStyle w:val="ListBullet"/>
      </w:pPr>
      <w:r>
        <w:rPr>
          <w:b/>
        </w:rPr>
        <w:t>B-3</w:t>
      </w:r>
      <w:r>
        <w:t xml:space="preserve"> Agent läuft auch ohne offene UI (Hintergrundanalyse); beim UI-Start Abgleich mit dem letzten DB-Stand.</w:t>
      </w:r>
    </w:p>
    <w:p>
      <w:pPr>
        <w:pStyle w:val="ListBullet"/>
      </w:pPr>
      <w:r>
        <w:rPr>
          <w:b/>
        </w:rPr>
        <w:t>B-4</w:t>
      </w:r>
      <w:r>
        <w:t xml:space="preserve"> Claude API-Key in lokaler </w:t>
      </w:r>
      <w:r>
        <w:rPr>
          <w:rFonts w:ascii="Consolas" w:hAnsi="Consolas"/>
          <w:color w:val="882222"/>
          <w:sz w:val="18"/>
        </w:rPr>
        <w:t>.env</w:t>
      </w:r>
      <w:r>
        <w:t xml:space="preserve"> (niemals committen).</w:t>
      </w:r>
    </w:p>
    <w:p>
      <w:pPr>
        <w:pStyle w:val="ListBullet"/>
      </w:pPr>
      <w:r>
        <w:rPr>
          <w:b/>
        </w:rPr>
        <w:t>B-5</w:t>
      </w:r>
      <w:r>
        <w:t xml:space="preserve"> Bestände (Anzahl Coins je Asset) sind sensible Finanzdaten und werden </w:t>
      </w:r>
      <w:r>
        <w:rPr>
          <w:b/>
        </w:rPr>
        <w:t>ausschließlich</w:t>
      </w:r>
      <w:r>
        <w:t xml:space="preserve"> in der SQLite-Datenbank gehalten — nicht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 (keine Versionierung/kein Git-Commit). Erstbefüllung per Datei-Import aus </w:t>
      </w:r>
      <w:r>
        <w:rPr>
          <w:rFonts w:ascii="Consolas" w:hAnsi="Consolas"/>
          <w:color w:val="882222"/>
          <w:sz w:val="18"/>
        </w:rPr>
        <w:t>Basisinfos/Assets.xlsx</w:t>
      </w:r>
      <w:r>
        <w:t xml:space="preserve">; danach Aktualisierung über die GUI oder erneuten Import. Watchlist-Zugehörigkeit und Asset-Metadaten (Typ, Status, CoinGecko-ID) bleiben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, da sie nicht personenbezogen/sensibel sind. </w:t>
      </w:r>
      <w:r>
        <w:rPr>
          <w:b/>
        </w:rPr>
        <w:t>Export-Gegenstück ERLEDIGT (2026-07-09, Nutzer-Idee):</w:t>
      </w:r>
      <w:r>
        <w:t xml:space="preserve"> "Bestände exportieren…" schreibt den aktuellen </w:t>
      </w:r>
      <w:r>
        <w:rPr>
          <w:rFonts w:ascii="Consolas" w:hAnsi="Consolas"/>
          <w:color w:val="882222"/>
          <w:sz w:val="18"/>
        </w:rPr>
        <w:t>holdings</w:t>
      </w:r>
      <w:r>
        <w:t>-Stand in eine SEPARATE, neue Datei (</w:t>
      </w:r>
      <w:r>
        <w:rPr>
          <w:rFonts w:ascii="Consolas" w:hAnsi="Consolas"/>
          <w:color w:val="882222"/>
          <w:sz w:val="18"/>
        </w:rPr>
        <w:t>Basisinfos/ Assets_export.xlsx</w:t>
      </w:r>
      <w:r>
        <w:t xml:space="preserve">, ebenfalls nicht versioniert) — bewusst NICHT als In-Place- Überschreibung der handgepflegten Original-Assets.xlsx (gleiches Risiko wie ein voller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-Rundlauf: Formatierung/Zusatzspalten könnten verlorengehen). "Bestände aus Datei importieren…" (Filedialog) rundet das zum echten Export→Bearbeiten→Import-Workflow ab, ohne dass der Nutzer die exportierte Datei manuell über Assets.xlsx kopieren muss. </w:t>
      </w:r>
      <w:r>
        <w:rPr>
          <w:b/>
        </w:rPr>
        <w:t>Dritter, hybrider Pfad ERGÄNZT (2026-07-10, Korrektur zum Umfang siehe unten):</w:t>
      </w:r>
      <w:r>
        <w:t xml:space="preserve"> wer einen </w:t>
      </w:r>
      <w:r>
        <w:rPr>
          <w:rFonts w:ascii="Consolas" w:hAnsi="Consolas"/>
          <w:color w:val="882222"/>
          <w:sz w:val="18"/>
        </w:rPr>
        <w:t>BITPANDA_API_KEY</w:t>
      </w:r>
      <w:r>
        <w:t xml:space="preserve"> besitzt, kann </w:t>
      </w:r>
      <w:r>
        <w:rPr>
          <w:b/>
        </w:rPr>
        <w:t>alle</w:t>
      </w:r>
      <w:r>
        <w:t xml:space="preserve"> Bestände (Krypto </w:t>
      </w:r>
      <w:r>
        <w:rPr>
          <w:b/>
        </w:rPr>
        <w:t>und</w:t>
      </w:r>
      <w:r>
        <w:t xml:space="preserve"> Aktien/ETF/Rohstoffe, siehe Korrektur) UND EUR-Fiat-Cash live von Bitpanda abgleichen ("Datei → Bestände von Bitpanda abgleichen", </w:t>
      </w:r>
      <w:r>
        <w:rPr>
          <w:rFonts w:ascii="Consolas" w:hAnsi="Consolas"/>
          <w:color w:val="882222"/>
          <w:sz w:val="18"/>
        </w:rPr>
        <w:t>importer/bitpanda_sync.py::sync_from_bitpanda()</w:t>
      </w:r>
      <w:r>
        <w:t>) — ausschließlich GET-Aufrufe (</w:t>
      </w:r>
      <w:r>
        <w:rPr>
          <w:rFonts w:ascii="Consolas" w:hAnsi="Consolas"/>
          <w:color w:val="882222"/>
          <w:sz w:val="18"/>
        </w:rPr>
        <w:t>api/bitpanda.py::get_fiat_wallets()</w:t>
      </w:r>
      <w:r>
        <w:t>/</w:t>
      </w:r>
      <w:r>
        <w:rPr>
          <w:rFonts w:ascii="Consolas" w:hAnsi="Consolas"/>
          <w:color w:val="882222"/>
          <w:sz w:val="18"/>
        </w:rPr>
        <w:t>get_crypto_wallets()</w:t>
      </w:r>
      <w:r>
        <w:t xml:space="preserve">, konform mit P-7: über Bitpanda-API-Keys besteht laut Doku grundsätzlich keine Order-/ Auszahlungsfähigkeit). Neuer </w:t>
      </w:r>
      <w:r>
        <w:rPr>
          <w:rFonts w:ascii="Consolas" w:hAnsi="Consolas"/>
          <w:color w:val="882222"/>
          <w:sz w:val="18"/>
        </w:rPr>
        <w:t>Holding.source</w:t>
      </w:r>
      <w:r>
        <w:t xml:space="preserve">-Wert </w:t>
      </w:r>
      <w:r>
        <w:rPr>
          <w:rFonts w:ascii="Consolas" w:hAnsi="Consolas"/>
          <w:color w:val="882222"/>
          <w:sz w:val="18"/>
        </w:rPr>
        <w:t>"bitpanda_sync"</w:t>
      </w:r>
      <w:r>
        <w:t>. Atomar (P-10): alle Netzwerk-Aufrufe passieren vor jedem DB-Write, ein Fehlschlag lässt Bestände/ Cash-Reserve komplett unverändert. Excel-Import/-Export UND das manuelle Fiat-Cash-Feld (siehe RM-4, Kap. 3) bleiben vollständig als Backup erhalten — bewusst hybrid (Bitpanda-Ausfälle, Nicht-Krypto-Assets sind ohnehin nicht auf Bitpanda gelistet). Erkennt eine Bestandsänderung, die zu einem noch offenen Signal passt (Einzelsymbol-Aktionen KAUFEN/NACHKAUFEN/VERKAUFEN, Richtung muss exakt passen; TAUSCHEN bewusst ausgeklammert), wird das als Vorschlag angezeigt (</w:t>
      </w:r>
      <w:r>
        <w:rPr>
          <w:rFonts w:ascii="Consolas" w:hAnsi="Consolas"/>
          <w:color w:val="882222"/>
          <w:sz w:val="18"/>
        </w:rPr>
        <w:t>ui/app.py::BitpandaMatchConfirmDialog</w:t>
      </w:r>
      <w:r>
        <w:t xml:space="preserve">) — nie automatisch bestätigt, ergänzt aber die bisher rein manuelle Umsetzungs-Rückmeldung (R-5.7/U-9) um eine Vorausfüllung. </w:t>
      </w:r>
      <w:r>
        <w:rPr>
          <w:b/>
        </w:rPr>
        <w:t>Vierter Pfad ERGÄNZT (2026-07-10): Non-Krypto-Sheet.</w:t>
      </w:r>
      <w:r>
        <w:t xml:space="preserve"> Design bereits 2026-07-09 abgestimmt, aber nie umgesetzt — die 13 Non-Krypto-Assets (Aktien/ETF/Rohstoffe, Kap. 11) hatten trotz </w:t>
      </w:r>
      <w:r>
        <w:rPr>
          <w:rFonts w:ascii="Consolas" w:hAnsi="Consolas"/>
          <w:color w:val="882222"/>
          <w:sz w:val="18"/>
        </w:rPr>
        <w:t>status: aktiv</w:t>
      </w:r>
      <w:r>
        <w:t xml:space="preserve"> </w:t>
      </w:r>
      <w:r>
        <w:rPr>
          <w:b/>
        </w:rPr>
        <w:t>keinen einzigen</w:t>
      </w:r>
      <w:r>
        <w:t xml:space="preserve"> </w:t>
      </w:r>
      <w:r>
        <w:rPr>
          <w:rFonts w:ascii="Consolas" w:hAnsi="Consolas"/>
          <w:color w:val="882222"/>
          <w:sz w:val="18"/>
        </w:rPr>
        <w:t>holdings</w:t>
      </w:r>
      <w:r>
        <w:t xml:space="preserve">-Eintrag in der DB. Jetzt liest </w:t>
      </w:r>
      <w:r>
        <w:rPr>
          <w:rFonts w:ascii="Consolas" w:hAnsi="Consolas"/>
          <w:color w:val="882222"/>
          <w:sz w:val="18"/>
        </w:rPr>
        <w:t>read_holdings_from_excel()</w:t>
      </w:r>
      <w:r>
        <w:t xml:space="preserve"> zusätzlich ein optionales "Nicht-Krypto"-Sheet (P-10: fehlt es in der Nutzer-Datei, wird es übersprungen, kein Absturz), </w:t>
      </w:r>
      <w:r>
        <w:rPr>
          <w:rFonts w:ascii="Consolas" w:hAnsi="Consolas"/>
          <w:color w:val="882222"/>
          <w:sz w:val="18"/>
        </w:rPr>
        <w:t>export_holdings()</w:t>
      </w:r>
      <w:r>
        <w:t xml:space="preserve"> schreibt beide Sheets getrennt nach </w:t>
      </w:r>
      <w:r>
        <w:rPr>
          <w:rFonts w:ascii="Consolas" w:hAnsi="Consolas"/>
          <w:color w:val="882222"/>
          <w:sz w:val="18"/>
        </w:rPr>
        <w:t>assetklasse</w:t>
      </w:r>
      <w:r>
        <w:t xml:space="preserve">, jeweils mit derselben "Quelle"-Spalte wie das Krypto-Sheet. </w:t>
      </w:r>
      <w:r>
        <w:rPr>
          <w:b/>
        </w:rPr>
        <w:t>Wichtiger Fund beim Live-Test (2026-07-10):</w:t>
      </w:r>
      <w:r>
        <w:t xml:space="preserve"> gestakte Krypto-Bestände sind über die konsumentenseitige Bitpanda-API strukturell nicht auslesbar — live gegen drei Endpunkte geprüft (</w:t>
      </w:r>
      <w:r>
        <w:rPr>
          <w:rFonts w:ascii="Consolas" w:hAnsi="Consolas"/>
          <w:color w:val="882222"/>
          <w:sz w:val="18"/>
        </w:rPr>
        <w:t>/wallets</w:t>
      </w:r>
      <w:r>
        <w:t xml:space="preserve">, </w:t>
      </w:r>
      <w:r>
        <w:rPr>
          <w:rFonts w:ascii="Consolas" w:hAnsi="Consolas"/>
          <w:color w:val="882222"/>
          <w:sz w:val="18"/>
        </w:rPr>
        <w:t>/asset-wallets</w:t>
      </w:r>
      <w:r>
        <w:t xml:space="preserve">, </w:t>
      </w:r>
      <w:r>
        <w:rPr>
          <w:rFonts w:ascii="Consolas" w:hAnsi="Consolas"/>
          <w:color w:val="882222"/>
          <w:sz w:val="18"/>
        </w:rPr>
        <w:t>/wallets/transactions</w:t>
      </w:r>
      <w:r>
        <w:t xml:space="preserve">, alle ohne Staking-Feld/Sub-Wallet-Sichtbarkeit; selbst CoinTracking unterstützt laut Recherche keine Bitpanda-Staking-Rewards, nur Blockpit über eine vermutlich tiefere, nicht-öffentliche Integration). Deshalb gilt: </w:t>
      </w:r>
      <w:r>
        <w:rPr>
          <w:b/>
        </w:rPr>
        <w:t>Zuwächse werden automatisch übernommen, Rückgänge NIE</w:t>
      </w:r>
      <w:r>
        <w:t xml:space="preserve"> — sie landen in </w:t>
      </w:r>
      <w:r>
        <w:rPr>
          <w:rFonts w:ascii="Consolas" w:hAnsi="Consolas"/>
          <w:color w:val="882222"/>
          <w:sz w:val="18"/>
        </w:rPr>
        <w:t>BitpandaSyncResult.decreased_holdings_needs_confirmation</w:t>
      </w:r>
      <w:r>
        <w:t xml:space="preserve"> und erfordern eine explizite Bestätigung pro Symbol (</w:t>
      </w:r>
      <w:r>
        <w:rPr>
          <w:rFonts w:ascii="Consolas" w:hAnsi="Consolas"/>
          <w:color w:val="882222"/>
          <w:sz w:val="18"/>
        </w:rPr>
        <w:t>ui/app.py::BitpandaDecreaseConfirmDialog</w:t>
      </w:r>
      <w:r>
        <w:t xml:space="preserve">, </w:t>
      </w:r>
      <w:r>
        <w:rPr>
          <w:rFonts w:ascii="Consolas" w:hAnsi="Consolas"/>
          <w:color w:val="882222"/>
          <w:sz w:val="18"/>
        </w:rPr>
        <w:t>importer/bitpanda_sync.py::apply_decrease()</w:t>
      </w:r>
      <w:r>
        <w:t>) — verhindert, dass gestakte Anteile fälschlich als verkauft in die Bestände geschrieben werden. Live verifiziert: ein zweiter Sync-Lauf ließ alle neun betroffenen Symbole korrekt unverändert (</w:t>
      </w:r>
      <w:r>
        <w:rPr>
          <w:rFonts w:ascii="Consolas" w:hAnsi="Consolas"/>
          <w:color w:val="882222"/>
          <w:sz w:val="18"/>
        </w:rPr>
        <w:t>synced_count: 0</w:t>
      </w:r>
      <w:r>
        <w:t xml:space="preserve">, alle als Rückgang vorgemerkt). </w:t>
      </w:r>
      <w:r>
        <w:rPr>
          <w:b/>
        </w:rPr>
        <w:t>Korrektur zum Umfang (2026-07-10, vom Nutzer richtiggestellt):</w:t>
      </w:r>
      <w:r>
        <w:t xml:space="preserve"> ursprünglich als "nur Krypto" gebaut (</w:t>
      </w:r>
      <w:r>
        <w:rPr>
          <w:rFonts w:ascii="Consolas" w:hAnsi="Consolas"/>
          <w:color w:val="882222"/>
          <w:sz w:val="18"/>
        </w:rPr>
        <w:t>GET /wallets</w:t>
      </w:r>
      <w:r>
        <w:t xml:space="preserve"> zeigt nur die Krypto-Gruppe) — Bitpanda führt aber Aktien/ETF/Rohstoffe im selben Account, über </w:t>
      </w:r>
      <w:r>
        <w:rPr>
          <w:rFonts w:ascii="Consolas" w:hAnsi="Consolas"/>
          <w:color w:val="882222"/>
          <w:sz w:val="18"/>
        </w:rPr>
        <w:t>GET /asset-wallets</w:t>
      </w:r>
      <w:r>
        <w:t xml:space="preserve"> unter separaten Gruppen (</w:t>
      </w:r>
      <w:r>
        <w:rPr>
          <w:rFonts w:ascii="Consolas" w:hAnsi="Consolas"/>
          <w:color w:val="882222"/>
          <w:sz w:val="18"/>
        </w:rPr>
        <w:t>commodity</w:t>
      </w:r>
      <w:r>
        <w:t>/</w:t>
      </w:r>
      <w:r>
        <w:rPr>
          <w:rFonts w:ascii="Consolas" w:hAnsi="Consolas"/>
          <w:color w:val="882222"/>
          <w:sz w:val="18"/>
        </w:rPr>
        <w:t>index</w:t>
      </w:r>
      <w:r>
        <w:t>/</w:t>
      </w:r>
      <w:r>
        <w:rPr>
          <w:rFonts w:ascii="Consolas" w:hAnsi="Consolas"/>
          <w:color w:val="882222"/>
          <w:sz w:val="18"/>
        </w:rPr>
        <w:t>security</w:t>
      </w:r>
      <w:r>
        <w:t>/</w:t>
      </w:r>
      <w:r>
        <w:rPr>
          <w:rFonts w:ascii="Consolas" w:hAnsi="Consolas"/>
          <w:color w:val="882222"/>
          <w:sz w:val="18"/>
        </w:rPr>
        <w:t>equity_security</w:t>
      </w:r>
      <w:r>
        <w:t xml:space="preserve">, je mit Untergruppen wie </w:t>
      </w:r>
      <w:r>
        <w:rPr>
          <w:rFonts w:ascii="Consolas" w:hAnsi="Consolas"/>
          <w:color w:val="882222"/>
          <w:sz w:val="18"/>
        </w:rPr>
        <w:t>equity_stock</w:t>
      </w:r>
      <w:r>
        <w:t>/</w:t>
      </w:r>
      <w:r>
        <w:rPr>
          <w:rFonts w:ascii="Consolas" w:hAnsi="Consolas"/>
          <w:color w:val="882222"/>
          <w:sz w:val="18"/>
        </w:rPr>
        <w:t>equity_etf</w:t>
      </w:r>
      <w:r>
        <w:t xml:space="preserve">). </w:t>
      </w:r>
      <w:r>
        <w:rPr>
          <w:rFonts w:ascii="Consolas" w:hAnsi="Consolas"/>
          <w:color w:val="882222"/>
          <w:sz w:val="18"/>
        </w:rPr>
        <w:t>api/bitpanda.py:: get_non_crypto_wallets()</w:t>
      </w:r>
      <w:r>
        <w:t xml:space="preserve"> deckt das jetzt ab, inkl. zweier live gefundener Symbol-Abweichungen (</w:t>
      </w:r>
      <w:r>
        <w:rPr>
          <w:rFonts w:ascii="Consolas" w:hAnsi="Consolas"/>
          <w:color w:val="882222"/>
          <w:sz w:val="18"/>
        </w:rPr>
        <w:t>BITPANDA_NON_CRYPTO_WALLET_SYMBOL_OVERRIDES</w:t>
      </w:r>
      <w:r>
        <w:t xml:space="preserve">: Bitpanda "VST-US"→intern "VST", Bitpanda "IS0C"→intern "ISOC"). Dieselbe Zuwachs-/ Rückgangs-Logik gilt jetzt einheitlich für alle Assetklassen. Nach jedem Sync wird automatisch auch </w:t>
      </w:r>
      <w:r>
        <w:rPr>
          <w:rFonts w:ascii="Consolas" w:hAnsi="Consolas"/>
          <w:color w:val="882222"/>
          <w:sz w:val="18"/>
        </w:rPr>
        <w:t>Assets_export.xlsx</w:t>
      </w:r>
      <w:r>
        <w:t xml:space="preserve"> aktualisiert (</w:t>
      </w:r>
      <w:r>
        <w:rPr>
          <w:rFonts w:ascii="Consolas" w:hAnsi="Consolas"/>
          <w:color w:val="882222"/>
          <w:sz w:val="18"/>
        </w:rPr>
        <w:t>ui/app.py:: _sync_bitpanda()</w:t>
      </w:r>
      <w:r>
        <w:t xml:space="preserve">), ohne die Original-Datei anzutasten. Live verifiziert: alle 13 Non-Krypto-Assets korrekt gefunden und synchronisiert, </w:t>
      </w:r>
      <w:r>
        <w:rPr>
          <w:rFonts w:ascii="Consolas" w:hAnsi="Consolas"/>
          <w:color w:val="882222"/>
          <w:sz w:val="18"/>
        </w:rPr>
        <w:t>synced_count: 0</w:t>
      </w:r>
      <w:r>
        <w:t xml:space="preserve"> bei einem Wiederholungslauf nach Abgleich mit der echten </w:t>
      </w:r>
      <w:r>
        <w:rPr>
          <w:rFonts w:ascii="Consolas" w:hAnsi="Consolas"/>
          <w:color w:val="882222"/>
          <w:sz w:val="18"/>
        </w:rPr>
        <w:t>Assets.xlsx</w:t>
      </w:r>
      <w:r>
        <w:t xml:space="preserve">. </w:t>
      </w:r>
      <w:r>
        <w:rPr>
          <w:b/>
        </w:rPr>
        <w:t>Fünfter Pfad ERGÄNZT (2026-07-11, Nutzer-Wunsch): Einstandspreis/Gewinn- Verlust.</w:t>
      </w:r>
      <w:r>
        <w:t xml:space="preserve"> Bisher zeigte die App nirgends, ob eine Position im Gewinn/Verlust steht. Auslöser: Bitpandas eigene "durchschnittlicher Kaufpreis"-Anzeige vermischt echten Marktpreis mit steuerlicher Bemessungsgrundlage (Swap-Ketten übertragen den ursprünglichen EUR-Anschaffungswert, keine Realisierung in Österreich) — konkretes Nutzer-Beispiel: BTC zeigte bei Bitpanda "157.586 € Kaufpreis" an, obwohl BTC nie so hoch stand. Bewusste Eingrenzung (Nutzer- Entscheidung): NUR der echte Marktpreis, KEINE steuerliche Kostenbasis- Verfolgung über Swap-Ketten (bleibt bei Bitpanda selbst, für das Tool nicht relevant). Neuer Endpunkt-Wrapper </w:t>
      </w:r>
      <w:r>
        <w:rPr>
          <w:rFonts w:ascii="Consolas" w:hAnsi="Consolas"/>
          <w:color w:val="882222"/>
          <w:sz w:val="18"/>
        </w:rPr>
        <w:t>api/bitpanda.py::get_wallet_transactions()</w:t>
      </w:r>
      <w:r>
        <w:t xml:space="preserve"> (</w:t>
      </w:r>
      <w:r>
        <w:rPr>
          <w:rFonts w:ascii="Consolas" w:hAnsi="Consolas"/>
          <w:color w:val="882222"/>
          <w:sz w:val="18"/>
        </w:rPr>
        <w:t>GET /wallets/transactions</w:t>
      </w:r>
      <w:r>
        <w:t xml:space="preserve">, page-number-paginiert wie </w:t>
      </w:r>
      <w:r>
        <w:rPr>
          <w:rFonts w:ascii="Consolas" w:hAnsi="Consolas"/>
          <w:color w:val="882222"/>
          <w:sz w:val="18"/>
        </w:rPr>
        <w:t>get_listed_assets()</w:t>
      </w:r>
      <w:r>
        <w:t xml:space="preserve">, live verifiziert: 9534 Transaktionen, ~41s Erstlauf) liefert für jede </w:t>
      </w:r>
      <w:r>
        <w:rPr>
          <w:rFonts w:ascii="Consolas" w:hAnsi="Consolas"/>
          <w:color w:val="882222"/>
          <w:sz w:val="18"/>
        </w:rPr>
        <w:t>buy</w:t>
      </w:r>
      <w:r>
        <w:t>/</w:t>
      </w:r>
      <w:r>
        <w:rPr>
          <w:rFonts w:ascii="Consolas" w:hAnsi="Consolas"/>
          <w:color w:val="882222"/>
          <w:sz w:val="18"/>
        </w:rPr>
        <w:t>sell</w:t>
      </w:r>
      <w:r>
        <w:t>-Transaktion den echten Marktpreis (</w:t>
      </w:r>
      <w:r>
        <w:rPr>
          <w:rFonts w:ascii="Consolas" w:hAnsi="Consolas"/>
          <w:color w:val="882222"/>
          <w:sz w:val="18"/>
        </w:rPr>
        <w:t>trade.price</w:t>
      </w:r>
      <w:r>
        <w:t xml:space="preserve">, EUR-denominiert, </w:t>
      </w:r>
      <w:r>
        <w:rPr>
          <w:rFonts w:ascii="Consolas" w:hAnsi="Consolas"/>
          <w:color w:val="882222"/>
          <w:sz w:val="18"/>
        </w:rPr>
        <w:t>fiat_id "1"</w:t>
      </w:r>
      <w:r>
        <w:t xml:space="preserve"> = EUR, live gegen </w:t>
      </w:r>
      <w:r>
        <w:rPr>
          <w:rFonts w:ascii="Consolas" w:hAnsi="Consolas"/>
          <w:color w:val="882222"/>
          <w:sz w:val="18"/>
        </w:rPr>
        <w:t>/fiatwallets</w:t>
      </w:r>
      <w:r>
        <w:t xml:space="preserve"> verifiziert). Neues Modul </w:t>
      </w:r>
      <w:r>
        <w:rPr>
          <w:rFonts w:ascii="Consolas" w:hAnsi="Consolas"/>
          <w:color w:val="882222"/>
          <w:sz w:val="18"/>
        </w:rPr>
        <w:t>importer/bitpanda_avg_cost.py::compute_avg_buy_prices()</w:t>
      </w:r>
      <w:r>
        <w:t xml:space="preserve"> — gleitender Durchschnitt (Kauf blendet ein, Verkauf reduziert nur die Menge), live gegen eine manuelle Gegenrechnung exakt verifiziert (BTC: 68.331,28 €, deutlich plausibler als Bitpandas 157.586 €, resultierender G/V −18,1% statt Bitpandas −64,36%). </w:t>
      </w:r>
      <w:r>
        <w:rPr>
          <w:b/>
        </w:rPr>
        <w:t>P-10-Sorgfalt:</w:t>
      </w:r>
      <w:r>
        <w:t xml:space="preserve"> </w:t>
      </w:r>
      <w:r>
        <w:rPr>
          <w:rFonts w:ascii="Consolas" w:hAnsi="Consolas"/>
          <w:color w:val="882222"/>
          <w:sz w:val="18"/>
        </w:rPr>
        <w:t>tracked_quantity</w:t>
      </w:r>
      <w:r>
        <w:t xml:space="preserve"> hält fest, auf wie viel Menge sich der Durchschnitt tatsächlich bezieht — Staking-Gutschriften/externe Einzahlungen ohne bepreisten Trade werden NIE stillschweigend mitgepreist, sondern explizit als "unbepreist" ausgewiesen (</w:t>
      </w:r>
      <w:r>
        <w:rPr>
          <w:rFonts w:ascii="Consolas" w:hAnsi="Consolas"/>
          <w:color w:val="882222"/>
          <w:sz w:val="18"/>
        </w:rPr>
        <w:t>compute_cost_basis_view()</w:t>
      </w:r>
      <w:r>
        <w:t xml:space="preserve">). Zwei neue </w:t>
      </w:r>
      <w:r>
        <w:rPr>
          <w:rFonts w:ascii="Consolas" w:hAnsi="Consolas"/>
          <w:color w:val="882222"/>
          <w:sz w:val="18"/>
        </w:rPr>
        <w:t>holdings</w:t>
      </w:r>
      <w:r>
        <w:t xml:space="preserve">-Spalten: </w:t>
      </w:r>
      <w:r>
        <w:rPr>
          <w:rFonts w:ascii="Consolas" w:hAnsi="Consolas"/>
          <w:color w:val="882222"/>
          <w:sz w:val="18"/>
        </w:rPr>
        <w:t>avg_buy_price_eur</w:t>
      </w:r>
      <w:r>
        <w:t xml:space="preserve"> (automatisch) und </w:t>
      </w:r>
      <w:r>
        <w:rPr>
          <w:rFonts w:ascii="Consolas" w:hAnsi="Consolas"/>
          <w:color w:val="882222"/>
          <w:sz w:val="18"/>
        </w:rPr>
        <w:t>avg_buy_price_manual_eur</w:t>
      </w:r>
      <w:r>
        <w:t xml:space="preserve"> (manueller Override, kompletter Vorrang — Dialog per Doppelklick im Portfolio-Tab, für Bestände ohne vollständige Bitpanda-Historie). </w:t>
      </w:r>
      <w:r>
        <w:rPr>
          <w:b/>
        </w:rPr>
        <w:t>Trigger-Verhalten:</w:t>
      </w:r>
      <w:r>
        <w:t xml:space="preserve"> eigener, unabhängiger Menüpunkt "Einstandspreise von Bitpanda berechnen" (nicht in den bestehenden Bestandsabgleich integriert, um dessen Atomaritätslogik nicht zu gefährden), kein automatischer Start-Trigger (gleiches Prinzip wie der Bestandsabgleich). Threaded (</w:t>
      </w:r>
      <w:r>
        <w:rPr>
          <w:rFonts w:ascii="Consolas" w:hAnsi="Consolas"/>
          <w:color w:val="882222"/>
          <w:sz w:val="18"/>
        </w:rPr>
        <w:t>ui/app.py</w:t>
      </w:r>
      <w:r>
        <w:t xml:space="preserve">), da der Erstlauf ~40s dauert. </w:t>
      </w:r>
      <w:r>
        <w:rPr>
          <w:b/>
        </w:rPr>
        <w:t>Inkrementelle Folge-Syncs:</w:t>
      </w:r>
      <w:r>
        <w:t xml:space="preserve"> neuer </w:t>
      </w:r>
      <w:r>
        <w:rPr>
          <w:rFonts w:ascii="Consolas" w:hAnsi="Consolas"/>
          <w:color w:val="882222"/>
          <w:sz w:val="18"/>
        </w:rPr>
        <w:t>meta</w:t>
      </w:r>
      <w:r>
        <w:t xml:space="preserve">-Wasserstand </w:t>
      </w:r>
      <w:r>
        <w:rPr>
          <w:rFonts w:ascii="Consolas" w:hAnsi="Consolas"/>
          <w:color w:val="882222"/>
          <w:sz w:val="18"/>
        </w:rPr>
        <w:t>bitpanda_avg_cost_last_synced_unix</w:t>
      </w:r>
      <w:r>
        <w:t xml:space="preserve"> — da Bitpanda Transaktionen neueste-zuerst liefert, bricht die Paginierung früh ab, sobald bereits verarbeitete Transaktionen erscheinen (live verifiziert: 1,6s statt 41s bei nur 6 neuen Transaktionen). </w:t>
      </w:r>
      <w:r>
        <w:rPr>
          <w:b/>
        </w:rPr>
        <w:t>KI-Integration: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agent/krypto/analyst.py::build_facts()</w:t>
      </w:r>
      <w:r>
        <w:t xml:space="preserve"> liefert </w:t>
      </w:r>
      <w:r>
        <w:rPr>
          <w:rFonts w:ascii="Consolas" w:hAnsi="Consolas"/>
          <w:color w:val="882222"/>
          <w:sz w:val="18"/>
        </w:rPr>
        <w:t>haltung.einstandspreis_eur</w:t>
      </w:r>
      <w:r>
        <w:t>/</w:t>
      </w:r>
      <w:r>
        <w:rPr>
          <w:rFonts w:ascii="Consolas" w:hAnsi="Consolas"/>
          <w:color w:val="882222"/>
          <w:sz w:val="18"/>
        </w:rPr>
        <w:t>gewinn_verlust_pct</w:t>
      </w:r>
      <w:r>
        <w:t xml:space="preserve"> als niedrig gewichteten Kontext-Fakt (SYSTEM_PROMPT Regel 19) — keine harte Regel, kein Ersatz für Stop-Loss-/CRV-Pflicht (Z-2). Live-Pipeline-Lauf für BTC verifiziert (</w:t>
      </w:r>
      <w:r>
        <w:rPr>
          <w:rFonts w:ascii="Consolas" w:hAnsi="Consolas"/>
          <w:color w:val="882222"/>
          <w:sz w:val="18"/>
        </w:rPr>
        <w:t>facts_json</w:t>
      </w:r>
      <w:r>
        <w:t xml:space="preserve"> korrekt befüllt, konsistent mit Portfolio-Anzeige).</w:t>
      </w:r>
    </w:p>
    <w:p>
      <w:pPr>
        <w:pStyle w:val="ListBullet"/>
      </w:pPr>
      <w:r>
        <w:rPr>
          <w:b/>
        </w:rPr>
        <w:t>B-6</w:t>
      </w:r>
      <w:r>
        <w:t xml:space="preserve"> Persistenz erweitert um: neu vom Marktscan entdeckte Assets (Kap. 13), Regime-Verlauf und alle Overrides (Quelle, Grund, Zeitpunkt, Dauer — Kap. 14) sowie antizyklische Kaufpläne/Tranchen-Status (Kap. 15) — für Nachvollziehbarkeit (Z-4).</w:t>
      </w:r>
    </w:p>
    <w:p>
      <w:pPr>
        <w:pStyle w:val="Heading2"/>
      </w:pPr>
      <w:r>
        <w:t>11. Roadmap &amp; Erweiterbarkeit</w:t>
      </w:r>
    </w:p>
    <w:p>
      <w:pPr>
        <w:pStyle w:val="ListNumber"/>
      </w:pPr>
      <w:r>
        <w:rPr>
          <w:b/>
        </w:rPr>
        <w:t>Phase 1</w:t>
      </w:r>
      <w:r>
        <w:t xml:space="preserve"> Grundgerüst (Struktur, SQLite, CoinGecko, Basis-UI, Watchlist, Erstimport der Bestände aus </w:t>
      </w:r>
      <w:r>
        <w:rPr>
          <w:rFonts w:ascii="Consolas" w:hAnsi="Consolas"/>
          <w:color w:val="882222"/>
          <w:sz w:val="18"/>
        </w:rPr>
        <w:t>Basisinfos/Assets.xlsx</w:t>
      </w:r>
      <w:r>
        <w:t>).</w:t>
      </w:r>
    </w:p>
    <w:p>
      <w:pPr>
        <w:pStyle w:val="ListNumber"/>
      </w:pPr>
      <w:r>
        <w:rPr>
          <w:b/>
        </w:rPr>
        <w:t>Phase 2</w:t>
      </w:r>
      <w:r>
        <w:t xml:space="preserve"> Marktdaten &amp; Charts (Indikatoren Kap. 7, Visualisierung).</w:t>
      </w:r>
    </w:p>
    <w:p>
      <w:pPr>
        <w:pStyle w:val="ListNumber"/>
      </w:pPr>
      <w:r>
        <w:rPr>
          <w:b/>
        </w:rPr>
        <w:t>Phase 3</w:t>
      </w:r>
      <w:r>
        <w:t xml:space="preserve"> KI-Agent (Groq statt Claude API, Pipeline Kap. 5, Risikomodul Kap. 3, Strategien, Makro). </w:t>
      </w:r>
      <w:r>
        <w:rPr>
          <w:b/>
        </w:rPr>
        <w:t>In Arbeit — Slice 1 ERLEDIGT (2026-07-07):</w:t>
      </w:r>
      <w:r>
        <w:t xml:space="preserve"> Signal-Pipeline (R-5.0/-5.1/-5.3/-5.5/-5.6/-5.7/-5.8/-5.9/-5.10/-5.11, jeweils mit dokumentierten Vereinfachungen, siehe Kap. 5) inkl. neuem „Signale"-Tab (U-4, manueller Trigger, noch nicht geplant/automatisch). </w:t>
      </w:r>
      <w:r>
        <w:rPr>
          <w:b/>
        </w:rPr>
        <w:t>Nutzungs-Diskussion ERLEDIGT (2026-07-08):</w:t>
      </w:r>
      <w:r>
        <w:t xml:space="preserve"> Liquiditäts-Regime, Zyklus-Risiko, AZ-1-Erweiterung (OI/Long-Short), Markt-Kontext (Exchange-Flows/FOMC-Kalender) in </w:t>
      </w:r>
      <w:r>
        <w:rPr>
          <w:rFonts w:ascii="Consolas" w:hAnsi="Consolas"/>
          <w:color w:val="882222"/>
          <w:sz w:val="18"/>
        </w:rPr>
        <w:t>agent/krypto/regime.py</w:t>
      </w:r>
      <w:r>
        <w:t>/</w:t>
      </w:r>
      <w:r>
        <w:rPr>
          <w:rFonts w:ascii="Consolas" w:hAnsi="Consolas"/>
          <w:color w:val="882222"/>
          <w:sz w:val="18"/>
        </w:rPr>
        <w:t>agent/krypto/anticyclic.py</w:t>
      </w:r>
      <w:r>
        <w:t xml:space="preserve">/ </w:t>
      </w:r>
      <w:r>
        <w:rPr>
          <w:rFonts w:ascii="Consolas" w:hAnsi="Consolas"/>
          <w:color w:val="882222"/>
          <w:sz w:val="18"/>
        </w:rPr>
        <w:t>agent/krypto/analyst.py</w:t>
      </w:r>
      <w:r>
        <w:t xml:space="preserve"> verdrahtet. </w:t>
      </w:r>
      <w:r>
        <w:rPr>
          <w:b/>
        </w:rPr>
        <w:t>Marktscan Stufe B/C/D ERLEDIGT (2026-07-09, Kap. 13)</w:t>
      </w:r>
      <w:r>
        <w:t xml:space="preserve"> inkl. neuem „Marktscan"-Tab (U-10) und erstem Cron-Job (MS-3). Bewusst offen für spätere Slices: volles Makro-Modul (R-5.2, CPI/ISM-Ersatz/ Trueflation/Leitbörsen), Sentiment (R-5.4), interaktiver Dialog (U-9), E-Mail-Benachrichtigung (U-8, inkl. MS-1b), KI-Regime-Override (RG-1b), Drawdown- Notbremse (RM-7/Z-3), Hebelpositionen (RM-10/-11, S-6 — siehe Kap. 16).</w:t>
      </w:r>
    </w:p>
    <w:p>
      <w:pPr>
        <w:pStyle w:val="ListNumber"/>
      </w:pPr>
      <w:r>
        <w:rPr>
          <w:b/>
        </w:rPr>
        <w:t>Phase 4</w:t>
      </w:r>
      <w:r>
        <w:t xml:space="preserve"> Portfolio, Benachrichtigungen, Sentiment (X/YouTube).</w:t>
      </w:r>
    </w:p>
    <w:p>
      <w:pPr>
        <w:pStyle w:val="ListNumber"/>
      </w:pPr>
      <w:r>
        <w:rPr>
          <w:b/>
        </w:rPr>
        <w:t>Phase 5</w:t>
      </w:r>
      <w:r>
        <w:t xml:space="preserve"> Backtesting der Strategien gegen historische Daten.</w:t>
      </w:r>
    </w:p>
    <w:p>
      <w:pPr>
        <w:pStyle w:val="ListNumber"/>
      </w:pPr>
      <w:r>
        <w:rPr>
          <w:b/>
        </w:rPr>
        <w:t>Phase 6</w:t>
      </w:r>
      <w:r>
        <w:t xml:space="preserve"> Erweiterung auf Aktien / ETF / Rohstoffe (neue Datenquellen).</w:t>
      </w:r>
    </w:p>
    <w:p>
      <w:pPr>
        <w:ind w:left="360"/>
      </w:pPr>
      <w:r>
        <w:rPr>
          <w:i/>
        </w:rPr>
        <w:t>Architektur: Datenquellen, Indikatoren und Strategien als austauschbare Module</w:t>
      </w:r>
    </w:p>
    <w:p>
      <w:pPr>
        <w:ind w:left="360"/>
      </w:pPr>
      <w:r>
        <w:rPr>
          <w:i/>
        </w:rPr>
        <w:t>(Plug-in-Prinzip) anlegen, damit Erweiterungen ohne Kern-Umbau möglich sind.</w:t>
      </w:r>
    </w:p>
    <w:p>
      <w:pPr>
        <w:pStyle w:val="Heading3"/>
      </w:pPr>
      <w:r>
        <w:t>Zielarchitektur für Multi-Asset-Erweiterbarkeit `[Slice 1: Tracking ERLEDIGT 2026-07-09]`</w:t>
      </w:r>
    </w:p>
    <w:p>
      <w:pPr>
        <w:jc w:val="left"/>
      </w:pPr>
      <w:r>
        <w:t xml:space="preserve">Code-Analyse (2026-07-09) hat gezeigt: die Kopplung an Krypto ist nicht oberflächlich, sondern reicht bis in den Kern der Agent-Entscheidungslogik. Bevor Phase 6 (Aktien/ ETF/Rohstoffe) tatsächlich angegangen wird, gilt folgende Zielarchitektur als Leitplanke — </w:t>
      </w:r>
      <w:r>
        <w:rPr>
          <w:b/>
        </w:rPr>
        <w:t>noch nicht implementiert</w:t>
      </w:r>
      <w:r>
        <w:t>, nur festgehalten, damit spätere Erweiterungen ohne Kern-Umbau möglich sind:</w:t>
      </w:r>
    </w:p>
    <w:p>
      <w:pPr>
        <w:jc w:val="left"/>
      </w:pPr>
      <w:r>
        <w:rPr>
          <w:b/>
        </w:rPr>
        <w:t>Bereits assetklassen-agnostisch, direkt wiederverwendbar:</w:t>
      </w:r>
    </w:p>
    <w:p>
      <w:pPr>
        <w:pStyle w:val="ListBullet"/>
      </w:pPr>
      <w:r>
        <w:t>Technische Indikatoren (</w:t>
      </w:r>
      <w:r>
        <w:rPr>
          <w:rFonts w:ascii="Consolas" w:hAnsi="Consolas"/>
          <w:color w:val="882222"/>
          <w:sz w:val="18"/>
        </w:rPr>
        <w:t>indicators/calculations.py</w:t>
      </w:r>
      <w:r>
        <w:t xml:space="preserve"> — RSI/MACD/EMA/Bollinger funktionieren auf jeder Kursreihe unabhängig von der Assetklasse).</w:t>
      </w:r>
    </w:p>
    <w:p>
      <w:pPr>
        <w:pStyle w:val="ListBullet"/>
      </w:pPr>
      <w:r>
        <w:rPr>
          <w:rFonts w:ascii="Consolas" w:hAnsi="Consolas"/>
          <w:color w:val="882222"/>
          <w:sz w:val="18"/>
        </w:rPr>
        <w:t>holdings</w:t>
      </w:r>
      <w:r>
        <w:t xml:space="preserve">-Tabelle (bereits generisch auf </w:t>
      </w:r>
      <w:r>
        <w:rPr>
          <w:rFonts w:ascii="Consolas" w:hAnsi="Consolas"/>
          <w:color w:val="882222"/>
          <w:sz w:val="18"/>
        </w:rPr>
        <w:t>symbol</w:t>
      </w:r>
      <w:r>
        <w:t xml:space="preserve"> geschlüsselt, keine Krypto-Annahme im Schema).</w:t>
      </w:r>
    </w:p>
    <w:p>
      <w:pPr>
        <w:pStyle w:val="ListBullet"/>
      </w:pPr>
      <w:r>
        <w:t xml:space="preserve">UI-Layer (Treeview-Tabs, </w:t>
      </w:r>
      <w:r>
        <w:rPr>
          <w:rFonts w:ascii="Consolas" w:hAnsi="Consolas"/>
          <w:color w:val="882222"/>
          <w:sz w:val="18"/>
        </w:rPr>
        <w:t>ui/theme.py</w:t>
      </w:r>
      <w:r>
        <w:t xml:space="preserve">, </w:t>
      </w:r>
      <w:r>
        <w:rPr>
          <w:rFonts w:ascii="Consolas" w:hAnsi="Consolas"/>
          <w:color w:val="882222"/>
          <w:sz w:val="18"/>
        </w:rPr>
        <w:t>ui/sortable_tree.py</w:t>
      </w:r>
      <w:r>
        <w:t>), Excel-Import/ Export-Mechanismus.</w:t>
      </w:r>
    </w:p>
    <w:p>
      <w:pPr>
        <w:pStyle w:val="ListBullet"/>
      </w:pPr>
      <w:r>
        <w:t>Makro-Daten (FRED/EZB/PBoC-Leitzinsen, M2, CPI, FOMC-Kalender — relevant für alle Assetklassen, nicht nur Krypto).</w:t>
      </w:r>
    </w:p>
    <w:p>
      <w:pPr>
        <w:jc w:val="left"/>
      </w:pPr>
      <w:r>
        <w:rPr>
          <w:b/>
        </w:rPr>
        <w:t>Tief Krypto-spezifisch, braucht eigene Module statt Wiederverwendung:</w:t>
      </w:r>
    </w:p>
    <w:p>
      <w:pPr>
        <w:pStyle w:val="ListBullet"/>
      </w:pPr>
      <w:r>
        <w:t>Datenquellen (CoinGecko/Kraken/Bitpanda sind reine Krypto-Anbindungen — für Aktien/ETF/Rohstoffe braucht es eigene Provider).</w:t>
      </w:r>
    </w:p>
    <w:p>
      <w:pPr>
        <w:pStyle w:val="ListBullet"/>
      </w:pPr>
      <w:r>
        <w:rPr>
          <w:rFonts w:ascii="Consolas" w:hAnsi="Consolas"/>
          <w:color w:val="882222"/>
          <w:sz w:val="18"/>
        </w:rPr>
        <w:t>agent/krypto/regime.py</w:t>
      </w:r>
      <w:r>
        <w:t>: Regime-Bestimmung ist im Kern BTC-Dominanz-/BTC-Matrix-basiert, nicht neutral verallgemeinerbar.</w:t>
      </w:r>
    </w:p>
    <w:p>
      <w:pPr>
        <w:pStyle w:val="ListBullet"/>
      </w:pPr>
      <w:r>
        <w:rPr>
          <w:rFonts w:ascii="Consolas" w:hAnsi="Consolas"/>
          <w:color w:val="882222"/>
          <w:sz w:val="18"/>
        </w:rPr>
        <w:t>agent/krypto/risk_gate.py</w:t>
      </w:r>
      <w:r>
        <w:t>: Stablecoins als Cash-Reserve-Ersatz — hat kein Äquivalent bei Aktien (dort wäre Cash echtes Bargeld/Geldmarkt).</w:t>
      </w:r>
    </w:p>
    <w:p>
      <w:pPr>
        <w:pStyle w:val="ListBullet"/>
      </w:pPr>
      <w:r>
        <w:t>On-Chain-Metriken (MVRV/NUPL/Exchange-Flows) und Krypto-Derivate (OI/Long-Short) sind außerhalb von Krypto bedeutungslos.</w:t>
      </w:r>
    </w:p>
    <w:p>
      <w:pPr>
        <w:jc w:val="left"/>
      </w:pPr>
      <w:r>
        <w:rPr>
          <w:b/>
        </w:rPr>
        <w:t>Entscheidung (Empfehlung, mit Nutzer abgestimmt 2026-07-09): eigene Agent-Logik pro Assetklasse, aber EINE gemeinsame Datenbank — keine separate DB je Assetklasse.</w:t>
      </w:r>
      <w:r>
        <w:t xml:space="preserve"> Eine vollständig getrennte Datenbank je Assetklasse würde die eigentliche Stärke eines Gesamtportfolios verhindern (echte Netto-Vermögensübersicht über Krypto+Aktien+Rohstoffe hinweg, siehe Portfolio-Tab/Gesamtwert). Stattdessen:</w:t>
      </w:r>
    </w:p>
    <w:p>
      <w:pPr>
        <w:pStyle w:val="ListNumber"/>
      </w:pPr>
      <w:r>
        <w:rPr>
          <w:b/>
        </w:rPr>
        <w:t>Eigene Agent-Module je Assetklasse</w:t>
      </w:r>
      <w:r>
        <w:t xml:space="preserve"> (z. B. </w:t>
      </w:r>
      <w:r>
        <w:rPr>
          <w:rFonts w:ascii="Consolas" w:hAnsi="Consolas"/>
          <w:color w:val="882222"/>
          <w:sz w:val="18"/>
        </w:rPr>
        <w:t>agent/krypto/regime.py</w:t>
      </w:r>
      <w:r>
        <w:t xml:space="preserve">, </w:t>
      </w:r>
      <w:r>
        <w:rPr>
          <w:rFonts w:ascii="Consolas" w:hAnsi="Consolas"/>
          <w:color w:val="882222"/>
          <w:sz w:val="18"/>
        </w:rPr>
        <w:t>agent/aktien/regime.py</w:t>
      </w:r>
      <w:r>
        <w:t>, jeweils mit eigenem Risiko-Gate/Facts-Schema/ Groq-Prompt) statt einem Versuch, eine "universelle" Regime-Engine zu bauen, die sowohl BTC-Dominanz als auch P/E-Ratios/Sektor-Rotation/VIX abdecken müsste — das würde entweder zu einer aufgeblähten If/Else-Kaskade oder zu einem verwässerten kleinsten gemeinsamen Nenner führen, der die bereits gebaute Krypto-Feinheit (BTC-Zyklus-Risk-Modell, antizyklische Flush-Erkennung, Stablecoin-Cash-Logik) verlieren würde.</w:t>
      </w:r>
    </w:p>
    <w:p>
      <w:pPr>
        <w:pStyle w:val="ListNumber"/>
      </w:pPr>
      <w:r>
        <w:rPr>
          <w:b/>
        </w:rPr>
        <w:t>DB-Schema generalisieren, aber erst beim ersten echten Zweit-Asset</w:t>
      </w:r>
      <w:r>
        <w:t xml:space="preserve">, nicht spekulativ vorab: </w:t>
      </w:r>
      <w:r>
        <w:rPr>
          <w:rFonts w:ascii="Consolas" w:hAnsi="Consolas"/>
          <w:color w:val="882222"/>
          <w:sz w:val="18"/>
        </w:rPr>
        <w:t>price_history</w:t>
      </w:r>
      <w:r>
        <w:t>/</w:t>
      </w:r>
      <w:r>
        <w:rPr>
          <w:rFonts w:ascii="Consolas" w:hAnsi="Consolas"/>
          <w:color w:val="882222"/>
          <w:sz w:val="18"/>
        </w:rPr>
        <w:t>price_cache</w:t>
      </w:r>
      <w:r>
        <w:t>/</w:t>
      </w:r>
      <w:r>
        <w:rPr>
          <w:rFonts w:ascii="Consolas" w:hAnsi="Consolas"/>
          <w:color w:val="882222"/>
          <w:sz w:val="18"/>
        </w:rPr>
        <w:t>marktscan_candidates</w:t>
      </w:r>
      <w:r>
        <w:t xml:space="preserve"> hängen aktuell hart an </w:t>
      </w:r>
      <w:r>
        <w:rPr>
          <w:rFonts w:ascii="Consolas" w:hAnsi="Consolas"/>
          <w:color w:val="882222"/>
          <w:sz w:val="18"/>
        </w:rPr>
        <w:t>coingecko_id</w:t>
      </w:r>
      <w:r>
        <w:t xml:space="preserve"> als Schlüssel — müsste auf eine generische </w:t>
      </w:r>
      <w:r>
        <w:rPr>
          <w:rFonts w:ascii="Consolas" w:hAnsi="Consolas"/>
          <w:color w:val="882222"/>
          <w:sz w:val="18"/>
        </w:rPr>
        <w:t>(asset_id, asset_klasse)</w:t>
      </w:r>
      <w:r>
        <w:t xml:space="preserve">-Kennung umgestellt werden. </w:t>
      </w:r>
      <w:r>
        <w:rPr>
          <w:rFonts w:ascii="Consolas" w:hAnsi="Consolas"/>
          <w:color w:val="882222"/>
          <w:sz w:val="18"/>
        </w:rPr>
        <w:t>holdings</w:t>
      </w:r>
      <w:r>
        <w:t xml:space="preserve"> bräuchte nur eine zusätzliche </w:t>
      </w:r>
      <w:r>
        <w:rPr>
          <w:rFonts w:ascii="Consolas" w:hAnsi="Consolas"/>
          <w:color w:val="882222"/>
          <w:sz w:val="18"/>
        </w:rPr>
        <w:t>asset_klasse</w:t>
      </w:r>
      <w:r>
        <w:t>-Spalte zum Filtern/Routen. Bewusst NICHT vorab umbauen, ohne einen konkreten zweiten Anwendungsfall vor Augen — sonst besteht das Risiko, die Abstraktion falsch zu treffen (YAGNI).</w:t>
      </w:r>
    </w:p>
    <w:p>
      <w:pPr>
        <w:pStyle w:val="ListNumber"/>
      </w:pPr>
      <w:r>
        <w:rPr>
          <w:b/>
        </w:rPr>
        <w:t>Eine Assetklasse zuerst konkret durchziehen, nicht alle gleichzeitig</w:t>
      </w:r>
      <w:r>
        <w:t xml:space="preserve"> — Aktien wären der pragmatischste Einstieg (freie Datenquellen wie yfinance großzügiger als bei Rohstoffen), bevor ETFs/Rohstoffe folgen.</w:t>
      </w:r>
    </w:p>
    <w:p>
      <w:pPr>
        <w:pStyle w:val="ListNumber"/>
      </w:pPr>
      <w:r>
        <w:rPr>
          <w:b/>
        </w:rPr>
        <w:t>Günstige, risikoarme Vorbereitung — ERLEDIGT (2026-07-09).</w:t>
      </w:r>
      <w:r>
        <w:t xml:space="preserve"> </w:t>
      </w:r>
      <w:r>
        <w:rPr>
          <w:rFonts w:ascii="Consolas" w:hAnsi="Consolas"/>
          <w:color w:val="882222"/>
          <w:sz w:val="18"/>
        </w:rPr>
        <w:t>agent/analyst.py</w:t>
      </w:r>
      <w:r>
        <w:t xml:space="preserve">/ </w:t>
      </w:r>
      <w:r>
        <w:rPr>
          <w:rFonts w:ascii="Consolas" w:hAnsi="Consolas"/>
          <w:color w:val="882222"/>
          <w:sz w:val="18"/>
        </w:rPr>
        <w:t>anticyclic.py</w:t>
      </w:r>
      <w:r>
        <w:t>/</w:t>
      </w:r>
      <w:r>
        <w:rPr>
          <w:rFonts w:ascii="Consolas" w:hAnsi="Consolas"/>
          <w:color w:val="882222"/>
          <w:sz w:val="18"/>
        </w:rPr>
        <w:t>marktscan.py</w:t>
      </w:r>
      <w:r>
        <w:t>/</w:t>
      </w:r>
      <w:r>
        <w:rPr>
          <w:rFonts w:ascii="Consolas" w:hAnsi="Consolas"/>
          <w:color w:val="882222"/>
          <w:sz w:val="18"/>
        </w:rPr>
        <w:t>pipeline.py</w:t>
      </w:r>
      <w:r>
        <w:t>/</w:t>
      </w:r>
      <w:r>
        <w:rPr>
          <w:rFonts w:ascii="Consolas" w:hAnsi="Consolas"/>
          <w:color w:val="882222"/>
          <w:sz w:val="18"/>
        </w:rPr>
        <w:t>regime.py</w:t>
      </w:r>
      <w:r>
        <w:t>/</w:t>
      </w:r>
      <w:r>
        <w:rPr>
          <w:rFonts w:ascii="Consolas" w:hAnsi="Consolas"/>
          <w:color w:val="882222"/>
          <w:sz w:val="18"/>
        </w:rPr>
        <w:t>risk_gate.py</w:t>
      </w:r>
      <w:r>
        <w:t xml:space="preserve"> liegen jetzt unter </w:t>
      </w:r>
      <w:r>
        <w:rPr>
          <w:rFonts w:ascii="Consolas" w:hAnsi="Consolas"/>
          <w:color w:val="882222"/>
          <w:sz w:val="18"/>
        </w:rPr>
        <w:t>agent/krypto/*</w:t>
      </w:r>
      <w:r>
        <w:t xml:space="preserve"> statt </w:t>
      </w:r>
      <w:r>
        <w:rPr>
          <w:rFonts w:ascii="Consolas" w:hAnsi="Consolas"/>
          <w:color w:val="882222"/>
          <w:sz w:val="18"/>
        </w:rPr>
        <w:t>agent/*</w:t>
      </w:r>
      <w:r>
        <w:t xml:space="preserve"> (reines Refactoring, keine Verhaltensänderung — alle Cross-Imports und Aufrufstellen live geprüft). </w:t>
      </w:r>
      <w:r>
        <w:rPr>
          <w:rFonts w:ascii="Consolas" w:hAnsi="Consolas"/>
          <w:color w:val="882222"/>
          <w:sz w:val="18"/>
        </w:rPr>
        <w:t>agent/cycles.py</w:t>
      </w:r>
      <w:r>
        <w:t xml:space="preserve"> (FOMC-Kalender/Präsidentschaftszyklus) bleibt bewusst auf Top-Level, da bereits assetklassen-neutral.</w:t>
      </w:r>
    </w:p>
    <w:p>
      <w:pPr>
        <w:jc w:val="left"/>
      </w:pPr>
      <w:r>
        <w:rPr>
          <w:b/>
        </w:rPr>
        <w:t>Slice 1 (reines Tracking) — ERLEDIGT (2026-07-09), ausgelöst durch echte Bitpanda-Bestände des Nutzers (Aktien/ETF/Rohstoffe seit dem 29.1.2026-Relaunch des dortigen steuereinfachen Wertpapierdepots).</w:t>
      </w:r>
      <w:r>
        <w:t xml:space="preserve"> Mit dem Nutzer abgestimmt: bewusst NUR Bestand/Kurs/Wert in Watchlist/Portfolio, KEINE Signale/Regime/Risiko-Gate/Marktscan für diese Assetklassen (Punkt 1 oben, eigene Agent-Module, bleibt ein separater, größerer Folge-Slice).</w:t>
      </w:r>
    </w:p>
    <w:p>
      <w:pPr>
        <w:pStyle w:val="ListBullet"/>
      </w:pPr>
      <w:r>
        <w:rPr>
          <w:b/>
        </w:rPr>
        <w:t>Datenmodell:</w:t>
      </w:r>
      <w:r>
        <w:t xml:space="preserve"> </w:t>
      </w:r>
      <w:r>
        <w:rPr>
          <w:rFonts w:ascii="Consolas" w:hAnsi="Consolas"/>
          <w:color w:val="882222"/>
          <w:sz w:val="18"/>
        </w:rPr>
        <w:t>config.py::WatchlistAsset</w:t>
      </w:r>
      <w:r>
        <w:t xml:space="preserve"> hat jetzt </w:t>
      </w:r>
      <w:r>
        <w:rPr>
          <w:rFonts w:ascii="Consolas" w:hAnsi="Consolas"/>
          <w:color w:val="882222"/>
          <w:sz w:val="18"/>
        </w:rPr>
        <w:t>assetklasse</w:t>
      </w:r>
      <w:r>
        <w:t xml:space="preserve"> (Default </w:t>
      </w:r>
      <w:r>
        <w:rPr>
          <w:rFonts w:ascii="Consolas" w:hAnsi="Consolas"/>
          <w:color w:val="882222"/>
          <w:sz w:val="18"/>
        </w:rPr>
        <w:t>"krypto"</w:t>
      </w:r>
      <w:r>
        <w:t xml:space="preserve">, rückwärtskompatibel) und </w:t>
      </w:r>
      <w:r>
        <w:rPr>
          <w:rFonts w:ascii="Consolas" w:hAnsi="Consolas"/>
          <w:color w:val="882222"/>
          <w:sz w:val="18"/>
        </w:rPr>
        <w:t>yfinance_symbol</w:t>
      </w:r>
      <w:r>
        <w:t xml:space="preserve">; </w:t>
      </w:r>
      <w:r>
        <w:rPr>
          <w:rFonts w:ascii="Consolas" w:hAnsi="Consolas"/>
          <w:color w:val="882222"/>
          <w:sz w:val="18"/>
        </w:rPr>
        <w:t>coingecko_id</w:t>
      </w:r>
      <w:r>
        <w:t xml:space="preserve"> ist optional geworden. </w:t>
      </w:r>
      <w:r>
        <w:rPr>
          <w:rFonts w:ascii="Consolas" w:hAnsi="Consolas"/>
          <w:color w:val="882222"/>
          <w:sz w:val="18"/>
        </w:rPr>
        <w:t>database/models.py::PriceSnapshot.coingecko_id</w:t>
      </w:r>
      <w:r>
        <w:t xml:space="preserve"> ebenso.</w:t>
      </w:r>
    </w:p>
    <w:p>
      <w:pPr>
        <w:pStyle w:val="ListBullet"/>
      </w:pPr>
      <w:r>
        <w:rPr>
          <w:b/>
        </w:rPr>
        <w:t>DB-Migration (Punkt 2, aber minimal statt vollständig):</w:t>
      </w:r>
      <w:r>
        <w:t xml:space="preserve"> nur </w:t>
      </w:r>
      <w:r>
        <w:rPr>
          <w:rFonts w:ascii="Consolas" w:hAnsi="Consolas"/>
          <w:color w:val="882222"/>
          <w:sz w:val="18"/>
        </w:rPr>
        <w:t>price_cache. coingecko_id</w:t>
      </w:r>
      <w:r>
        <w:t xml:space="preserve"> wurde NULL-fähig gemacht (SQLite-Tabellen-Neubau, da kein </w:t>
      </w:r>
      <w:r>
        <w:rPr>
          <w:rFonts w:ascii="Consolas" w:hAnsi="Consolas"/>
          <w:color w:val="882222"/>
          <w:sz w:val="18"/>
        </w:rPr>
        <w:t>ALTER COLUMN</w:t>
      </w:r>
      <w:r>
        <w:t xml:space="preserve">) — </w:t>
      </w:r>
      <w:r>
        <w:rPr>
          <w:rFonts w:ascii="Consolas" w:hAnsi="Consolas"/>
          <w:color w:val="882222"/>
          <w:sz w:val="18"/>
        </w:rPr>
        <w:t>price_history</w:t>
      </w:r>
      <w:r>
        <w:t>/</w:t>
      </w:r>
      <w:r>
        <w:rPr>
          <w:rFonts w:ascii="Consolas" w:hAnsi="Consolas"/>
          <w:color w:val="882222"/>
          <w:sz w:val="18"/>
        </w:rPr>
        <w:t>price_history_ohlc</w:t>
      </w:r>
      <w:r>
        <w:t>/</w:t>
      </w:r>
      <w:r>
        <w:rPr>
          <w:rFonts w:ascii="Consolas" w:hAnsi="Consolas"/>
          <w:color w:val="882222"/>
          <w:sz w:val="18"/>
        </w:rPr>
        <w:t>marktscan_candidates</w:t>
      </w:r>
      <w:r>
        <w:t xml:space="preserve"> bleiben bewusst unverändert Krypto-only, da dieser Slice keine Historie/Charts für die neuen Assetklassen liefert. Die volle </w:t>
      </w:r>
      <w:r>
        <w:rPr>
          <w:rFonts w:ascii="Consolas" w:hAnsi="Consolas"/>
          <w:color w:val="882222"/>
          <w:sz w:val="18"/>
        </w:rPr>
        <w:t>(asset_id, asset_klasse)</w:t>
      </w:r>
      <w:r>
        <w:t>-Generalisierung aus Punkt 2 bleibt weiterhin offen für einen künftigen Slice mit Historie/Charts.</w:t>
      </w:r>
    </w:p>
    <w:p>
      <w:pPr>
        <w:pStyle w:val="ListBullet"/>
      </w:pPr>
      <w:r>
        <w:rPr>
          <w:b/>
        </w:rPr>
        <w:t>Kursquelle:</w:t>
      </w:r>
      <w:r>
        <w:t xml:space="preserve"> neues </w:t>
      </w:r>
      <w:r>
        <w:rPr>
          <w:rFonts w:ascii="Consolas" w:hAnsi="Consolas"/>
          <w:color w:val="882222"/>
          <w:sz w:val="18"/>
        </w:rPr>
        <w:t>api/yfinance_client.py</w:t>
      </w:r>
      <w:r>
        <w:t xml:space="preserve"> (yfinance, kostenlos, kein Key) — Bitpanda selbst liefert für diese Assetklassen keine freien Marktdaten (live geprüft: </w:t>
      </w:r>
      <w:r>
        <w:rPr>
          <w:rFonts w:ascii="Consolas" w:hAnsi="Consolas"/>
          <w:color w:val="882222"/>
          <w:sz w:val="18"/>
        </w:rPr>
        <w:t>/v1/ticker</w:t>
      </w:r>
      <w:r>
        <w:t xml:space="preserve"> deckt nur Krypto + die separate Edelmetall-Wallet ab, die echte Wertpapier-Marktdaten-API ist ein B2B-Enterprise-Produkt). </w:t>
      </w:r>
      <w:r>
        <w:rPr>
          <w:rFonts w:ascii="Consolas" w:hAnsi="Consolas"/>
          <w:color w:val="882222"/>
          <w:sz w:val="18"/>
        </w:rPr>
        <w:t>fast_info</w:t>
      </w:r>
      <w:r>
        <w:t xml:space="preserve"> statt </w:t>
      </w:r>
      <w:r>
        <w:rPr>
          <w:rFonts w:ascii="Consolas" w:hAnsi="Consolas"/>
          <w:color w:val="882222"/>
          <w:sz w:val="18"/>
        </w:rPr>
        <w:t>.history()</w:t>
      </w:r>
      <w:r>
        <w:t xml:space="preserve">, da nur der aktuelle Kurs gebraucht wird; Währung wird aus </w:t>
      </w:r>
      <w:r>
        <w:rPr>
          <w:rFonts w:ascii="Consolas" w:hAnsi="Consolas"/>
          <w:color w:val="882222"/>
          <w:sz w:val="18"/>
        </w:rPr>
        <w:t>fast_info</w:t>
      </w:r>
      <w:r>
        <w:t xml:space="preserve"> gelesen statt angenommen (P-10).</w:t>
      </w:r>
    </w:p>
    <w:p>
      <w:pPr>
        <w:pStyle w:val="ListBullet"/>
      </w:pPr>
      <w:r>
        <w:rPr>
          <w:b/>
        </w:rPr>
        <w:t>Eigener Scheduler-Job</w:t>
      </w:r>
      <w:r>
        <w:t>, isoliert vom Krypto-Preis-Takt (P-10-Prinzip).</w:t>
      </w:r>
    </w:p>
    <w:p>
      <w:pPr>
        <w:pStyle w:val="ListBullet"/>
      </w:pPr>
      <w:r>
        <w:rPr>
          <w:b/>
        </w:rPr>
        <w:t>5 echte Bestände identifiziert und eingetragen:</w:t>
      </w:r>
      <w:r>
        <w:t xml:space="preserve"> VST (Vistra Corp, Aktie), OD7N (WisdomTree Silver ETC, Rohstoff), VVMX (VanEck Rare Earth &amp; Strategic Metals UCITS ETF), 3QSS (WisdomTree NASDAQ 100 3x Daily Short) und DBPK (Xtrackers S&amp;P 500 2x Inverse Daily Swap UCITS ETF) — letztere zwei sind laut Nutzer bewusste Absicherungs-/Hedging-Positionen, kein Widerspruch zu Z-1.</w:t>
      </w:r>
    </w:p>
    <w:p>
      <w:pPr>
        <w:pStyle w:val="ListBullet"/>
      </w:pPr>
      <w:r>
        <w:rPr>
          <w:b/>
        </w:rPr>
        <w:t>UI:</w:t>
      </w:r>
      <w:r>
        <w:t xml:space="preserve"> Watchlist/Portfolio zeigen eine neue "Assetklasse"-Spalte; der Bitpanda-Listing-Check (Krypto-spezifisch) wird für Nicht-Krypto-Zeilen übersprungen (zeigt "-" statt einer irreführenden "nicht gelistet"-Warnung). Signale-/Marktscan- Tab filtern Nicht-Krypto-Assets bereits aus der intern verwendeten Watchlist heraus (nicht nur der Anzeige), da </w:t>
      </w:r>
      <w:r>
        <w:rPr>
          <w:rFonts w:ascii="Consolas" w:hAnsi="Consolas"/>
          <w:color w:val="882222"/>
          <w:sz w:val="18"/>
        </w:rPr>
        <w:t>agent/krypto/risk_gate.py::_portfolio_values_usd()</w:t>
      </w:r>
      <w:r>
        <w:t xml:space="preserve"> sonst deren Wert in die Portfolio-Gesamtsumme für die Allokations-Prozentrechnung hätte einfließen lassen.</w:t>
      </w:r>
    </w:p>
    <w:p>
      <w:pPr>
        <w:pStyle w:val="ListBullet"/>
      </w:pPr>
      <w:r>
        <w:rPr>
          <w:b/>
        </w:rPr>
        <w:t>Nebenbefund + Fix:</w:t>
      </w:r>
      <w:r>
        <w:t xml:space="preserve"> </w:t>
      </w:r>
      <w:r>
        <w:rPr>
          <w:rFonts w:ascii="Consolas" w:hAnsi="Consolas"/>
          <w:color w:val="882222"/>
          <w:sz w:val="18"/>
        </w:rPr>
        <w:t>config.py::add_watchlist_entry()</w:t>
      </w:r>
      <w:r>
        <w:t xml:space="preserve"> hatte einen echten, bisher unentdeckten Bug — </w:t>
      </w:r>
      <w:r>
        <w:rPr>
          <w:rFonts w:ascii="Consolas" w:hAnsi="Consolas"/>
          <w:color w:val="882222"/>
          <w:sz w:val="18"/>
        </w:rPr>
        <w:t>Path.write_text()</w:t>
      </w:r>
      <w:r>
        <w:t xml:space="preserve"> wandelt unter Windows beim Schreiben jedes </w:t>
      </w:r>
      <w:r>
        <w:rPr>
          <w:rFonts w:ascii="Consolas" w:hAnsi="Consolas"/>
          <w:color w:val="882222"/>
          <w:sz w:val="18"/>
        </w:rPr>
        <w:t>\n</w:t>
      </w:r>
      <w:r>
        <w:t xml:space="preserve"> in </w:t>
      </w:r>
      <w:r>
        <w:rPr>
          <w:rFonts w:ascii="Consolas" w:hAnsi="Consolas"/>
          <w:color w:val="882222"/>
          <w:sz w:val="18"/>
        </w:rPr>
        <w:t>\r\n</w:t>
      </w:r>
      <w:r>
        <w:t xml:space="preserve"> um, was bei jedem Aufruf die GESAMTE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 von LF auf CRLF umgestellt hätte, nicht nur die neuen Zeilen (Widerspruch zum eigenen "byte-für-byte unangetastet"-Versprechen der Funktion). Behoben durch </w:t>
      </w:r>
      <w:r>
        <w:rPr>
          <w:rFonts w:ascii="Consolas" w:hAnsi="Consolas"/>
          <w:color w:val="882222"/>
          <w:sz w:val="18"/>
        </w:rPr>
        <w:t>read_bytes()</w:t>
      </w:r>
      <w:r>
        <w:t>/</w:t>
      </w:r>
      <w:r>
        <w:rPr>
          <w:rFonts w:ascii="Consolas" w:hAnsi="Consolas"/>
          <w:color w:val="882222"/>
          <w:sz w:val="18"/>
        </w:rPr>
        <w:t>write_bytes()</w:t>
      </w:r>
      <w:r>
        <w:t xml:space="preserve"> mit expliziter Zeilenende-Erkennung.</w:t>
      </w:r>
    </w:p>
    <w:p>
      <w:pPr>
        <w:pStyle w:val="ListBullet"/>
      </w:pPr>
      <w:r>
        <w:rPr>
          <w:b/>
        </w:rPr>
        <w:t>Live verifiziert:</w:t>
      </w:r>
      <w:r>
        <w:t xml:space="preserve"> alle 5 echten Symbole liefern korrekten Kurs in der richtigen Währung, Fehlerisolierung je Symbol bestätigt, bestehende 41 Krypto-Assets unverändert funktionsfähig, DB-Migration ohne Datenverlust, vollständiger End-to-End-Test (App-Start → Watchlist zeigt 46 Assets → Preis-Job befüllt </w:t>
      </w:r>
      <w:r>
        <w:rPr>
          <w:rFonts w:ascii="Consolas" w:hAnsi="Consolas"/>
          <w:color w:val="882222"/>
          <w:sz w:val="18"/>
        </w:rPr>
        <w:t>price_cache</w:t>
      </w:r>
      <w:r>
        <w:t xml:space="preserve"> → Portfolio berechnet korrekten Wert für einen Test-Bestand → Signale-/Marktscan-Tab zeigen unverändert nur Krypto-Assets).</w:t>
      </w:r>
    </w:p>
    <w:p>
      <w:pPr>
        <w:jc w:val="left"/>
      </w:pPr>
      <w:r>
        <w:t>Punkte 2 (volle Schema-Generalisierung) und 3 (eigene Agent-Module je Assetklasse) bleiben bewusst offen für einen künftigen, separaten Slice.</w:t>
      </w:r>
    </w:p>
    <w:p>
      <w:pPr>
        <w:pStyle w:val="Heading2"/>
      </w:pPr>
      <w:r>
        <w:t>12. Rechtlicher Hinweis</w:t>
      </w:r>
    </w:p>
    <w:p>
      <w:pPr>
        <w:jc w:val="left"/>
      </w:pPr>
      <w:r>
        <w:t xml:space="preserve">Das Tool dient der privaten Information und Entscheidungsunterstützung und stellt </w:t>
      </w:r>
      <w:r>
        <w:rPr>
          <w:b/>
        </w:rPr>
        <w:t>KEINE Anlageberatung</w:t>
      </w:r>
      <w:r>
        <w:t xml:space="preserve"> dar. Empfehlungen sind algorithmisch/KI-generiert und können fehlerhaft sein. Trading birgt Verlustrisiken (Hebel: Totalverlust möglich). Die letzte Entscheidung und Verantwortung liegen beim Nutzer. Dieser Hinweis sollte in der UI sichtbar sein.</w:t>
      </w:r>
    </w:p>
    <w:p>
      <w:pPr>
        <w:pStyle w:val="Heading2"/>
      </w:pPr>
      <w:r>
        <w:t>13. Marktscan — Entdeckung neuer Assets</w:t>
      </w:r>
    </w:p>
    <w:p>
      <w:pPr>
        <w:jc w:val="left"/>
      </w:pPr>
      <w:r>
        <w:t xml:space="preserve">Werte in </w:t>
      </w:r>
      <w:r>
        <w:rPr>
          <w:rFonts w:ascii="Consolas" w:hAnsi="Consolas"/>
          <w:color w:val="882222"/>
          <w:sz w:val="18"/>
        </w:rPr>
        <w:t>config.yaml → marktscan</w:t>
      </w:r>
      <w:r>
        <w:t xml:space="preserve">. Der Agent bewertet nicht nur Bestands-/Watchlist- Assets, sondern sucht </w:t>
      </w:r>
      <w:r>
        <w:rPr>
          <w:b/>
        </w:rPr>
        <w:t>aktiv neue, bisher nicht erfasste Assets</w:t>
      </w:r>
      <w:r>
        <w:t xml:space="preserve"> und nimmt aussichts- reiche Kandidaten eigenständig als </w:t>
      </w:r>
      <w:r>
        <w:rPr>
          <w:rFonts w:ascii="Consolas" w:hAnsi="Consolas"/>
          <w:color w:val="882222"/>
          <w:sz w:val="18"/>
        </w:rPr>
        <w:t>status: watchlist</w:t>
      </w:r>
      <w:r>
        <w:t xml:space="preserve"> auf — als Grundlage für Kauf- Empfehlungen abseits der bestehenden Liste. Advisory-only (P-7): Aufnahme in die Watchlist ist eine Daten-, keine Handelsaktion.</w:t>
      </w:r>
    </w:p>
    <w:p>
      <w:pPr>
        <w:pStyle w:val="ListBullet"/>
      </w:pPr>
      <w:r>
        <w:rPr>
          <w:b/>
        </w:rPr>
        <w:t>MS-1 Ablauf: ERLEDIGT.</w:t>
      </w:r>
      <w:r>
        <w:t xml:space="preserve"> (a) </w:t>
      </w:r>
      <w:r>
        <w:rPr>
          <w:b/>
        </w:rPr>
        <w:t>Nachgebessert (2026-07-09, gleicher Tag, Nutzer-Wunsch "eleganter lösen"):</w:t>
      </w:r>
      <w:r>
        <w:t xml:space="preserve"> ursprünglich war bewusst KEIN automatisches Schreiben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 vorgesehen (Sorge: die Datei ist explizit handgepflegt, "BEARBEITEN IN NOTEPAD++", ein </w:t>
      </w:r>
      <w:r>
        <w:rPr>
          <w:rFonts w:ascii="Consolas" w:hAnsi="Consolas"/>
          <w:color w:val="882222"/>
          <w:sz w:val="18"/>
        </w:rPr>
        <w:t>yaml.dump()</w:t>
      </w:r>
      <w:r>
        <w:t xml:space="preserve">-Rundlauf hätte Kommentare/Formatierung zerstört) — stattdessen nur ein copy-paste-barer YAML-Block. Das wurde durch einen </w:t>
      </w:r>
      <w:r>
        <w:rPr>
          <w:b/>
        </w:rPr>
        <w:t>sicheren direkten Schreibweg</w:t>
      </w:r>
      <w:r>
        <w:t xml:space="preserve"> ersetzt: </w:t>
      </w:r>
      <w:r>
        <w:rPr>
          <w:rFonts w:ascii="Consolas" w:hAnsi="Consolas"/>
          <w:color w:val="882222"/>
          <w:sz w:val="18"/>
        </w:rPr>
        <w:t>config.py::add_watchlist_entry()</w:t>
      </w:r>
      <w:r>
        <w:t xml:space="preserve"> fügt den neuen Eintrag als reinen TEXT-Block chirurgisch ans Ende des bestehenden </w:t>
      </w:r>
      <w:r>
        <w:rPr>
          <w:rFonts w:ascii="Consolas" w:hAnsi="Consolas"/>
          <w:color w:val="882222"/>
          <w:sz w:val="18"/>
        </w:rPr>
        <w:t>watchlist:</w:t>
      </w:r>
      <w:r>
        <w:t>-Blocks an (keine volle YAML-Neuserialisierung, Rest der Datei byte-für-byte unangetastet), legt IMMER vorher ein Backup an (</w:t>
      </w:r>
      <w:r>
        <w:rPr>
          <w:rFonts w:ascii="Consolas" w:hAnsi="Consolas"/>
          <w:color w:val="882222"/>
          <w:sz w:val="18"/>
        </w:rPr>
        <w:t>.claude/backups/config.yaml.&lt;Zeitstempel&gt;.bak</w:t>
      </w:r>
      <w:r>
        <w:t xml:space="preserve">) und validiert die neue Datei danach per </w:t>
      </w:r>
      <w:r>
        <w:rPr>
          <w:rFonts w:ascii="Consolas" w:hAnsi="Consolas"/>
          <w:color w:val="882222"/>
          <w:sz w:val="18"/>
        </w:rPr>
        <w:t>yaml.safe_load()</w:t>
      </w:r>
      <w:r>
        <w:t xml:space="preserve"> — bei jedem Fehlschlag automatische Backup-Wiederherstellung (Fail-Loud) + Fallback auf den ursprünglichen Copy-Paste-YAML-Weg, damit der Nutzer nie ohne Ausweg dasteht. Live-verifiziert: Diff für einen echten Add ist exakt die 5 neuen Zeilen, nichts sonst in der 400+-Zeilen-Datei verändert. (b) Statt automatisch für JEDEN Kandidaten eine volle P-5-Begründung zu generieren, ist das </w:t>
      </w:r>
      <w:r>
        <w:rPr>
          <w:b/>
        </w:rPr>
        <w:t>hybrid</w:t>
      </w:r>
      <w:r>
        <w:t xml:space="preserve">: immer per UI-Klick verfügbar, zusätzlich per Konfig-Schalter </w:t>
      </w:r>
      <w:r>
        <w:rPr>
          <w:rFonts w:ascii="Consolas" w:hAnsi="Consolas"/>
          <w:color w:val="882222"/>
          <w:sz w:val="18"/>
        </w:rPr>
        <w:t>marktscan.groq_automatisch_kaufkandidaten</w:t>
      </w:r>
      <w:r>
        <w:t xml:space="preserve"> (Default </w:t>
      </w:r>
      <w:r>
        <w:rPr>
          <w:rFonts w:ascii="Consolas" w:hAnsi="Consolas"/>
          <w:color w:val="882222"/>
          <w:sz w:val="18"/>
        </w:rPr>
        <w:t>false</w:t>
      </w:r>
      <w:r>
        <w:t xml:space="preserve">) automatisch nur für </w:t>
      </w:r>
      <w:r>
        <w:rPr>
          <w:rFonts w:ascii="Consolas" w:hAnsi="Consolas"/>
          <w:color w:val="882222"/>
          <w:sz w:val="18"/>
        </w:rPr>
        <w:t>kaufkandidat</w:t>
      </w:r>
      <w:r>
        <w:t xml:space="preserve">-Treffer — kostenbewusst, Groq-Calls bleiben dadurch auf eine Handvoll/Tag begrenzt statt einer pro Rohkandidat. (c) Der Nutzer entscheidet über die GUI (U-10, </w:t>
      </w:r>
      <w:r>
        <w:rPr>
          <w:rFonts w:ascii="Consolas" w:hAnsi="Consolas"/>
          <w:color w:val="882222"/>
          <w:sz w:val="18"/>
        </w:rPr>
        <w:t>ui/marktscan_view.py</w:t>
      </w:r>
      <w:r>
        <w:t>: "In Watchlist übernehmen"/"Verwerfen"), ob ein Kandidat übernommen oder verworfen wird — wortgetreu umgesetzt (seit dem Schreibweg-Update sogar direkter als ursprünglich geplant).</w:t>
      </w:r>
    </w:p>
    <w:p>
      <w:pPr>
        <w:pStyle w:val="ListBullet"/>
      </w:pPr>
      <w:r>
        <w:rPr>
          <w:b/>
        </w:rPr>
        <w:t>MS-2 Datenquelle: ERLEDIGT.</w:t>
      </w:r>
      <w:r>
        <w:t xml:space="preserve"> CoinGecko Trending (</w:t>
      </w:r>
      <w:r>
        <w:rPr>
          <w:rFonts w:ascii="Consolas" w:hAnsi="Consolas"/>
          <w:color w:val="882222"/>
          <w:sz w:val="18"/>
        </w:rPr>
        <w:t>/search/trending</w:t>
      </w:r>
      <w:r>
        <w:t xml:space="preserve">) + Top-Gainers. </w:t>
      </w:r>
      <w:r>
        <w:rPr>
          <w:b/>
        </w:rPr>
        <w:t>Wichtiger Live-Fund (2026-07-09):</w:t>
      </w:r>
      <w:r>
        <w:t xml:space="preserve"> der </w:t>
      </w:r>
      <w:r>
        <w:rPr>
          <w:rFonts w:ascii="Consolas" w:hAnsi="Consolas"/>
          <w:color w:val="882222"/>
          <w:sz w:val="18"/>
        </w:rPr>
        <w:t>order=price_change_percentage_24h_desc</w:t>
      </w:r>
      <w:r>
        <w:t xml:space="preserve">- Parameter von </w:t>
      </w:r>
      <w:r>
        <w:rPr>
          <w:rFonts w:ascii="Consolas" w:hAnsi="Consolas"/>
          <w:color w:val="882222"/>
          <w:sz w:val="18"/>
        </w:rPr>
        <w:t>/coins/markets</w:t>
      </w:r>
      <w:r>
        <w:t xml:space="preserve"> ist auf der Free-Tier praktisch wirkungslos (liefert weiterhin nach Marktkap. sortierte Ergebnisse) — Workaround: mehrere Seiten mit </w:t>
      </w:r>
      <w:r>
        <w:rPr>
          <w:rFonts w:ascii="Consolas" w:hAnsi="Consolas"/>
          <w:color w:val="882222"/>
          <w:sz w:val="18"/>
        </w:rPr>
        <w:t>order=market_cap_desc</w:t>
      </w:r>
      <w:r>
        <w:t xml:space="preserve"> abrufen und client-seitig in Python nach 24h-Änderung sortieren (</w:t>
      </w:r>
      <w:r>
        <w:rPr>
          <w:rFonts w:ascii="Consolas" w:hAnsi="Consolas"/>
          <w:color w:val="882222"/>
          <w:sz w:val="18"/>
        </w:rPr>
        <w:t>api/coingecko.py::fetch_top_gainers()</w:t>
      </w:r>
      <w:r>
        <w:t>).</w:t>
      </w:r>
    </w:p>
    <w:p>
      <w:pPr>
        <w:pStyle w:val="ListBullet"/>
      </w:pPr>
      <w:r>
        <w:rPr>
          <w:b/>
        </w:rPr>
        <w:t>MS-3 Frequenz: ERLEDIGT.</w:t>
      </w:r>
      <w:r>
        <w:t xml:space="preserve"> 2× täglich, </w:t>
      </w:r>
      <w:r>
        <w:rPr>
          <w:b/>
        </w:rPr>
        <w:t>04:00 und 16:00</w:t>
      </w:r>
      <w:r>
        <w:t xml:space="preserve">, per APScheduler </w:t>
      </w:r>
      <w:r>
        <w:rPr>
          <w:rFonts w:ascii="Consolas" w:hAnsi="Consolas"/>
          <w:color w:val="882222"/>
          <w:sz w:val="18"/>
        </w:rPr>
        <w:t>CronTrigger</w:t>
      </w:r>
      <w:r>
        <w:t xml:space="preserve"> (</w:t>
      </w:r>
      <w:r>
        <w:rPr>
          <w:rFonts w:ascii="Consolas" w:hAnsi="Consolas"/>
          <w:color w:val="882222"/>
          <w:sz w:val="18"/>
        </w:rPr>
        <w:t>scheduler/background.py::marktscan_job()</w:t>
      </w:r>
      <w:r>
        <w:t xml:space="preserve">, erster Cron-Job im Projekt — vorherige Jobs nutzten nur feste Intervalle). Respektiert </w:t>
      </w:r>
      <w:r>
        <w:rPr>
          <w:rFonts w:ascii="Consolas" w:hAnsi="Consolas"/>
          <w:color w:val="882222"/>
          <w:sz w:val="18"/>
        </w:rPr>
        <w:t>config.yaml marktscan.aktiv</w:t>
      </w:r>
      <w:r>
        <w:t xml:space="preserve"> (Deaktivierung möglich, überspringt sauber statt Fehler zu werfen).</w:t>
      </w:r>
    </w:p>
    <w:p>
      <w:pPr>
        <w:pStyle w:val="Heading3"/>
      </w:pPr>
      <w:r>
        <w:t>Stufe A — Ausschluss &amp; Einordnung (harte Filter, Tier-Modell)</w:t>
      </w:r>
    </w:p>
    <w:p>
      <w:pPr>
        <w:jc w:val="left"/>
      </w:pPr>
      <w:r>
        <w:t xml:space="preserve">Kein Einzel-Cutoff, sondern ein </w:t>
      </w:r>
      <w:r>
        <w:rPr>
          <w:b/>
        </w:rPr>
        <w:t>Tier-Modell</w:t>
      </w:r>
      <w:r>
        <w:t xml:space="preserve"> (Grenzen vorläufig):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Marktkap.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</w:tr>
      <w:tr>
        <w:tc>
          <w:tcPr>
            <w:tcW w:type="dxa" w:w="2160"/>
          </w:tcPr>
          <w:p>
            <w:r/>
            <w:r>
              <w:t>Tier 1</w:t>
            </w:r>
          </w:p>
        </w:tc>
        <w:tc>
          <w:tcPr>
            <w:tcW w:type="dxa" w:w="2160"/>
          </w:tcPr>
          <w:p>
            <w:r/>
            <w:r>
              <w:t>≥ ~1 Mrd. USD</w:t>
            </w:r>
          </w:p>
        </w:tc>
        <w:tc>
          <w:tcPr>
            <w:tcW w:type="dxa" w:w="2160"/>
          </w:tcPr>
          <w:p>
            <w:r/>
            <w:r>
              <w:t>Kern-Diversifikation, Narrativ-Abdeckung</w:t>
            </w:r>
          </w:p>
        </w:tc>
        <w:tc>
          <w:tcPr>
            <w:tcW w:type="dxa" w:w="2160"/>
          </w:tcPr>
          <w:p>
            <w:r/>
            <w:r>
              <w:t>Standard</w:t>
            </w:r>
          </w:p>
        </w:tc>
      </w:tr>
      <w:tr>
        <w:tc>
          <w:tcPr>
            <w:tcW w:type="dxa" w:w="2160"/>
          </w:tcPr>
          <w:p>
            <w:r/>
            <w:r>
              <w:t>Tier 2</w:t>
            </w:r>
          </w:p>
        </w:tc>
        <w:tc>
          <w:tcPr>
            <w:tcW w:type="dxa" w:w="2160"/>
          </w:tcPr>
          <w:p>
            <w:r/>
            <w:r>
              <w:t>~150 Mio.–1 Mrd.</w:t>
            </w:r>
          </w:p>
        </w:tc>
        <w:tc>
          <w:tcPr>
            <w:tcW w:type="dxa" w:w="2160"/>
          </w:tcPr>
          <w:p>
            <w:r/>
            <w:r>
              <w:t>Wachstums-Chance</w:t>
            </w:r>
          </w:p>
        </w:tc>
        <w:tc>
          <w:tcPr>
            <w:tcW w:type="dxa" w:w="2160"/>
          </w:tcPr>
          <w:p>
            <w:r/>
            <w:r>
              <w:t>strenger</w:t>
            </w:r>
          </w:p>
        </w:tc>
      </w:tr>
      <w:tr>
        <w:tc>
          <w:tcPr>
            <w:tcW w:type="dxa" w:w="2160"/>
          </w:tcPr>
          <w:p>
            <w:r/>
            <w:r>
              <w:t>Tier 3</w:t>
            </w:r>
          </w:p>
        </w:tc>
        <w:tc>
          <w:tcPr>
            <w:tcW w:type="dxa" w:w="2160"/>
          </w:tcPr>
          <w:p>
            <w:r/>
            <w:r>
              <w:t>~20–150 Mio.</w:t>
            </w:r>
          </w:p>
        </w:tc>
        <w:tc>
          <w:tcPr>
            <w:tcW w:type="dxa" w:w="2160"/>
          </w:tcPr>
          <w:p>
            <w:r/>
            <w:r>
              <w:t>Small-Cap-Beimischung (High-Risk)</w:t>
            </w:r>
          </w:p>
        </w:tc>
        <w:tc>
          <w:tcPr>
            <w:tcW w:type="dxa" w:w="2160"/>
          </w:tcPr>
          <w:p>
            <w:r/>
            <w:r>
              <w:t>strengste Signale + Budget-Deckel</w:t>
            </w:r>
          </w:p>
        </w:tc>
      </w:tr>
    </w:tbl>
    <w:p/>
    <w:p>
      <w:pPr>
        <w:pStyle w:val="ListBullet"/>
      </w:pPr>
      <w:r>
        <w:rPr>
          <w:b/>
        </w:rPr>
        <w:t>A(MS)-1 Tier-3-Budgetdeckel: ERLEDIGT.</w:t>
      </w:r>
      <w:r>
        <w:t xml:space="preserve"> Small Caps insgesamt max. </w:t>
      </w:r>
      <w:r>
        <w:rPr>
          <w:b/>
        </w:rPr>
        <w:t>10–15 %</w:t>
      </w:r>
      <w:r>
        <w:t xml:space="preserve"> des Portfolios (regime-abhängig, </w:t>
      </w:r>
      <w:r>
        <w:rPr>
          <w:rFonts w:ascii="Consolas" w:hAnsi="Consolas"/>
          <w:color w:val="882222"/>
          <w:sz w:val="18"/>
        </w:rPr>
        <w:t>config.yaml → regime.profile[*].small_cap_budget_prozent</w:t>
      </w:r>
      <w:r>
        <w:t>). Ein Tier-3-</w:t>
      </w:r>
      <w:r>
        <w:rPr>
          <w:rFonts w:ascii="Consolas" w:hAnsi="Consolas"/>
          <w:color w:val="882222"/>
          <w:sz w:val="18"/>
        </w:rPr>
        <w:t>kaufkandidat</w:t>
      </w:r>
      <w:r>
        <w:t xml:space="preserve"> ohne Budget-Headroom (</w:t>
      </w:r>
      <w:r>
        <w:rPr>
          <w:rFonts w:ascii="Consolas" w:hAnsi="Consolas"/>
          <w:color w:val="882222"/>
          <w:sz w:val="18"/>
        </w:rPr>
        <w:t>agent/krypto/risk_gate.py:: small_cap_budget_headroom()</w:t>
      </w:r>
      <w:r>
        <w:t xml:space="preserve">, extrahiert aus </w:t>
      </w:r>
      <w:r>
        <w:rPr>
          <w:rFonts w:ascii="Consolas" w:hAnsi="Consolas"/>
          <w:color w:val="882222"/>
          <w:sz w:val="18"/>
        </w:rPr>
        <w:t>pre_check()</w:t>
      </w:r>
      <w:r>
        <w:t xml:space="preserve">) wird in Stufe D auf </w:t>
      </w:r>
      <w:r>
        <w:rPr>
          <w:rFonts w:ascii="Consolas" w:hAnsi="Consolas"/>
          <w:color w:val="882222"/>
          <w:sz w:val="18"/>
        </w:rPr>
        <w:t>watchlist_wuerdig</w:t>
      </w:r>
      <w:r>
        <w:t xml:space="preserve"> heruntergestuft, statt einen "Kaufkandidaten" zu zeigen, den das echte Risiko-Gate sofort veto'en würde.</w:t>
      </w:r>
    </w:p>
    <w:p>
      <w:pPr>
        <w:pStyle w:val="ListBullet"/>
      </w:pPr>
      <w:r>
        <w:rPr>
          <w:b/>
        </w:rPr>
        <w:t>A(MS)-2 Weiche Untergrenze:</w:t>
      </w:r>
      <w:r>
        <w:t xml:space="preserve"> noch nicht als eigener Override umgesetzt (bewusst ausgelassen in dieser Slice — Coins &lt; 20 Mio. USD fallen aktuell einfach durch Stufe A, kein Sonderpfad).</w:t>
      </w:r>
    </w:p>
    <w:p>
      <w:pPr>
        <w:pStyle w:val="ListBullet"/>
      </w:pPr>
      <w:r>
        <w:rPr>
          <w:b/>
        </w:rPr>
        <w:t>A(MS)-3 weitere Filter: ERLEDIGT.</w:t>
      </w:r>
      <w:r>
        <w:t xml:space="preserve"> Mindest-Handelsvolumen 24h, Mindestalter (Näherung über </w:t>
      </w:r>
      <w:r>
        <w:rPr>
          <w:rFonts w:ascii="Consolas" w:hAnsi="Consolas"/>
          <w:color w:val="882222"/>
          <w:sz w:val="18"/>
        </w:rPr>
        <w:t>atl_date</w:t>
      </w:r>
      <w:r>
        <w:t>, siehe unten), Volumen/Marktkap.-Ratio, Stablecoin-Filter (Preis-nahe-1-$-Heuristik, kein Categories-API-Call), Duplikat-Check gegen bestehende Watchlist UND bereits vom Nutzer entschiedene frühere Kandidaten (</w:t>
      </w:r>
      <w:r>
        <w:rPr>
          <w:rFonts w:ascii="Consolas" w:hAnsi="Consolas"/>
          <w:color w:val="882222"/>
          <w:sz w:val="18"/>
        </w:rPr>
        <w:t>agent/krypto/marktscan.py::apply_stufe_a_filters()</w:t>
      </w:r>
      <w:r>
        <w:t>/</w:t>
      </w:r>
      <w:r>
        <w:rPr>
          <w:rFonts w:ascii="Consolas" w:hAnsi="Consolas"/>
          <w:color w:val="882222"/>
          <w:sz w:val="18"/>
        </w:rPr>
        <w:t>_duplicate_should_skip()</w:t>
      </w:r>
      <w:r>
        <w:t xml:space="preserve">). </w:t>
      </w:r>
      <w:r>
        <w:rPr>
          <w:b/>
        </w:rPr>
        <w:t>Wichtiger Live-Fund:</w:t>
      </w:r>
      <w:r>
        <w:t xml:space="preserve"> CoinGecko liefert kein echtes Listing-Datum — das Mindestalter wird über das Datum des Allzeittiefs (</w:t>
      </w:r>
      <w:r>
        <w:rPr>
          <w:rFonts w:ascii="Consolas" w:hAnsi="Consolas"/>
          <w:color w:val="882222"/>
          <w:sz w:val="18"/>
        </w:rPr>
        <w:t>atl_date</w:t>
      </w:r>
      <w:r>
        <w:t>) angenähert (dokumentierter Proxy, wie der bestehende ATR-Close-to-Close-Proxy). Für reine Trending-Funde (nicht auch über Top-Gainers gefunden) ist auch das nicht verfügbar — solche Kandidaten fallen durch den Alters-Filter.</w:t>
      </w:r>
    </w:p>
    <w:p>
      <w:pPr>
        <w:pStyle w:val="ListBullet"/>
      </w:pPr>
      <w:r>
        <w:rPr>
          <w:b/>
        </w:rPr>
        <w:t>A(MS)-4 Geltungsbereich:</w:t>
      </w:r>
      <w:r>
        <w:t xml:space="preserve"> Nur für </w:t>
      </w:r>
      <w:r>
        <w:rPr>
          <w:b/>
        </w:rPr>
        <w:t>Agent-Neufunde</w:t>
      </w:r>
      <w:r>
        <w:t>; manuelle Nutzer-Picks bleiben unberührt (dürfen riskanter sein).</w:t>
      </w:r>
    </w:p>
    <w:p>
      <w:pPr>
        <w:pStyle w:val="ListBullet"/>
      </w:pPr>
      <w:r>
        <w:rPr>
          <w:b/>
        </w:rPr>
        <w:t>A(MS)-5 Narrativ-Abdeckung</w:t>
      </w:r>
      <w:r>
        <w:t xml:space="preserve"> (RWA, KI, DePIN, L1/L2 …): bewusst NICHT bewertet (bräuchte einen zusätzlichen </w:t>
      </w:r>
      <w:r>
        <w:rPr>
          <w:rFonts w:ascii="Consolas" w:hAnsi="Consolas"/>
          <w:color w:val="882222"/>
          <w:sz w:val="18"/>
        </w:rPr>
        <w:t>/coins/{id}</w:t>
      </w:r>
      <w:r>
        <w:t>-Call pro Kandidat) — als offener Punkt dokumentiert, kein stillschweigender Abstrich.</w:t>
      </w:r>
    </w:p>
    <w:p>
      <w:pPr>
        <w:pStyle w:val="ListBullet"/>
      </w:pPr>
      <w:r>
        <w:rPr>
          <w:b/>
        </w:rPr>
        <w:t>A(MS)-6 Handelsbörsen-Check (Bitpanda): ERLEDIGT (2026-07-09, Nutzer-Wunsch, noch am selben Tag auf Namensabgleich nachgebessert).</w:t>
      </w:r>
      <w:r>
        <w:t xml:space="preserve"> Weder CoinGecko noch Kraken wissen, ob ein Coin auf der tatsächlichen Handelsbörse des Nutzers (Bitpanda) überhaupt kaufbar ist — ein Marktscan-Kandidat (oder sogar ein bereits bestehender Watchlist-Eintrag) kann bei beiden existieren, ohne dort gelistet zu sein. </w:t>
      </w:r>
      <w:r>
        <w:rPr>
          <w:rFonts w:ascii="Consolas" w:hAnsi="Consolas"/>
          <w:color w:val="882222"/>
          <w:sz w:val="18"/>
        </w:rPr>
        <w:t>api/bitpanda.py::get_listed_assets()</w:t>
      </w:r>
      <w:r>
        <w:t xml:space="preserve"> — öffentlicher, paginierter </w:t>
      </w:r>
      <w:r>
        <w:rPr>
          <w:rFonts w:ascii="Consolas" w:hAnsi="Consolas"/>
          <w:color w:val="882222"/>
          <w:sz w:val="18"/>
        </w:rPr>
        <w:t>/v3/assets</w:t>
      </w:r>
      <w:r>
        <w:t xml:space="preserve">-Endpunkt (kein Key nötig, live verifiziert 866 Krypto-relevante Einträge), liefert Symbol UND Name je Asset. </w:t>
      </w:r>
      <w:r>
        <w:rPr>
          <w:rFonts w:ascii="Consolas" w:hAnsi="Consolas"/>
          <w:color w:val="882222"/>
          <w:sz w:val="18"/>
        </w:rPr>
        <w:t>is_listed()</w:t>
      </w:r>
      <w:r>
        <w:t xml:space="preserve"> prüft primär per Symbol (inkl. bekannter Ticker-Abweichungen, </w:t>
      </w:r>
      <w:r>
        <w:rPr>
          <w:rFonts w:ascii="Consolas" w:hAnsi="Consolas"/>
          <w:color w:val="882222"/>
          <w:sz w:val="18"/>
        </w:rPr>
        <w:t>BITPANDA_SYMBOL_OVERRIDES</w:t>
      </w:r>
      <w:r>
        <w:t xml:space="preserve">) und fällt bei Fehlschlag automatisch auf einen Namensvergleich zurück — deckt damit auch künftig unbekannte Symbol-Mismatches ab, ohne jeden Fall manuell nachtragen zu müssen. </w:t>
      </w:r>
      <w:r>
        <w:rPr>
          <w:b/>
        </w:rPr>
        <w:t>Bewusst NUR Warnung, kein Stufe-A-Ausschluss</w:t>
      </w:r>
      <w:r>
        <w:t xml:space="preserve"> (ein nicht gelisteter Coin kann trotzdem beobachtenswert sein) — sichtbar als eigene Spalte im Marktscan-Tab UND im bestehenden Watchlist-Tab (</w:t>
      </w:r>
      <w:r>
        <w:rPr>
          <w:rFonts w:ascii="Consolas" w:hAnsi="Consolas"/>
          <w:color w:val="882222"/>
          <w:sz w:val="18"/>
        </w:rPr>
        <w:t>ui/app.py</w:t>
      </w:r>
      <w:r>
        <w:t xml:space="preserve">), zusätzlich verstärkte Warnung im "In Watchlist übernehmen"-Dialog. Einmal pro Scan-Lauf bzw. beim App-Start/manuellen Refresh abgerufen, nicht im 3-Sekunden-Poll. </w:t>
      </w:r>
      <w:r>
        <w:rPr>
          <w:b/>
        </w:rPr>
        <w:t>Live-Fund + vollständiger Audit:</w:t>
      </w:r>
      <w:r>
        <w:t xml:space="preserve"> deckte zunächst einen echten Bestandsfall auf — CANTON war in der Watchlist, aber der interne Ticker weicht vom Marktstandard ("CC") ab. Vollständiger Namensabgleich aller 41 Watchlist-Assets bestätigte danach: CANTON war der EINZIGE Fall, keine weiteren Mismatches gefunden.</w:t>
      </w:r>
    </w:p>
    <w:p>
      <w:pPr>
        <w:pStyle w:val="Heading3"/>
      </w:pPr>
      <w:r>
        <w:t>Stufe B / C / D — ERLEDIGT (Slice, 2026-07-09)</w:t>
      </w:r>
    </w:p>
    <w:p>
      <w:pPr>
        <w:pStyle w:val="ListBullet"/>
      </w:pPr>
      <w:r>
        <w:rPr>
          <w:b/>
        </w:rPr>
        <w:t>Stufe B (positive Signale): ERLEDIGT</w:t>
      </w:r>
      <w:r>
        <w:t>, vier Kategorien (</w:t>
      </w:r>
      <w:r>
        <w:rPr>
          <w:rFonts w:ascii="Consolas" w:hAnsi="Consolas"/>
          <w:color w:val="882222"/>
          <w:sz w:val="18"/>
        </w:rPr>
        <w:t>agent/krypto/marktscan.py</w:t>
      </w:r>
      <w:r>
        <w:t>, Rubriken je 0–100, VORLAEUFIG dokumentiert):</w:t>
      </w:r>
    </w:p>
    <w:p>
      <w:pPr>
        <w:pStyle w:val="ListBullet2"/>
      </w:pPr>
      <w:r>
        <w:rPr>
          <w:b/>
        </w:rPr>
        <w:t>Technik:</w:t>
      </w:r>
      <w:r>
        <w:t xml:space="preserve"> 24h-Änderung (immer verfügbar) + RSI-14/EMA-20/MACD-Histogramm, falls ein gezielter Backfill (nur für Stufe-A-Überlebende, Kosten sparen) genug Historie ergibt. EMA-50/-200/Fibonacci/ATR bleiben für Neufunde praktisch immer </w:t>
      </w:r>
      <w:r>
        <w:rPr>
          <w:rFonts w:ascii="Consolas" w:hAnsi="Consolas"/>
          <w:color w:val="882222"/>
          <w:sz w:val="18"/>
        </w:rPr>
        <w:t>nicht_verfügbar</w:t>
      </w:r>
      <w:r>
        <w:t>.</w:t>
      </w:r>
    </w:p>
    <w:p>
      <w:pPr>
        <w:pStyle w:val="ListBullet2"/>
      </w:pPr>
      <w:r>
        <w:rPr>
          <w:b/>
        </w:rPr>
        <w:t>Fundamental/Qualität:</w:t>
      </w:r>
      <w:r>
        <w:t xml:space="preserve"> Tier-Basiswert + Alters-Bonus (gedeckelt) + Position innerhalb der Volumen/Marktkap.-Bandbreite.</w:t>
      </w:r>
    </w:p>
    <w:p>
      <w:pPr>
        <w:pStyle w:val="ListBullet2"/>
      </w:pPr>
      <w:r>
        <w:rPr>
          <w:b/>
        </w:rPr>
        <w:t>Markt-/Momentum:</w:t>
      </w:r>
      <w:r>
        <w:t xml:space="preserve"> 24h-Änderung + Trending-Rang-Bonus (falls über Trending gefunden).</w:t>
      </w:r>
    </w:p>
    <w:p>
      <w:pPr>
        <w:pStyle w:val="ListBullet2"/>
      </w:pPr>
      <w:r>
        <w:rPr>
          <w:b/>
        </w:rPr>
        <w:t>Kontext/Makro (neu, 4. Kategorie):</w:t>
      </w:r>
      <w:r>
        <w:t xml:space="preserve"> nutzt </w:t>
      </w:r>
      <w:r>
        <w:rPr>
          <w:rFonts w:ascii="Consolas" w:hAnsi="Consolas"/>
          <w:color w:val="882222"/>
          <w:sz w:val="18"/>
        </w:rPr>
        <w:t>liquiditaets_regime</w:t>
      </w:r>
      <w:r>
        <w:t xml:space="preserve">/ </w:t>
      </w:r>
      <w:r>
        <w:rPr>
          <w:rFonts w:ascii="Consolas" w:hAnsi="Consolas"/>
          <w:color w:val="882222"/>
          <w:sz w:val="18"/>
        </w:rPr>
        <w:t>zyklus_risiko</w:t>
      </w:r>
      <w:r>
        <w:t>/</w:t>
      </w:r>
      <w:r>
        <w:rPr>
          <w:rFonts w:ascii="Consolas" w:hAnsi="Consolas"/>
          <w:color w:val="882222"/>
          <w:sz w:val="18"/>
        </w:rPr>
        <w:t>btc_matrix_state</w:t>
      </w:r>
      <w:r>
        <w:t xml:space="preserve"> aus </w:t>
      </w:r>
      <w:r>
        <w:rPr>
          <w:rFonts w:ascii="Consolas" w:hAnsi="Consolas"/>
          <w:color w:val="882222"/>
          <w:sz w:val="18"/>
        </w:rPr>
        <w:t>agent/krypto/regime.py</w:t>
      </w:r>
      <w:r>
        <w:t xml:space="preserve"> (dort bereits einmal pro Scan-Lauf berechnet, kein Zusatz-Call) — expansive Liquidität/niedriges Zyklus-Risiko/Altseason wirken als Bonus, das Gegenteil als Malus.</w:t>
      </w:r>
    </w:p>
    <w:p>
      <w:pPr>
        <w:pStyle w:val="ListBullet"/>
      </w:pPr>
      <w:r>
        <w:rPr>
          <w:b/>
        </w:rPr>
        <w:t>Stufe C (Scoring/Gewichtung): ERLEDIGT.</w:t>
      </w:r>
      <w:r>
        <w:t xml:space="preserve"> Kombination der vier Kategorie-Scores mit den Gewichten aus dem aktiven Regime-Profil (</w:t>
      </w:r>
      <w:r>
        <w:rPr>
          <w:rFonts w:ascii="Consolas" w:hAnsi="Consolas"/>
          <w:color w:val="882222"/>
          <w:sz w:val="18"/>
        </w:rPr>
        <w:t>config.yaml → regime.profile[*].gewicht_*</w:t>
      </w:r>
      <w:r>
        <w:t xml:space="preserve">, neues </w:t>
      </w:r>
      <w:r>
        <w:rPr>
          <w:rFonts w:ascii="Consolas" w:hAnsi="Consolas"/>
          <w:color w:val="882222"/>
          <w:sz w:val="18"/>
        </w:rPr>
        <w:t>gewicht_kontext_makro</w:t>
      </w:r>
      <w:r>
        <w:t>-Feld in allen 5 Regimen ergänzt, bestehende drei Gewichte proportional angepasst, Summe weiterhin 1.0 — höher gewichtet in den Extremregimen, wo Zyklus-/Liquiditätslage am aussagekräftigsten ist). Kategorien ohne Score werden aus Zähler UND Nenner ausgeschlossen, nicht als 0 gewertet.</w:t>
      </w:r>
    </w:p>
    <w:p>
      <w:pPr>
        <w:pStyle w:val="ListBullet"/>
      </w:pPr>
      <w:r>
        <w:rPr>
          <w:b/>
        </w:rPr>
        <w:t>Stufe D (Schwellenwerte): ERLEDIGT.</w:t>
      </w:r>
      <w:r>
        <w:t xml:space="preserve"> </w:t>
      </w:r>
      <w:r>
        <w:rPr>
          <w:rFonts w:ascii="Consolas" w:hAnsi="Consolas"/>
          <w:color w:val="882222"/>
          <w:sz w:val="18"/>
        </w:rPr>
        <w:t>score_gesamt &gt;= 70</w:t>
      </w:r>
      <w:r>
        <w:t xml:space="preserve"> → </w:t>
      </w:r>
      <w:r>
        <w:rPr>
          <w:rFonts w:ascii="Consolas" w:hAnsi="Consolas"/>
          <w:color w:val="882222"/>
          <w:sz w:val="18"/>
        </w:rPr>
        <w:t>kaufkandidat</w:t>
      </w:r>
      <w:r>
        <w:t xml:space="preserve">, </w:t>
      </w:r>
      <w:r>
        <w:rPr>
          <w:rFonts w:ascii="Consolas" w:hAnsi="Consolas"/>
          <w:color w:val="882222"/>
          <w:sz w:val="18"/>
        </w:rPr>
        <w:t>&gt;= 50</w:t>
      </w:r>
      <w:r>
        <w:t xml:space="preserve"> → </w:t>
      </w:r>
      <w:r>
        <w:rPr>
          <w:rFonts w:ascii="Consolas" w:hAnsi="Consolas"/>
          <w:color w:val="882222"/>
          <w:sz w:val="18"/>
        </w:rPr>
        <w:t>watchlist_wuerdig</w:t>
      </w:r>
      <w:r>
        <w:t xml:space="preserve">, sonst </w:t>
      </w:r>
      <w:r>
        <w:rPr>
          <w:rFonts w:ascii="Consolas" w:hAnsi="Consolas"/>
          <w:color w:val="882222"/>
          <w:sz w:val="18"/>
        </w:rPr>
        <w:t>kein_treffer</w:t>
      </w:r>
      <w:r>
        <w:t xml:space="preserve"> (VORLAEUFIG, </w:t>
      </w:r>
      <w:r>
        <w:rPr>
          <w:rFonts w:ascii="Consolas" w:hAnsi="Consolas"/>
          <w:color w:val="882222"/>
          <w:sz w:val="18"/>
        </w:rPr>
        <w:t>config.yaml → marktscan.schwellen</w:t>
      </w:r>
      <w:r>
        <w:t>). Jeder Kandidat wird gespeichert (</w:t>
      </w:r>
      <w:r>
        <w:rPr>
          <w:rFonts w:ascii="Consolas" w:hAnsi="Consolas"/>
          <w:color w:val="882222"/>
          <w:sz w:val="18"/>
        </w:rPr>
        <w:t>marktscan_candidates</w:t>
      </w:r>
      <w:r>
        <w:t xml:space="preserve">-Tabelle), auch </w:t>
      </w:r>
      <w:r>
        <w:rPr>
          <w:rFonts w:ascii="Consolas" w:hAnsi="Consolas"/>
          <w:color w:val="882222"/>
          <w:sz w:val="18"/>
        </w:rPr>
        <w:t>kein_treffer</w:t>
      </w:r>
      <w:r>
        <w:t xml:space="preserve"> (Audit/Z-4).</w:t>
      </w:r>
    </w:p>
    <w:p>
      <w:pPr>
        <w:jc w:val="left"/>
      </w:pPr>
      <w:r>
        <w:rPr>
          <w:b/>
        </w:rPr>
        <w:t>Live-verifiziert (2026-07-09):</w:t>
      </w:r>
      <w:r>
        <w:t xml:space="preserve"> echter Scan-Lauf mit 38–42 realen Kandidaten, korrekt in 2 Kaufkandidaten (APE, EIGEN) + 4–5 watchlist-würdige Funde eingestuft, vollständige Score-Aufschlüsselung + verwendete Gewichte + Regime-Stand persistiert. Echte Groq-P-5-Begründung für einen Kaufkandidaten erzeugt (manueller UND automatischer Pfad). Neuer UI-Tab "Marktscan" (</w:t>
      </w:r>
      <w:r>
        <w:rPr>
          <w:rFonts w:ascii="Consolas" w:hAnsi="Consolas"/>
          <w:color w:val="882222"/>
          <w:sz w:val="18"/>
        </w:rPr>
        <w:t>ui/marktscan_view.py</w:t>
      </w:r>
      <w:r>
        <w:t>) inkl. "Jetzt scannen" (~46s für einen vollen Lauf, UI bleibt reaktionsfähig).</w:t>
      </w:r>
    </w:p>
    <w:p>
      <w:pPr>
        <w:jc w:val="left"/>
      </w:pPr>
      <w:r>
        <w:rPr>
          <w:b/>
        </w:rPr>
        <w:t>Nachbesserung Momentum-Score (2026-07-16, Nutzer-Einschätzung "Top-Gainer sind bereits gestiegene Coins, ggf. eher zur Korrektur").</w:t>
      </w:r>
      <w:r>
        <w:t xml:space="preserve"> Reale Notebook- Daten (13 Scan-Läufe, 500 Kandidaten, siehe Memory </w:t>
      </w:r>
      <w:r>
        <w:rPr>
          <w:rFonts w:ascii="Consolas" w:hAnsi="Consolas"/>
          <w:color w:val="882222"/>
          <w:sz w:val="18"/>
        </w:rPr>
        <w:t>project_llm_budget_ueberlast_2026-07-15</w:t>
      </w:r>
      <w:r>
        <w:t xml:space="preserve">) bestätigten den Verdacht teilweise: 9 % aller rohen Kandidaten waren bei Entdeckung bereits &gt;100 % in 24h gestiegen (ein Ausreißer +2867 %), die ursprüngliche </w:t>
      </w:r>
      <w:r>
        <w:rPr>
          <w:rFonts w:ascii="Consolas" w:hAnsi="Consolas"/>
          <w:color w:val="882222"/>
          <w:sz w:val="18"/>
        </w:rPr>
        <w:t>score_momentum()</w:t>
      </w:r>
      <w:r>
        <w:t>- Formel (</w:t>
      </w:r>
      <w:r>
        <w:rPr>
          <w:rFonts w:ascii="Consolas" w:hAnsi="Consolas"/>
          <w:color w:val="882222"/>
          <w:sz w:val="18"/>
        </w:rPr>
        <w:t>50 + change_24h_pct</w:t>
      </w:r>
      <w:r>
        <w:t xml:space="preserve">, ungedeckelt bis +50 %) hätte solche Extremfälle aber nur immer WEITER aufgewertet — im Widerspruch zu </w:t>
      </w:r>
      <w:r>
        <w:rPr>
          <w:rFonts w:ascii="Consolas" w:hAnsi="Consolas"/>
          <w:color w:val="882222"/>
          <w:sz w:val="18"/>
        </w:rPr>
        <w:t>score_technik()</w:t>
      </w:r>
      <w:r>
        <w:t xml:space="preserve"> daneben, das RSI-Extremzonen (&gt;70) bewusst NICHT als bullisches Signal zählt. Die tatsächlichen </w:t>
      </w:r>
      <w:r>
        <w:rPr>
          <w:rFonts w:ascii="Consolas" w:hAnsi="Consolas"/>
          <w:color w:val="882222"/>
          <w:sz w:val="18"/>
        </w:rPr>
        <w:t>kaufkandidat</w:t>
      </w:r>
      <w:r>
        <w:t>-Fälle selbst lagen historisch moderater (13–32 % 24h-Änderung, Median 14,7 %) — die extremsten Ausreißer scheitern meist schon an Stufe A (Volumen/Marktkap.-Band, Mindestalter).</w:t>
      </w:r>
    </w:p>
    <w:p>
      <w:pPr>
        <w:jc w:val="left"/>
      </w:pPr>
      <w:r>
        <w:t xml:space="preserve">Fix: </w:t>
      </w:r>
      <w:r>
        <w:rPr>
          <w:rFonts w:ascii="Consolas" w:hAnsi="Consolas"/>
          <w:color w:val="882222"/>
          <w:sz w:val="18"/>
        </w:rPr>
        <w:t>score_momentum()</w:t>
      </w:r>
      <w:r>
        <w:t xml:space="preserve"> bekam eine Kurve mit Sattelpunkt (0–20 % linear steigend, 20–50 % Plateau nahe Maximum, &gt; 50 % linear ABWERTEND statt weiterem Bonus) plus einen optionalen Mehrtages-Malus, wenn </w:t>
      </w:r>
      <w:r>
        <w:rPr>
          <w:rFonts w:ascii="Consolas" w:hAnsi="Consolas"/>
          <w:color w:val="882222"/>
          <w:sz w:val="18"/>
        </w:rPr>
        <w:t>change_7d_pct</w:t>
      </w:r>
      <w:r>
        <w:t xml:space="preserve"> (neu, GRATIS im selben </w:t>
      </w:r>
      <w:r>
        <w:rPr>
          <w:rFonts w:ascii="Consolas" w:hAnsi="Consolas"/>
          <w:color w:val="882222"/>
          <w:sz w:val="18"/>
        </w:rPr>
        <w:t>/coins/markets</w:t>
      </w:r>
      <w:r>
        <w:t>-Call miterfasst, live per WebFetch verifiziert) zeigt, dass die Bewegung schon über mehrere Tage lief statt frisch zu sein. Gegen die historischen 18 echten Kaufkandidaten durchgerechnet: keiner lag in der neuen Abwertungszone (&gt;50 %), alle bekamen tendenziell einen HÖHEREN Score (steilere Belohnung im 10–20-%-Bereich) — die Korrektur wirkt also gezielt nur auf die bisher ungebremst belohnten Extremfälle, nicht auf den typischen historischen Kaufkandidaten.</w:t>
      </w:r>
    </w:p>
    <w:p>
      <w:pPr>
        <w:pStyle w:val="Heading2"/>
      </w:pPr>
      <w:r>
        <w:t>14. Regime-Steuerung — marktabhängiges Verhalten</w:t>
      </w:r>
    </w:p>
    <w:p>
      <w:pPr>
        <w:jc w:val="left"/>
      </w:pPr>
      <w:r>
        <w:t xml:space="preserve">Werte in </w:t>
      </w:r>
      <w:r>
        <w:rPr>
          <w:rFonts w:ascii="Consolas" w:hAnsi="Consolas"/>
          <w:color w:val="882222"/>
          <w:sz w:val="18"/>
        </w:rPr>
        <w:t>config.yaml → regime</w:t>
      </w:r>
      <w:r>
        <w:t xml:space="preserve">. </w:t>
      </w:r>
      <w:r>
        <w:rPr>
          <w:b/>
        </w:rPr>
        <w:t>Querschnitts-Modul</w:t>
      </w:r>
      <w:r>
        <w:t xml:space="preserve">, das sowohl den Marktscan (Kap. 13) als auch die laufende Bestandsbewertung speist. Grundidee: Die </w:t>
      </w:r>
      <w:r>
        <w:rPr>
          <w:i/>
        </w:rPr>
        <w:t>Struktur</w:t>
      </w:r>
      <w:r>
        <w:t xml:space="preserve"> der Bewertung bleibt gleich, ihre </w:t>
      </w:r>
      <w:r>
        <w:rPr>
          <w:i/>
        </w:rPr>
        <w:t>Parameter</w:t>
      </w:r>
      <w:r>
        <w:t xml:space="preserve"> atmen mit dem Markt.</w:t>
      </w:r>
    </w:p>
    <w:p>
      <w:pPr>
        <w:jc w:val="left"/>
      </w:pPr>
      <w:r>
        <w:rPr>
          <w:b/>
        </w:rPr>
        <w:t>Regime-Spektrum:</w:t>
      </w:r>
      <w:r>
        <w:t xml:space="preserve"> </w:t>
      </w:r>
      <w:r>
        <w:rPr>
          <w:rFonts w:ascii="Consolas" w:hAnsi="Consolas"/>
          <w:color w:val="882222"/>
          <w:sz w:val="18"/>
        </w:rPr>
        <w:t>KRISE-EXTREM — BÄR — SEITWÄRTS — BULLE — EUPHORIE-EXTREM</w:t>
      </w:r>
      <w:r>
        <w:t>.</w:t>
      </w:r>
    </w:p>
    <w:p>
      <w:pPr>
        <w:pStyle w:val="ListBullet"/>
      </w:pPr>
      <w:r>
        <w:rPr>
          <w:b/>
        </w:rPr>
        <w:t>RG-1 Bestimmung (hybrid):</w:t>
      </w:r>
      <w:r>
        <w:t xml:space="preserve"> (a) </w:t>
      </w:r>
      <w:r>
        <w:rPr>
          <w:b/>
        </w:rPr>
        <w:t>regelbasiert</w:t>
      </w:r>
      <w:r>
        <w:t xml:space="preserve"> als Basis (deterministisch, prüfbar) aus BTC-Trend × BTC-Dominanz, Fear &amp; Greed, Zinsen; (b) </w:t>
      </w:r>
      <w:r>
        <w:rPr>
          <w:b/>
        </w:rPr>
        <w:t>KI-Override</w:t>
      </w:r>
      <w:r>
        <w:t xml:space="preserve"> durch den Agenten bei belastbaren Gegengründen oder absehbarem Regimewechsel; (c) </w:t>
      </w:r>
      <w:r>
        <w:rPr>
          <w:b/>
        </w:rPr>
        <w:t>manueller Override</w:t>
      </w:r>
      <w:r>
        <w:t xml:space="preserve"> durch den Nutzer.</w:t>
      </w:r>
    </w:p>
    <w:p>
      <w:pPr>
        <w:pStyle w:val="ListBullet"/>
      </w:pPr>
      <w:r>
        <w:rPr>
          <w:b/>
        </w:rPr>
        <w:t>RG-2 BTC-Matrix:</w:t>
      </w:r>
      <w:r>
        <w:t xml:space="preserve"> Ein Altcoin-Signal wird immer im Kontext von BTC-Trend </w:t>
      </w:r>
      <w:r>
        <w:rPr>
          <w:i/>
        </w:rPr>
        <w:t>und</w:t>
      </w:r>
      <w:r>
        <w:t xml:space="preserve"> BTC-Dominanz gelesen (BTC-Season / Altseason / Flucht-in-BTC / Kapitulation).</w:t>
      </w:r>
    </w:p>
    <w:p>
      <w:pPr>
        <w:pStyle w:val="ListBullet"/>
      </w:pPr>
      <w:r>
        <w:rPr>
          <w:b/>
        </w:rPr>
        <w:t>RG-3 Regime-Profile:</w:t>
      </w:r>
      <w:r>
        <w:t xml:space="preserve"> Jedes Regime überschreibt vier Stellschrauben — Tier-Schwellen, Kategorie-Gewichte (Stufe B), Tier-3-Budget, Mindest-Konfidenz. Im Bär z. B. Fundamental &amp; relative Stärke höher, reine Ausbrüche niedriger; Budget gedrosselt.</w:t>
      </w:r>
    </w:p>
    <w:p>
      <w:pPr>
        <w:pStyle w:val="ListBullet"/>
      </w:pPr>
      <w:r>
        <w:rPr>
          <w:b/>
        </w:rPr>
        <w:t>RG-4 Makro-Multiplikator (`risikoappetit_faktor`, 0,3–1,0):</w:t>
      </w:r>
      <w:r>
        <w:t xml:space="preserve"> globaler Regler aus der Makro-Lage (Zinsen/Krise), der Budgets und Positionsgrößen </w:t>
      </w:r>
      <w:r>
        <w:rPr>
          <w:i/>
        </w:rPr>
        <w:t>zusätzlich</w:t>
      </w:r>
      <w:r>
        <w:t xml:space="preserve"> skaliert — kann selbst eine Krypto-Altseason dämpfen, wenn das Makro-Umfeld feindlich ist.</w:t>
      </w:r>
    </w:p>
    <w:p>
      <w:pPr>
        <w:pStyle w:val="Heading3"/>
      </w:pPr>
      <w:r>
        <w:t>Override-Governance</w:t>
      </w:r>
    </w:p>
    <w:p>
      <w:pPr>
        <w:pStyle w:val="ListBullet"/>
      </w:pPr>
      <w:r>
        <w:rPr>
          <w:b/>
        </w:rPr>
        <w:t>RG-5 Sicherheits-Asymmetrie (Herzstück):</w:t>
      </w:r>
      <w:r>
        <w:t xml:space="preserve"> </w:t>
      </w:r>
      <w:r>
        <w:rPr>
          <w:i/>
        </w:rPr>
        <w:t>Defensiver</w:t>
      </w:r>
      <w:r>
        <w:t xml:space="preserve"> werden (Richtung Bär/ Kapitalschutz) darf jede Quelle </w:t>
      </w:r>
      <w:r>
        <w:rPr>
          <w:b/>
        </w:rPr>
        <w:t>autonom und sofort</w:t>
      </w:r>
      <w:r>
        <w:t xml:space="preserve">. </w:t>
      </w:r>
      <w:r>
        <w:rPr>
          <w:i/>
        </w:rPr>
        <w:t>Offensiver</w:t>
      </w:r>
      <w:r>
        <w:t xml:space="preserve"> werden (Filter lockern, Budget erhöhen) braucht eine </w:t>
      </w:r>
      <w:r>
        <w:rPr>
          <w:b/>
        </w:rPr>
        <w:t>Bremse</w:t>
      </w:r>
      <w:r>
        <w:t xml:space="preserve"> (höhere Konfidenz, Quellennachweis, beim Nutzer bewusste Bestätigung). Begründung: Z-1/P-1 — ein Fehler „zu vorsichtig" kostet Gewinn, „zu offensiv" kostet Kapital.</w:t>
      </w:r>
    </w:p>
    <w:p>
      <w:pPr>
        <w:pStyle w:val="ListBullet"/>
      </w:pPr>
      <w:r>
        <w:rPr>
          <w:b/>
        </w:rPr>
        <w:t>RG-6 Unantastbare harte Limits:</w:t>
      </w:r>
      <w:r>
        <w:t xml:space="preserve"> Kein Override — weder Nutzer noch KI — darf Pflicht-Stop-Loss (RM-5), Risiko/Trade (RM-1) oder Drawdown-Notbremse (Z-3/RM-7) abschalten. Overrides bewegen nur die </w:t>
      </w:r>
      <w:r>
        <w:rPr>
          <w:i/>
        </w:rPr>
        <w:t>einstellbaren</w:t>
      </w:r>
      <w:r>
        <w:t xml:space="preserve"> Regime-Parameter.</w:t>
      </w:r>
    </w:p>
    <w:p>
      <w:pPr>
        <w:pStyle w:val="ListBullet"/>
      </w:pPr>
      <w:r>
        <w:rPr>
          <w:b/>
        </w:rPr>
        <w:t>RG-7 Vorausschauender KI-Override = Bias, kein Voll-Flip:</w:t>
      </w:r>
      <w:r>
        <w:t xml:space="preserve"> Ein erwarteter Wechsel verschiebt das Regime nur teilweise (z. B. „Bär mit aufhellender Tendenz"); voll kippt es erst bei Datenbestätigung. Quelle der Erwartung ist Pflichtangabe (P-2).</w:t>
      </w:r>
    </w:p>
    <w:p>
      <w:pPr>
        <w:pStyle w:val="ListBullet"/>
      </w:pPr>
      <w:r>
        <w:rPr>
          <w:b/>
        </w:rPr>
        <w:t>RG-8 Manueller Override:</w:t>
      </w:r>
      <w:r>
        <w:t xml:space="preserve"> permanent sichtbar (U-11) und mit Ablauf/periodischer Bestätigung, damit er nicht vergessen wird. Alle Overrides landen in der DB (B-6).</w:t>
      </w:r>
    </w:p>
    <w:p>
      <w:pPr>
        <w:pStyle w:val="ListBullet"/>
      </w:pPr>
      <w:r>
        <w:rPr>
          <w:b/>
        </w:rPr>
        <w:t>RG-9 Vorrang:</w:t>
      </w:r>
      <w:r>
        <w:t xml:space="preserve"> harte Limits &gt; manueller Override (offensiv nur mit Bestätigung) &gt; KI-Override (defensiv autonom, offensiv mit Nachweis) &gt; regelbasierte Basis.</w:t>
      </w:r>
    </w:p>
    <w:p>
      <w:pPr>
        <w:pStyle w:val="Heading3"/>
      </w:pPr>
      <w:r>
        <w:t>Extremregime (Sonderregeln, keine bloße Extrapolation)</w:t>
      </w:r>
    </w:p>
    <w:p>
      <w:pPr>
        <w:pStyle w:val="ListBullet"/>
      </w:pPr>
      <w:r>
        <w:rPr>
          <w:b/>
        </w:rPr>
        <w:t>RG-10 Krise-extrem, zwei Typen:</w:t>
      </w:r>
      <w:r>
        <w:t xml:space="preserve"> (a) </w:t>
      </w:r>
      <w:r>
        <w:rPr>
          <w:b/>
        </w:rPr>
        <w:t>Liquiditäts-/Deflationskrise</w:t>
      </w:r>
      <w:r>
        <w:t xml:space="preserve"> (Anleihenmarkt kippt, Korrelation→1) → maximale Defensive, Flucht in Cash. (b) </w:t>
      </w:r>
      <w:r>
        <w:rPr>
          <w:b/>
        </w:rPr>
        <w:t>Währungs-/Vertrauens- krise</w:t>
      </w:r>
      <w:r>
        <w:t xml:space="preserve"> → BTC kann </w:t>
      </w:r>
      <w:r>
        <w:rPr>
          <w:i/>
        </w:rPr>
        <w:t>Fluchtwert</w:t>
      </w:r>
      <w:r>
        <w:t xml:space="preserve"> sein, Rotation in BTC/harte Assets. Enthält eine </w:t>
      </w:r>
      <w:r>
        <w:rPr>
          <w:b/>
        </w:rPr>
        <w:t>Stablecoin-Peg-Prüfung</w:t>
      </w:r>
      <w:r>
        <w:t xml:space="preserve">: In einer Euro-Krise ist </w:t>
      </w:r>
      <w:r>
        <w:rPr>
          <w:b/>
        </w:rPr>
        <w:t>EURCV</w:t>
      </w:r>
      <w:r>
        <w:t xml:space="preserve"> (Euro-besichert) </w:t>
      </w:r>
      <w:r>
        <w:rPr>
          <w:i/>
        </w:rPr>
        <w:t>nicht</w:t>
      </w:r>
      <w:r>
        <w:t xml:space="preserve"> automatisch sicher. Der Agent </w:t>
      </w:r>
      <w:r>
        <w:rPr>
          <w:b/>
        </w:rPr>
        <w:t>warnt</w:t>
      </w:r>
      <w:r>
        <w:t xml:space="preserve"> in diesem Fall nur (keine autonome Umschichtung).</w:t>
      </w:r>
    </w:p>
    <w:p>
      <w:pPr>
        <w:pStyle w:val="ListBullet"/>
      </w:pPr>
      <w:r>
        <w:rPr>
          <w:b/>
        </w:rPr>
        <w:t>RG-11 Euphorie-extrem = Offense + Sicherheitsgurt:</w:t>
      </w:r>
      <w:r>
        <w:t xml:space="preserve"> offensiver werden, um den Melt-up mitzunehmen, </w:t>
      </w:r>
      <w:r>
        <w:rPr>
          <w:b/>
        </w:rPr>
        <w:t>gekoppelt</w:t>
      </w:r>
      <w:r>
        <w:t xml:space="preserve"> mit verschärfter Gewinnabsicherung (engere Trailing-Stops RM-6, Teilverkäufe/Distribution). Extreme Gier gilt zugleich als Chance </w:t>
      </w:r>
      <w:r>
        <w:rPr>
          <w:i/>
        </w:rPr>
        <w:t>und</w:t>
      </w:r>
      <w:r>
        <w:t xml:space="preserve"> Warnsignal (Countdown). Offense ohne mitwachsende Absicherung bleibt verboten.</w:t>
      </w:r>
    </w:p>
    <w:p>
      <w:pPr>
        <w:pStyle w:val="Heading2"/>
      </w:pPr>
      <w:r>
        <w:t>15. Antizyklische Kauf-Disziplin</w:t>
      </w:r>
    </w:p>
    <w:p>
      <w:pPr>
        <w:jc w:val="left"/>
      </w:pPr>
      <w:r>
        <w:t xml:space="preserve">Werte in </w:t>
      </w:r>
      <w:r>
        <w:rPr>
          <w:rFonts w:ascii="Consolas" w:hAnsi="Consolas"/>
          <w:color w:val="882222"/>
          <w:sz w:val="18"/>
        </w:rPr>
        <w:t>config.yaml → antizyklisch</w:t>
      </w:r>
      <w:r>
        <w:t xml:space="preserve">. </w:t>
      </w:r>
      <w:r>
        <w:rPr>
          <w:b/>
        </w:rPr>
        <w:t>Kern-Mehrwert des Agenten:</w:t>
      </w:r>
      <w:r>
        <w:t xml:space="preserve"> Er kontert den häufigsten Kleininvestor-Fehler — in den fallenden Kurs verkaufen (Panik) und im Tief nicht kaufen. Als regelbasiertes System kann er antizyklisch handeln, wo der Mensch an seinen Emotionen scheitert. Grundsatz: </w:t>
      </w:r>
      <w:r>
        <w:rPr>
          <w:b/>
        </w:rPr>
        <w:t>antizyklisch, aber bedingt.</w:t>
      </w:r>
    </w:p>
    <w:p>
      <w:pPr>
        <w:pStyle w:val="ListBullet"/>
      </w:pPr>
      <w:r>
        <w:rPr>
          <w:b/>
        </w:rPr>
        <w:t>AZ-1 Klassifikation Flush vs. Zusammenbruch:</w:t>
      </w:r>
      <w:r>
        <w:t xml:space="preserve"> Ein </w:t>
      </w:r>
      <w:r>
        <w:rPr>
          <w:b/>
        </w:rPr>
        <w:t>Liquidations-Flush</w:t>
      </w:r>
      <w:r>
        <w:t xml:space="preserve"> (sehr schnell, hohes Volumen, keine Fundamental-News, Zwangsverkäufe) wird meist V-förmig zurückgekauft → Kaufgelegenheit. Ein </w:t>
      </w:r>
      <w:r>
        <w:rPr>
          <w:b/>
        </w:rPr>
        <w:t>fundamentaler Zusammenbruch</w:t>
      </w:r>
      <w:r>
        <w:t xml:space="preserve"> (zäh, Substanz erodiert, konkrete News) ist es </w:t>
      </w:r>
      <w:r>
        <w:rPr>
          <w:i/>
        </w:rPr>
        <w:t>nicht</w:t>
      </w:r>
      <w:r>
        <w:t>.</w:t>
      </w:r>
    </w:p>
    <w:p>
      <w:pPr>
        <w:pStyle w:val="ListBullet"/>
      </w:pPr>
      <w:r>
        <w:rPr>
          <w:b/>
        </w:rPr>
        <w:t>AZ-2 Bestätigungs-Gate („kaufe die Bestätigung, nicht das Messer"):</w:t>
      </w:r>
      <w:r>
        <w:t xml:space="preserve"> Vor Kapital- einsatz Stabilisierung/Umkehr abwarten — keine neuen Tiefs, Level-Rückeroberung, bullische Divergenz, versiegendes Verkaufsvolumen, bestätigte Umkehr-Struktur.</w:t>
      </w:r>
    </w:p>
    <w:p>
      <w:pPr>
        <w:pStyle w:val="ListBullet"/>
      </w:pPr>
      <w:r>
        <w:rPr>
          <w:b/>
        </w:rPr>
        <w:t>AZ-3 Abgestuftes Modell:</w:t>
      </w:r>
      <w:r>
        <w:t xml:space="preserve"> kleine </w:t>
      </w:r>
      <w:r>
        <w:rPr>
          <w:b/>
        </w:rPr>
        <w:t>Spot-Sondierungstranche</w:t>
      </w:r>
      <w:r>
        <w:t xml:space="preserve"> nur für </w:t>
      </w:r>
      <w:r>
        <w:rPr>
          <w:b/>
        </w:rPr>
        <w:t>Kernwerte (BTC/ETH)</w:t>
      </w:r>
      <w:r>
        <w:t xml:space="preserve"> ggf. vor voller Bestätigung; größere Positionen </w:t>
      </w:r>
      <w:r>
        <w:rPr>
          <w:b/>
        </w:rPr>
        <w:t>und jeglicher Hebel</w:t>
      </w:r>
      <w:r>
        <w:t xml:space="preserve"> nur </w:t>
      </w:r>
      <w:r>
        <w:rPr>
          <w:b/>
        </w:rPr>
        <w:t>nach Bestätigung</w:t>
      </w:r>
      <w:r>
        <w:t xml:space="preserve">; im </w:t>
      </w:r>
      <w:r>
        <w:rPr>
          <w:b/>
        </w:rPr>
        <w:t>Totalcrash / Extrem-Krise-Regime</w:t>
      </w:r>
      <w:r>
        <w:t xml:space="preserve"> wird nichts gekauft, bis eine klare Bestätigung vorliegt.</w:t>
      </w:r>
    </w:p>
    <w:p>
      <w:pPr>
        <w:pStyle w:val="ListBullet"/>
      </w:pPr>
      <w:r>
        <w:rPr>
          <w:b/>
        </w:rPr>
        <w:t>AZ-4 Gestaffelt &amp; begrenzt:</w:t>
      </w:r>
      <w:r>
        <w:t xml:space="preserve"> in Tranchen kaufen (DCA/S-1/S-2), </w:t>
      </w:r>
      <w:r>
        <w:rPr>
          <w:b/>
        </w:rPr>
        <w:t>nie all-in</w:t>
      </w:r>
      <w:r>
        <w:t xml:space="preserve"> → ein tieferer Absturz wird zur nächsten Chance statt zum Ruin; Cash-Reserve (RM-4) bleibt. </w:t>
      </w:r>
      <w:r>
        <w:rPr>
          <w:b/>
        </w:rPr>
        <w:t>Implementiert (2026-07-12):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agent/krypto/analyst.py</w:t>
      </w:r>
      <w:r>
        <w:t xml:space="preserve"> unterstützt jetzt ein optionales </w:t>
      </w:r>
      <w:r>
        <w:rPr>
          <w:rFonts w:ascii="Consolas" w:hAnsi="Consolas"/>
          <w:color w:val="882222"/>
          <w:sz w:val="18"/>
        </w:rPr>
        <w:t>tranchen</w:t>
      </w:r>
      <w:r>
        <w:t xml:space="preserve">-Feld (2-5 Preiszonen mit Prozentanteil, symmetrisch für Käufe/ Verkäufe) — nur bei Regime </w:t>
      </w:r>
      <w:r>
        <w:rPr>
          <w:rFonts w:ascii="Consolas" w:hAnsi="Consolas"/>
          <w:color w:val="882222"/>
          <w:sz w:val="18"/>
        </w:rPr>
        <w:t>baer</w:t>
      </w:r>
      <w:r>
        <w:t>/</w:t>
      </w:r>
      <w:r>
        <w:rPr>
          <w:rFonts w:ascii="Consolas" w:hAnsi="Consolas"/>
          <w:color w:val="882222"/>
          <w:sz w:val="18"/>
        </w:rPr>
        <w:t>krise_extrem</w:t>
      </w:r>
      <w:r>
        <w:t>/</w:t>
      </w:r>
      <w:r>
        <w:rPr>
          <w:rFonts w:ascii="Consolas" w:hAnsi="Consolas"/>
          <w:color w:val="882222"/>
          <w:sz w:val="18"/>
        </w:rPr>
        <w:t>seitwaerts</w:t>
      </w:r>
      <w:r>
        <w:t xml:space="preserve"> + Asset BTC/ETH + per- Asset-UI-Toggel. Rein informativ (kein neues Veto, keine Order-Anbindung möglich, live gegen die Bitpanda-API verifiziert). Löst den vormals in Kap. „Strategie- Katalog" offenen Punkt „keine echte Mehrfach-Tranchen-Unterstützung". Volle Details: </w:t>
      </w:r>
      <w:r>
        <w:rPr>
          <w:rFonts w:ascii="Consolas" w:hAnsi="Consolas"/>
          <w:color w:val="882222"/>
          <w:sz w:val="18"/>
        </w:rPr>
        <w:t>Basisinfos/Regelwerksmanual.md</w:t>
      </w:r>
      <w:r>
        <w:t xml:space="preserve"> Kap. 4. </w:t>
      </w:r>
      <w:r>
        <w:rPr>
          <w:b/>
        </w:rPr>
        <w:t>Baustein 2 implementiert (2026-07-12):</w:t>
      </w:r>
      <w:r>
        <w:t xml:space="preserve"> Boden-Zielzone für BTC/ETH (Log-Regressions-Modell + historisches Zyklus-Tief-Band + Reifegrad-Dämpfer + Aktien-Bärenmarkt-Overlay S&amp;P 500/ Nasdaq) — ebenfalls rein informativ, Details ebd. </w:t>
      </w:r>
      <w:r>
        <w:rPr>
          <w:b/>
        </w:rPr>
        <w:t>Baustein 3 implementiert (2026-07-12):</w:t>
      </w:r>
      <w:r>
        <w:t xml:space="preserve"> Cash-Reserve-Ziel für BTC/ETH (3 Runden "Buying in Thirds", 20/30/50-Gewichtung nach Value-Averaging-Prinzip, RM-1-Bedarf hart gedeckelt durch RM-2-Allokationsgrenze) — ebenfalls rein informativ, RM-4 bleibt der harte Minimum-Floor, Details ebd. </w:t>
      </w:r>
      <w:r>
        <w:rPr>
          <w:b/>
        </w:rPr>
        <w:t>Damit ist die komplette 3-Bausteine- Roadmap (Tranchen-Struktur → Boden-Zielzone → Cash-Reserve-Ziel) abgeschlossen.</w:t>
      </w:r>
    </w:p>
    <w:p>
      <w:pPr>
        <w:pStyle w:val="ListBullet"/>
      </w:pPr>
      <w:r>
        <w:rPr>
          <w:b/>
        </w:rPr>
        <w:t>AZ-5 Fundamental-Gate:</w:t>
      </w:r>
      <w:r>
        <w:t xml:space="preserve"> Nachkaufen nur bei </w:t>
      </w:r>
      <w:r>
        <w:rPr>
          <w:b/>
        </w:rPr>
        <w:t>intakter Substanz</w:t>
      </w:r>
      <w:r>
        <w:t xml:space="preserve">. Fallender Kurs + erodierende Substanz = Value-Falle, </w:t>
      </w:r>
      <w:r>
        <w:rPr>
          <w:b/>
        </w:rPr>
        <w:t>kein</w:t>
      </w:r>
      <w:r>
        <w:t xml:space="preserve"> Kauf. </w:t>
      </w:r>
      <w:r>
        <w:rPr>
          <w:b/>
        </w:rPr>
        <w:t>NICHT UMGESETZT (Stand 2026-08-04, Regler-Audit).</w:t>
      </w:r>
      <w:r>
        <w:t xml:space="preserve"> Bewusst festgehalten statt stillschweigend offen gelassen: es gibt weder ein Gate im Risk-Gate noch eine Prompt-Regel in einem der sechs Analysten. Der nächste Verwandte ist Regel 9 in </w:t>
      </w:r>
      <w:r>
        <w:rPr>
          <w:rFonts w:ascii="Consolas" w:hAnsi="Consolas"/>
          <w:color w:val="882222"/>
          <w:sz w:val="18"/>
        </w:rPr>
        <w:t>agent/aktien/analyst.py</w:t>
      </w:r>
      <w:r>
        <w:t xml:space="preserve">, die aber die BEWERTUNGSqualität prüft (KGV gegen Forward-KGV gegen Wachstum) und nicht den AZ-5-Fall „Nachkauf in einen fallenden Kurs". Der Config-Schlüssel </w:t>
      </w:r>
      <w:r>
        <w:rPr>
          <w:rFonts w:ascii="Consolas" w:hAnsi="Consolas"/>
          <w:color w:val="882222"/>
          <w:sz w:val="18"/>
        </w:rPr>
        <w:t>antizyklisch.fundamental_gate: true</w:t>
      </w:r>
      <w:r>
        <w:t xml:space="preserve"> wurde nie gelesen. </w:t>
      </w:r>
      <w:r>
        <w:rPr>
          <w:i/>
        </w:rPr>
        <w:t>Warum nicht umgesetzt:</w:t>
      </w:r>
      <w:r>
        <w:t xml:space="preserve"> Für </w:t>
      </w:r>
      <w:r>
        <w:rPr>
          <w:b/>
        </w:rPr>
        <w:t>Krypto</w:t>
      </w:r>
      <w:r>
        <w:t xml:space="preserve"> fehlt die Datengrundlage — „Substanz" hat dort keine bilanzielle Entsprechung, und Ersatzgrößen (On-Chain-Aktivität, TVL, Entwicklertätigkeit) werden nicht abgerufen. Ein Gate wäre ein eigenes Datenprojekt. Für </w:t>
      </w:r>
      <w:r>
        <w:rPr>
          <w:b/>
        </w:rPr>
        <w:t>Aktien/Themen-ETF</w:t>
      </w:r>
      <w:r>
        <w:t xml:space="preserve"> wäre es über die vorhandenen yfinance-Fundamentaldaten machbar, aber mit derzeit 7 auswertbaren Aktien-Signalen über Monate nicht überprüfbar — es entstünde eine Regel aus Prinzip statt aus Messung. </w:t>
      </w:r>
      <w:r>
        <w:rPr>
          <w:i/>
        </w:rPr>
        <w:t>Wiedervorlage:</w:t>
      </w:r>
      <w:r>
        <w:t xml:space="preserve"> wenn das System stabil läuft und die Multi-Asset-Stichprobe belastbar ist, für Aktien/Themen-ETF als weiche Stage-2-Regel (Fakt + Prompt, kein Veto mit erfundener Schwelle) erneut bewerten. </w:t>
      </w:r>
      <w:r>
        <w:rPr>
          <w:b/>
        </w:rPr>
        <w:t>Achtung, Kopplung:</w:t>
      </w:r>
      <w:r>
        <w:t xml:space="preserve"> AZ-8 nennt das Fundamental-Gate ausdrücklich als einen von sechs Schaltkreis-Unterbrechern. Bis 2026-08-04 fehlten zwei der sechs — dieser hier und die Drawdown-Notbremse (Z-3). </w:t>
      </w:r>
      <w:r>
        <w:rPr>
          <w:b/>
        </w:rPr>
        <w:t>Z-3 ist seit 2026-08-04 umgesetzt</w:t>
      </w:r>
      <w:r>
        <w:t xml:space="preserve"> (Task #612), offen bleibt allein das Fundamental-Gate. Das Schutzkonzept ist damit nicht mehr zu einem Drittel, sondern zu einem Sechstel unbelegt; wer sich darauf beruft, muss diese eine Lücke mitdenken.</w:t>
      </w:r>
    </w:p>
    <w:p>
      <w:pPr>
        <w:pStyle w:val="ListBullet"/>
      </w:pPr>
      <w:r>
        <w:rPr>
          <w:b/>
        </w:rPr>
        <w:t>AZ-6 „Gescheiterte-These"-Ausstieg:</w:t>
      </w:r>
      <w:r>
        <w:t xml:space="preserve"> Läuft ein antizyklischer Kauf über Schwelle </w:t>
      </w:r>
      <w:r>
        <w:rPr>
          <w:i/>
        </w:rPr>
        <w:t>und</w:t>
      </w:r>
      <w:r>
        <w:t xml:space="preserve"> erwartete Zyklusdauer hinaus gegen die These, </w:t>
      </w:r>
      <w:r>
        <w:rPr>
          <w:b/>
        </w:rPr>
        <w:t>stoppt</w:t>
      </w:r>
      <w:r>
        <w:t xml:space="preserve"> das Nachkaufen und wird neu bewertet — kein mechanisches Weiter-Mitteln.</w:t>
      </w:r>
    </w:p>
    <w:p>
      <w:pPr>
        <w:pStyle w:val="ListBullet"/>
      </w:pPr>
      <w:r>
        <w:rPr>
          <w:b/>
        </w:rPr>
        <w:t>AZ-7 Hebel-Regeln:</w:t>
      </w:r>
      <w:r>
        <w:t xml:space="preserve"> gehebeltes antizyklisches Kaufen </w:t>
      </w:r>
      <w:r>
        <w:rPr>
          <w:b/>
        </w:rPr>
        <w:t>nur nach Bestätigung</w:t>
      </w:r>
      <w:r>
        <w:t xml:space="preserve">, im Extrem-Krise-Regime und bei erhöhtem Strukturrisiko </w:t>
      </w:r>
      <w:r>
        <w:rPr>
          <w:b/>
        </w:rPr>
        <w:t>komplett aus</w:t>
      </w:r>
      <w:r>
        <w:t>; sonst nur niedrig, gestaffelt, Liquidationspreis weit unter dem nächsten plausiblen Tief (RM-10/RM-11). Grund: Hebel nimmt genau die Zeit, die die antizyklische These zum Aufgehen braucht.</w:t>
      </w:r>
    </w:p>
    <w:p>
      <w:pPr>
        <w:pStyle w:val="ListBullet"/>
      </w:pPr>
      <w:r>
        <w:rPr>
          <w:b/>
        </w:rPr>
        <w:t>AZ-8 Strukturell vs. zyklisch — ehrlicher Umgang:</w:t>
      </w:r>
      <w:r>
        <w:t xml:space="preserve"> Die Unterscheidung ist in Echtzeit </w:t>
      </w:r>
      <w:r>
        <w:rPr>
          <w:b/>
        </w:rPr>
        <w:t>nicht sicher</w:t>
      </w:r>
      <w:r>
        <w:t xml:space="preserve"> treffbar (oft erst im Rückblick klar). Schutz kommt daher </w:t>
      </w:r>
      <w:r>
        <w:rPr>
          <w:b/>
        </w:rPr>
        <w:t>nicht aus Vorhersage</w:t>
      </w:r>
      <w:r>
        <w:t xml:space="preserve">, sondern aus den Schaltkreis-Unterbrechern (gestaffelt, Fundamental-Gate, These-Ausstieg, Drawdown-Notbremse, Cash-Reserve, Diversifikation, Hebel-Aus). Ziel: </w:t>
      </w:r>
      <w:r>
        <w:rPr>
          <w:i/>
        </w:rPr>
        <w:t>beide</w:t>
      </w:r>
      <w:r>
        <w:t xml:space="preserve"> Fälle überleben — bei zyklisch profitieren, bei strukturell den Verlust deckeln.</w:t>
      </w:r>
    </w:p>
    <w:p>
      <w:pPr>
        <w:pStyle w:val="Heading2"/>
      </w:pPr>
      <w:r>
        <w:t>16. Offene Punkte / zu entscheiden</w:t>
      </w:r>
    </w:p>
    <w:p>
      <w:pPr>
        <w:jc w:val="left"/>
      </w:pPr>
      <w:r>
        <w:rPr>
          <w:b/>
        </w:rPr>
        <w:t>Selbstverifikation &amp; KI-gestütztes Regel-Trimmen (2026-07-10, NEU, Vision formuliert, Umsetzung begonnen):</w:t>
      </w:r>
      <w:r>
        <w:t xml:space="preserve"> Der Agent soll über Zeit lernen können, ob seine eigenen Signale/Annahmen zutrafen (kurz-/mittel-/langfristig), und daraus </w:t>
      </w:r>
      <w:r>
        <w:rPr>
          <w:b/>
        </w:rPr>
        <w:t>manuelle</w:t>
      </w:r>
      <w:r>
        <w:t xml:space="preserve"> Regel-Anpassungen mit KI-Unterstützung ermöglichen — ausdrücklich </w:t>
      </w:r>
      <w:r>
        <w:rPr>
          <w:b/>
        </w:rPr>
        <w:t>kein</w:t>
      </w:r>
      <w:r>
        <w:t xml:space="preserve"> autonomes Selbst-Justieren, der Nutzer bleibt Entscheider, die KI liefert die datenbasierte Experten-Einschätzung. Geplanter Ablauf: (1) Regelwerksmanual (siehe unten, ERLEDIGT), (2) Backward-/Outcome-Tracking vergangener Signale gegen tatsächliche Kursverläufe, (3) KI-gestützte Trimm-Vorschläge auf Basis der Tracking-Daten, (4) manuelle Prüfen/Lernen/Anpassen-Zyklen. </w:t>
      </w:r>
      <w:r>
        <w:rPr>
          <w:b/>
        </w:rPr>
        <w:t>Schritt 1 ERLEDIGT:</w:t>
      </w:r>
      <w:r>
        <w:t xml:space="preserve"> </w:t>
      </w:r>
      <w:r>
        <w:rPr>
          <w:rFonts w:ascii="Consolas" w:hAnsi="Consolas"/>
          <w:color w:val="882222"/>
          <w:sz w:val="18"/>
        </w:rPr>
        <w:t>Basisinfos/Regelwerksmanual.md</w:t>
      </w:r>
      <w:r>
        <w:t xml:space="preserve"> — nutzerlesbare, destillierte Fassung aller Regeln (Z-/RM-/RG-/AZ-/R-5.x/S-Serie) mit aktuell konfigurierten Werten, als gemeinsame Referenz für künftige Anpassungsvorschläge gedacht. Um Kap. 6 ergänzt (2026-07-10, Nutzer-Wunsch): "Datenabfragen — was wann wie automatisch vs. manuell passiert" — Tabelle aller Scheduler-Jobs (</w:t>
      </w:r>
      <w:r>
        <w:rPr>
          <w:rFonts w:ascii="Consolas" w:hAnsi="Consolas"/>
          <w:color w:val="882222"/>
          <w:sz w:val="18"/>
        </w:rPr>
        <w:t>scheduler/background.py</w:t>
      </w:r>
      <w:r>
        <w:t xml:space="preserve">, Takt + Quelle) und aller manuellen GUI-Aktionen (Toolbar/Menü/Tabs), inkl. der Regel, dass alles Kostenpflichtige/API-Key-gebundene (Groq pro Signal, Bitpanda-Sync) bewusst manuell bleibt, während kostenlose Marktdaten automatisch laufen. </w:t>
      </w:r>
      <w:r>
        <w:rPr>
          <w:b/>
        </w:rPr>
        <w:t>Schritt 2 ERLEDIGT (2026-07-10):</w:t>
      </w:r>
      <w:r>
        <w:t xml:space="preserve"> </w:t>
      </w:r>
      <w:r>
        <w:rPr>
          <w:rFonts w:ascii="Consolas" w:hAnsi="Consolas"/>
          <w:color w:val="882222"/>
          <w:sz w:val="18"/>
        </w:rPr>
        <w:t>agent/krypto/backward_tracking.py</w:t>
      </w:r>
      <w:r>
        <w:t xml:space="preserve"> prüft vergangene KAUFEN/NACHKAUFEN-Signale gegen die bereits vorhandene Kurshistorie (</w:t>
      </w:r>
      <w:r>
        <w:rPr>
          <w:rFonts w:ascii="Consolas" w:hAnsi="Consolas"/>
          <w:color w:val="882222"/>
          <w:sz w:val="18"/>
        </w:rPr>
        <w:t>price_history_ohlc</w:t>
      </w:r>
      <w:r>
        <w:t xml:space="preserve"> bevorzugt für echtes Intraday-High/Low, </w:t>
      </w:r>
      <w:r>
        <w:rPr>
          <w:rFonts w:ascii="Consolas" w:hAnsi="Consolas"/>
          <w:color w:val="882222"/>
          <w:sz w:val="18"/>
        </w:rPr>
        <w:t>price_history</w:t>
      </w:r>
      <w:r>
        <w:t xml:space="preserve">-Tagesschlusskurs als Fallback — Transparenz über </w:t>
      </w:r>
      <w:r>
        <w:rPr>
          <w:rFonts w:ascii="Consolas" w:hAnsi="Consolas"/>
          <w:color w:val="882222"/>
          <w:sz w:val="18"/>
        </w:rPr>
        <w:t>outcome_datenquelle: real|proxy</w:t>
      </w:r>
      <w:r>
        <w:t>) — wurde die Take-Profit- oder die Stop-Loss-Zone zuerst erreicht? Bei Gleichzeitigkeit am selben Tag gewinnt konservativ Stop-Loss (Z-1). Neuer täglicher Scheduler-Job (</w:t>
      </w:r>
      <w:r>
        <w:rPr>
          <w:rFonts w:ascii="Consolas" w:hAnsi="Consolas"/>
          <w:color w:val="882222"/>
          <w:sz w:val="18"/>
        </w:rPr>
        <w:t>backward_tracking_job</w:t>
      </w:r>
      <w:r>
        <w:t xml:space="preserve">, 06:00 Uhr, kein eigener Netzwerk-Call — reine Auswertung bereits vorhandener Daten). Ergebnis in 5 neuen </w:t>
      </w:r>
      <w:r>
        <w:rPr>
          <w:rFonts w:ascii="Consolas" w:hAnsi="Consolas"/>
          <w:color w:val="882222"/>
          <w:sz w:val="18"/>
        </w:rPr>
        <w:t>signals</w:t>
      </w:r>
      <w:r>
        <w:t>-Spalten (</w:t>
      </w:r>
      <w:r>
        <w:rPr>
          <w:rFonts w:ascii="Consolas" w:hAnsi="Consolas"/>
          <w:color w:val="882222"/>
          <w:sz w:val="18"/>
        </w:rPr>
        <w:t>outcome_status</w:t>
      </w:r>
      <w:r>
        <w:t>/</w:t>
      </w:r>
      <w:r>
        <w:rPr>
          <w:rFonts w:ascii="Consolas" w:hAnsi="Consolas"/>
          <w:color w:val="882222"/>
          <w:sz w:val="18"/>
        </w:rPr>
        <w:t>_geprueft_am</w:t>
      </w:r>
      <w:r>
        <w:t>/</w:t>
      </w:r>
      <w:r>
        <w:rPr>
          <w:rFonts w:ascii="Consolas" w:hAnsi="Consolas"/>
          <w:color w:val="882222"/>
          <w:sz w:val="18"/>
        </w:rPr>
        <w:t>_entschieden_am</w:t>
      </w:r>
      <w:r>
        <w:t>/</w:t>
      </w:r>
      <w:r>
        <w:rPr>
          <w:rFonts w:ascii="Consolas" w:hAnsi="Consolas"/>
          <w:color w:val="882222"/>
          <w:sz w:val="18"/>
        </w:rPr>
        <w:t>_realisiertes_crv</w:t>
      </w:r>
      <w:r>
        <w:t xml:space="preserve">/ </w:t>
      </w:r>
      <w:r>
        <w:rPr>
          <w:rFonts w:ascii="Consolas" w:hAnsi="Consolas"/>
          <w:color w:val="882222"/>
          <w:sz w:val="18"/>
        </w:rPr>
        <w:t>_datenquelle</w:t>
      </w:r>
      <w:r>
        <w:t>), sichtbar über einen neuen "Signal-Historie"-Button im Signale-Tab (</w:t>
      </w:r>
      <w:r>
        <w:rPr>
          <w:rFonts w:ascii="Consolas" w:hAnsi="Consolas"/>
          <w:color w:val="882222"/>
          <w:sz w:val="18"/>
        </w:rPr>
        <w:t>ui/signals_view.py::SignalHistoryDialog</w:t>
      </w:r>
      <w:r>
        <w:t xml:space="preserve">) — macht </w:t>
      </w:r>
      <w:r>
        <w:rPr>
          <w:rFonts w:ascii="Consolas" w:hAnsi="Consolas"/>
          <w:color w:val="882222"/>
          <w:sz w:val="18"/>
        </w:rPr>
        <w:t>db.get_signal_history()</w:t>
      </w:r>
      <w:r>
        <w:t xml:space="preserve"> erstmals nutzbar (war seit seiner Einführung toter, unverdrahteter Code). Live gegen echte BTC-OHLC-Historie verifiziert (synthetisches Test-Signal korrekt als </w:t>
      </w:r>
      <w:r>
        <w:rPr>
          <w:rFonts w:ascii="Consolas" w:hAnsi="Consolas"/>
          <w:color w:val="882222"/>
          <w:sz w:val="18"/>
        </w:rPr>
        <w:t>stop_loss_erreicht</w:t>
      </w:r>
      <w:r>
        <w:t xml:space="preserve"> am erwarteten Tag aufgelöst, danach wieder entfernt). Schritte 3-4 (KI-Trimm-Vorschläge, Prüfzyklen) noch offen — brauchen jetzt erstmal echte KAUFEN/NACHKAUFEN-Signale mit Zeit zum Auflösen als Datengrundlage.</w:t>
      </w:r>
    </w:p>
    <w:p>
      <w:pPr>
        <w:jc w:val="left"/>
      </w:pPr>
      <w:r>
        <w:rPr>
          <w:b/>
        </w:rPr>
        <w:t>Risiko-/Basiswerte:</w:t>
      </w:r>
    </w:p>
    <w:p>
      <w:pPr>
        <w:pStyle w:val="ListBullet"/>
      </w:pPr>
      <w:r>
        <w:t xml:space="preserve">Maximaler tolerierter Gesamt-Drawdown (Z-3): </w:t>
      </w:r>
      <w:r>
        <w:rPr>
          <w:b/>
        </w:rPr>
        <w:t>−15 %, umgesetzt 2026-08-04</w:t>
      </w:r>
      <w:r>
        <w:t xml:space="preserve"> (Task #612). Die fehlende Portfolio-Wert-Historie war der Blocker; sie existiert jetzt als Tabelle </w:t>
      </w:r>
      <w:r>
        <w:rPr>
          <w:rFonts w:ascii="Consolas" w:hAnsi="Consolas"/>
          <w:color w:val="882222"/>
          <w:sz w:val="18"/>
        </w:rPr>
        <w:t>portfolio_wert_historie</w:t>
      </w:r>
      <w:r>
        <w:t xml:space="preserve">, gefüllt aus den Bitpanda-Buchungen und täglich fortgeschrieben. Gerechnet wird auf einer </w:t>
      </w:r>
      <w:r>
        <w:rPr>
          <w:b/>
        </w:rPr>
        <w:t>mengenkonstanten</w:t>
      </w:r>
      <w:r>
        <w:t xml:space="preserve"> Wertreihe — 15 % meint reine Marktbewegung, eigene Zu-/Verkäufe sind herausgerechnet. Aufschlüsselung nach Assetklasse existiert als Diagnose, ausgelöst wird aber weiterhin auf dem Gesamtwert (Begründung siehe </w:t>
      </w:r>
      <w:r>
        <w:rPr>
          <w:rFonts w:ascii="Consolas" w:hAnsi="Consolas"/>
          <w:color w:val="882222"/>
          <w:sz w:val="18"/>
        </w:rPr>
        <w:t>reihen_je_kategorie()</w:t>
      </w:r>
      <w:r>
        <w:t>).</w:t>
      </w:r>
    </w:p>
    <w:p>
      <w:pPr>
        <w:pStyle w:val="ListBullet"/>
      </w:pPr>
      <w:r>
        <w:t xml:space="preserve">Max. Allokation pro Einzelwert (RM-2): </w:t>
      </w:r>
      <w:r>
        <w:rPr>
          <w:b/>
        </w:rPr>
        <w:t>vorläufig entschieden (2026-07-07)</w:t>
      </w:r>
      <w:r>
        <w:t xml:space="preserve"> — 25 % für taktische Assets, 35 % für Core-Assets (BTC/ETH, </w:t>
      </w:r>
      <w:r>
        <w:rPr>
          <w:rFonts w:ascii="Consolas" w:hAnsi="Consolas"/>
          <w:color w:val="882222"/>
          <w:sz w:val="18"/>
        </w:rPr>
        <w:t>config.yaml risiko.max_allokation_pro_core_asset_prozent</w:t>
      </w:r>
      <w:r>
        <w:t xml:space="preserve">), nachdem die reale BTC-Allokation (28,4 %) das bis dahin einheitliche 25 %-Limit überschritten hatte. </w:t>
      </w:r>
      <w:r>
        <w:rPr>
          <w:b/>
        </w:rPr>
        <w:t>Explizit weiter zu besprechen:</w:t>
      </w:r>
      <w:r>
        <w:t xml:space="preserve"> die grundsätzliche Rolle von BTC im Portfolio („BTC hat den Lead") — nicht nur die Prozentzahl. Max. Allokation pro Assetklasse (RM-3) weiterhin offen.</w:t>
      </w:r>
    </w:p>
    <w:p>
      <w:pPr>
        <w:pStyle w:val="ListBullet"/>
      </w:pPr>
      <w:r>
        <w:t>Standard-Timeframes für die technische Analyse.</w:t>
      </w:r>
    </w:p>
    <w:p>
      <w:pPr>
        <w:pStyle w:val="ListBullet"/>
      </w:pPr>
      <w:r>
        <w:t>~~Claude-Modellversion und Budget/Token~~ — entfällt, KI-Ebene ist Groq (Llama 3.3 70B, siehe P-8/Kap. 8, kostenlos), nicht Claude API.</w:t>
      </w:r>
    </w:p>
    <w:p>
      <w:pPr>
        <w:jc w:val="left"/>
      </w:pPr>
      <w:r>
        <w:rPr>
          <w:b/>
        </w:rPr>
        <w:t>Datenqualität (P-10) — ERLEDIGT (2026-07-06, Phase 2):</w:t>
      </w:r>
    </w:p>
    <w:p>
      <w:pPr>
        <w:pStyle w:val="ListBullet"/>
      </w:pPr>
      <w:r>
        <w:t xml:space="preserve">Live-Preise gelten als veraltet ab </w:t>
      </w:r>
      <w:r>
        <w:rPr>
          <w:rFonts w:ascii="Consolas" w:hAnsi="Consolas"/>
          <w:color w:val="882222"/>
          <w:sz w:val="18"/>
        </w:rPr>
        <w:t>&gt; 10 Min</w:t>
      </w:r>
      <w:r>
        <w:t xml:space="preserve"> (2× 5-Min-Scheduler-Takt), historische Tagesdaten ab </w:t>
      </w:r>
      <w:r>
        <w:rPr>
          <w:rFonts w:ascii="Consolas" w:hAnsi="Consolas"/>
          <w:color w:val="882222"/>
          <w:sz w:val="18"/>
        </w:rPr>
        <w:t>&gt; 2 Kalendertage</w:t>
      </w:r>
      <w:r>
        <w:t xml:space="preserve"> Rückstand — implementiert in </w:t>
      </w:r>
      <w:r>
        <w:rPr>
          <w:rFonts w:ascii="Consolas" w:hAnsi="Consolas"/>
          <w:color w:val="882222"/>
          <w:sz w:val="18"/>
        </w:rPr>
        <w:t>ui/formatting.py</w:t>
      </w:r>
      <w:r>
        <w:t xml:space="preserve"> (</w:t>
      </w:r>
      <w:r>
        <w:rPr>
          <w:rFonts w:ascii="Consolas" w:hAnsi="Consolas"/>
          <w:color w:val="882222"/>
          <w:sz w:val="18"/>
        </w:rPr>
        <w:t>is_price_stale</w:t>
      </w:r>
      <w:r>
        <w:t xml:space="preserve">, </w:t>
      </w:r>
      <w:r>
        <w:rPr>
          <w:rFonts w:ascii="Consolas" w:hAnsi="Consolas"/>
          <w:color w:val="882222"/>
          <w:sz w:val="18"/>
        </w:rPr>
        <w:t>is_history_stale</w:t>
      </w:r>
      <w:r>
        <w:t>).</w:t>
      </w:r>
    </w:p>
    <w:p>
      <w:pPr>
        <w:pStyle w:val="ListBullet"/>
      </w:pPr>
      <w:r>
        <w:t xml:space="preserve">Mindest-Historienlänge je Indikator: exakt der jeweils benötigte Zeitraum (z. B. EMA-200 braucht genau 200 Tage, kein zusätzlicher Puffer) — implementiert als Gating in </w:t>
      </w:r>
      <w:r>
        <w:rPr>
          <w:rFonts w:ascii="Consolas" w:hAnsi="Consolas"/>
          <w:color w:val="882222"/>
          <w:sz w:val="18"/>
        </w:rPr>
        <w:t>indicators/calculations.py</w:t>
      </w:r>
      <w:r>
        <w:t xml:space="preserve"> (</w:t>
      </w:r>
      <w:r>
        <w:rPr>
          <w:rFonts w:ascii="Consolas" w:hAnsi="Consolas"/>
          <w:color w:val="882222"/>
          <w:sz w:val="18"/>
        </w:rPr>
        <w:t>IndicatorResult.available</w:t>
      </w:r>
      <w:r>
        <w:t>/</w:t>
      </w:r>
      <w:r>
        <w:rPr>
          <w:rFonts w:ascii="Consolas" w:hAnsi="Consolas"/>
          <w:color w:val="882222"/>
          <w:sz w:val="18"/>
        </w:rPr>
        <w:t>.reason</w:t>
      </w:r>
      <w:r>
        <w:t>).</w:t>
      </w:r>
    </w:p>
    <w:p>
      <w:pPr>
        <w:pStyle w:val="ListBullet"/>
      </w:pPr>
      <w:r>
        <w:t xml:space="preserve">Visuelle Konvention: </w:t>
      </w:r>
      <w:r>
        <w:rPr>
          <w:rFonts w:ascii="Consolas" w:hAnsi="Consolas"/>
          <w:color w:val="882222"/>
          <w:sz w:val="18"/>
        </w:rPr>
        <w:t>⚠</w:t>
      </w:r>
      <w:r>
        <w:t>-Präfix in Warnfarbe (</w:t>
      </w:r>
      <w:r>
        <w:rPr>
          <w:rFonts w:ascii="Consolas" w:hAnsi="Consolas"/>
          <w:color w:val="882222"/>
          <w:sz w:val="18"/>
        </w:rPr>
        <w:t>#b36b00</w:t>
      </w:r>
      <w:r>
        <w:t>) plus konkretes Alter im Text (Text + Farbe zusammen, nicht nur Farbe) — in Watchlist/Portfolio/Chart-Fenster umgesetzt.</w:t>
      </w:r>
    </w:p>
    <w:p>
      <w:pPr>
        <w:pStyle w:val="ListBullet"/>
      </w:pPr>
      <w:r>
        <w:rPr>
          <w:b/>
        </w:rPr>
        <w:t>Zusatz-Entscheidung (Phase 2):</w:t>
      </w:r>
      <w:r>
        <w:t xml:space="preserve"> Echtes ATR und echtes Williams-Fraktal (Swing- Highs/-Lows) sind mit CoinGecko Free Tier nicht in brauchbarer Tages-Auflösung möglich (echte OHLC-Daten nur als 4-Tage-Kerzen für ein Jahr). Stattdessen werden Näherungen verwendet (Schlusskurs-basierte Volatilität bzw. lokale Extrema), die in der UI </w:t>
      </w:r>
      <w:r>
        <w:rPr>
          <w:b/>
        </w:rPr>
        <w:t>immer</w:t>
      </w:r>
      <w:r>
        <w:t xml:space="preserve"> explizit als Näherung gekennzeichnet sind, nie kommentarlos als „ATR"/„Swing-High/Low".</w:t>
      </w:r>
    </w:p>
    <w:p>
      <w:pPr>
        <w:jc w:val="left"/>
      </w:pPr>
      <w:r>
        <w:rPr>
          <w:b/>
        </w:rPr>
        <w:t>Marktscan (Kap. 13):</w:t>
      </w:r>
    </w:p>
    <w:p>
      <w:pPr>
        <w:pStyle w:val="ListBullet"/>
      </w:pPr>
      <w:r>
        <w:rPr>
          <w:b/>
        </w:rPr>
        <w:t>Stufe B, C, D</w:t>
      </w:r>
      <w:r>
        <w:t xml:space="preserve"> ausarbeiten (positive Signale, Scoring, Schwellenwerte).</w:t>
      </w:r>
    </w:p>
    <w:p>
      <w:pPr>
        <w:pStyle w:val="ListBullet"/>
      </w:pPr>
      <w:r>
        <w:t>Tier-Grenzen, Small-Cap-Budget (10–15 %) und Filter-Werte (Volumen, Alter) bestätigen.</w:t>
      </w:r>
    </w:p>
    <w:p>
      <w:pPr>
        <w:pStyle w:val="ListBullet"/>
      </w:pPr>
      <w:r>
        <w:t>Frequenz weiterer Agent-Funktionen (Bestandsbewertung/De-Risking) festlegen (bisher nur Watchlist-Scan 2× täglich).</w:t>
      </w:r>
    </w:p>
    <w:p>
      <w:pPr>
        <w:jc w:val="left"/>
      </w:pPr>
      <w:r>
        <w:rPr>
          <w:b/>
        </w:rPr>
        <w:t>Regime-Steuerung (Kap. 14):</w:t>
      </w:r>
    </w:p>
    <w:p>
      <w:pPr>
        <w:pStyle w:val="ListBullet"/>
      </w:pPr>
      <w:r>
        <w:t>Regime-Profil-Werte (Gewichte, Mindest-Konfidenz, Budgets) sind Platzhalter → kalibrieren.</w:t>
      </w:r>
    </w:p>
    <w:p>
      <w:pPr>
        <w:pStyle w:val="ListBullet"/>
      </w:pPr>
      <w:r>
        <w:t xml:space="preserve">Herleitung des </w:t>
      </w:r>
      <w:r>
        <w:rPr>
          <w:rFonts w:ascii="Consolas" w:hAnsi="Consolas"/>
          <w:color w:val="882222"/>
          <w:sz w:val="18"/>
        </w:rPr>
        <w:t>risikoappetit_faktor</w:t>
      </w:r>
      <w:r>
        <w:t xml:space="preserve"> aus konkreten Makro-Daten (hängt an Makro-APIs).</w:t>
      </w:r>
    </w:p>
    <w:p>
      <w:pPr>
        <w:jc w:val="left"/>
      </w:pPr>
      <w:r>
        <w:rPr>
          <w:b/>
        </w:rPr>
        <w:t>Daten &amp; Betrieb:</w:t>
      </w:r>
    </w:p>
    <w:p>
      <w:pPr>
        <w:pStyle w:val="ListBullet"/>
      </w:pPr>
      <w:r>
        <w:rPr>
          <w:b/>
        </w:rPr>
        <w:t>Makro-/Zinsdaten-Quellen, globale M2, On-Chain-Metriken, Log-Regression-Risk, Exchange-Flows/Stablecoin-Supply, Derivate, Ereignis-Kalender: ERLEDIGT (2026-07-08).</w:t>
      </w:r>
      <w:r>
        <w:t xml:space="preserve"> Siehe Kap. 8 für die vollständige, live verifizierte Aufstellung inkl. Register verworfener/pausierter Quellen mit Revisit-Bedingung (Korea-M2/Spot-ETF-Flows/Trueflation/SOPR). </w:t>
      </w:r>
      <w:r>
        <w:rPr>
          <w:b/>
        </w:rPr>
        <w:t>Staleness-Schwellen für Makro-/ On-Chain-Daten ebenfalls ERLEDIGT</w:t>
      </w:r>
      <w:r>
        <w:t xml:space="preserve"> (</w:t>
      </w:r>
      <w:r>
        <w:rPr>
          <w:rFonts w:ascii="Consolas" w:hAnsi="Consolas"/>
          <w:color w:val="882222"/>
          <w:sz w:val="18"/>
        </w:rPr>
        <w:t>staleness.py::is_macro_value_stale()</w:t>
      </w:r>
      <w:r>
        <w:t xml:space="preserve">, vier Kategorien). </w:t>
      </w:r>
      <w:r>
        <w:rPr>
          <w:b/>
        </w:rPr>
        <w:t>Weiterhin offen, für alle diese Punkte gemeinsam:</w:t>
      </w:r>
      <w:r>
        <w:t xml:space="preserve"> die eigentliche Nutzung in </w:t>
      </w:r>
      <w:r>
        <w:rPr>
          <w:rFonts w:ascii="Consolas" w:hAnsi="Consolas"/>
          <w:color w:val="882222"/>
          <w:sz w:val="18"/>
        </w:rPr>
        <w:t>agent/krypto/regime.py</w:t>
      </w:r>
      <w:r>
        <w:t>/</w:t>
      </w:r>
      <w:r>
        <w:rPr>
          <w:rFonts w:ascii="Consolas" w:hAnsi="Consolas"/>
          <w:color w:val="882222"/>
          <w:sz w:val="18"/>
        </w:rPr>
        <w:t>agent/krypto/analyst.py::build_facts()</w:t>
      </w:r>
      <w:r>
        <w:t xml:space="preserve"> — reine Datenschicht bisher, noch nicht in die Regime-Bestimmung oder den Groq-Prompt verdrahtet.</w:t>
      </w:r>
    </w:p>
    <w:p>
      <w:pPr>
        <w:pStyle w:val="ListBullet"/>
      </w:pPr>
      <w:r>
        <w:t>X-API &amp; YouTube-API: Kosten, Limits, ToS, Umsetzungsphase.</w:t>
      </w:r>
    </w:p>
    <w:p>
      <w:pPr>
        <w:pStyle w:val="ListBullet"/>
      </w:pPr>
      <w:r>
        <w:rPr>
          <w:b/>
        </w:rPr>
        <w:t>E-Mail-Versand</w:t>
      </w:r>
      <w:r>
        <w:t xml:space="preserve"> (Kap. 13): SMTP-Server vs. Mail-API wählen; Zugangsdaten nur in </w:t>
      </w:r>
      <w:r>
        <w:rPr>
          <w:rFonts w:ascii="Consolas" w:hAnsi="Consolas"/>
          <w:color w:val="882222"/>
          <w:sz w:val="18"/>
        </w:rPr>
        <w:t>.env</w:t>
      </w:r>
      <w:r>
        <w:t>.</w:t>
      </w:r>
    </w:p>
    <w:p>
      <w:pPr>
        <w:pStyle w:val="ListBullet"/>
      </w:pPr>
      <w:r>
        <w:rPr>
          <w:b/>
        </w:rPr>
        <w:t>Web-Oberfläche für Fernzugriff</w:t>
      </w:r>
      <w:r>
        <w:t xml:space="preserve"> </w:t>
      </w:r>
      <w:r>
        <w:rPr>
          <w:rFonts w:ascii="Consolas" w:hAnsi="Consolas"/>
          <w:color w:val="882222"/>
          <w:sz w:val="18"/>
        </w:rPr>
        <w:t>[Idee 2026-07-09, TEILWEISE ERLEDIGT 2026-07-11]</w:t>
      </w:r>
      <w:r>
        <w:t xml:space="preserve">: ursprünglich als vollwertiger Web-GUI-Ersatz gedacht — stattdessen bewusst kleiner geschnitten (Nutzer-Entscheidung): eine minimale </w:t>
      </w:r>
      <w:r>
        <w:rPr>
          <w:b/>
        </w:rPr>
        <w:t>Remote-Steuer-Seite</w:t>
      </w:r>
      <w:r>
        <w:t xml:space="preserve"> (</w:t>
      </w:r>
      <w:r>
        <w:rPr>
          <w:rFonts w:ascii="Consolas" w:hAnsi="Consolas"/>
          <w:color w:val="882222"/>
          <w:sz w:val="18"/>
        </w:rPr>
        <w:t>remote/status.py</w:t>
      </w:r>
      <w:r>
        <w:t xml:space="preserve"> + </w:t>
      </w:r>
      <w:r>
        <w:rPr>
          <w:rFonts w:ascii="Consolas" w:hAnsi="Consolas"/>
          <w:color w:val="882222"/>
          <w:sz w:val="18"/>
        </w:rPr>
        <w:t>remote/server.py</w:t>
      </w:r>
      <w:r>
        <w:t xml:space="preserve">, Flask, eingebettet in </w:t>
      </w:r>
      <w:r>
        <w:rPr>
          <w:rFonts w:ascii="Consolas" w:hAnsi="Consolas"/>
          <w:color w:val="882222"/>
          <w:sz w:val="18"/>
        </w:rPr>
        <w:t>main.py</w:t>
      </w:r>
      <w:r>
        <w:t xml:space="preserve"> als Hintergrund-Thread) mit reinem Status-Überblick (Portfolio-Wert, veraltete Preise, letzter Marktscan, letzte Log-Fehler) + zwei Aktionen (Preise aktualisieren, Marktscan starten) + einem Not-Reset für haengende Job-Locks. KEIN Ersatz der tkinter-App, rein additiv. Absicherung: Tailscale-VPN (Basisinfos/Tailscale-Setup-Anleitung.md) + zusaetzliches Zugriffs-Token (</w:t>
      </w:r>
      <w:r>
        <w:rPr>
          <w:rFonts w:ascii="Consolas" w:hAnsi="Consolas"/>
          <w:color w:val="882222"/>
          <w:sz w:val="18"/>
        </w:rPr>
        <w:t>.env REMOTE_ACCESS_TOKEN</w:t>
      </w:r>
      <w:r>
        <w:t xml:space="preserve">, P-8: ohne Token bleibt die Seite komplett deaktiviert). Dabei entdeckt: </w:t>
      </w:r>
      <w:r>
        <w:rPr>
          <w:rFonts w:ascii="Consolas" w:hAnsi="Consolas"/>
          <w:color w:val="882222"/>
          <w:sz w:val="18"/>
        </w:rPr>
        <w:t>api/yfinance_client.py</w:t>
      </w:r>
      <w:r>
        <w:t xml:space="preserve"> hatte als einzige Netzwerk-Quelle im Projekt keinen kontrollierten Timeout - behoben (15s, </w:t>
      </w:r>
      <w:r>
        <w:rPr>
          <w:rFonts w:ascii="Consolas" w:hAnsi="Consolas"/>
          <w:color w:val="882222"/>
          <w:sz w:val="18"/>
        </w:rPr>
        <w:t>concurrent.futures</w:t>
      </w:r>
      <w:r>
        <w:t xml:space="preserve">), da ein haengender Call sonst den neuen Job-Lock dauerhaft blockiert haette. Live gegen den echten Account/die echte DB verifiziert (u.a. Doppel-Trigger-Schutz, Not-Reset waehrend eines echten laufenden Marktscans, main.py-Wiring mit UND ohne Token). </w:t>
      </w:r>
      <w:r>
        <w:rPr>
          <w:b/>
        </w:rPr>
        <w:t>Weiterhin offen:</w:t>
      </w:r>
      <w:r>
        <w:t xml:space="preserve"> Backward-Tracking/Bitpanda-Sync als weitere Remote-Aktionen (bewusst nicht in v1), echter Cross-Device-Test vom Handy übers Notebook (nur dort durchführbar, nicht von dieser Session aus).</w:t>
      </w:r>
    </w:p>
    <w:p>
      <w:pPr>
        <w:pStyle w:val="ListBullet"/>
      </w:pPr>
      <w:r>
        <w:rPr>
          <w:b/>
        </w:rPr>
        <w:t>Portfolio-Vollständigkeit</w:t>
      </w:r>
      <w:r>
        <w:t xml:space="preserve"> </w:t>
      </w:r>
      <w:r>
        <w:rPr>
          <w:rFonts w:ascii="Consolas" w:hAnsi="Consolas"/>
          <w:color w:val="882222"/>
          <w:sz w:val="18"/>
        </w:rPr>
        <w:t>[2026-07-11, Nutzer-Fund, TEILWEISE ERLEDIGT]</w:t>
      </w:r>
      <w:r>
        <w:t xml:space="preserve">: eine Cash-Reserve-Nachfrage deckte eine Luecke von ~5.760 EUR (~37% des echten Vermoegens) zwischen Bitpandas eigener Portfolio-Anzeige (15.694,69 EUR) und unserer Berechnung (9.934,31 EUR) auf. Ursachen im Detail geprueft: (a) Bitpanda sperrt Betraege fuer offene Fusion-Limit-Orders ("Committed Balance") sofort aus dem Wallet-Guthaben - unsere </w:t>
      </w:r>
      <w:r>
        <w:rPr>
          <w:rFonts w:ascii="Consolas" w:hAnsi="Consolas"/>
          <w:color w:val="882222"/>
          <w:sz w:val="18"/>
        </w:rPr>
        <w:t>/fiatwallets</w:t>
      </w:r>
      <w:r>
        <w:t>-Abfrage liefert bereits den korrekten freien Betrag, das Problem war fehlende Sichtbarkeit des Sync-Alters (</w:t>
      </w:r>
      <w:r>
        <w:rPr>
          <w:b/>
        </w:rPr>
        <w:t>ERLEDIGT</w:t>
      </w:r>
      <w:r>
        <w:t xml:space="preserve">: </w:t>
      </w:r>
      <w:r>
        <w:rPr>
          <w:rFonts w:ascii="Consolas" w:hAnsi="Consolas"/>
          <w:color w:val="882222"/>
          <w:sz w:val="18"/>
        </w:rPr>
        <w:t>cash_reserve_synced_at</w:t>
      </w:r>
      <w:r>
        <w:t xml:space="preserve"> in </w:t>
      </w:r>
      <w:r>
        <w:rPr>
          <w:rFonts w:ascii="Consolas" w:hAnsi="Consolas"/>
          <w:color w:val="882222"/>
          <w:sz w:val="18"/>
        </w:rPr>
        <w:t>database/db.py</w:t>
      </w:r>
      <w:r>
        <w:t xml:space="preserve"> + Label in </w:t>
      </w:r>
      <w:r>
        <w:rPr>
          <w:rFonts w:ascii="Consolas" w:hAnsi="Consolas"/>
          <w:color w:val="882222"/>
          <w:sz w:val="18"/>
        </w:rPr>
        <w:t>ui/portfolio.py</w:t>
      </w:r>
      <w:r>
        <w:t>; automatische Schaetzung des gesperrten Betrags aus der Transaktionshistorie konzipiert, noch nicht gebaut). (b) Aktuell gestakte Krypto-Bestaende (~2.435 EUR, ETH/SOL/AVAX/ SUI/TAO/HYPE/NEAR/SEI/BNB) sind ueber die normalen Wallet-Endpunkte strukturell unsichtbar, aber automatisch aus stake/unstake-Transaktions-Tags berechenbar (</w:t>
      </w:r>
      <w:r>
        <w:rPr>
          <w:b/>
        </w:rPr>
        <w:t>ERLEDIGT</w:t>
      </w:r>
      <w:r>
        <w:t xml:space="preserve">: </w:t>
      </w:r>
      <w:r>
        <w:rPr>
          <w:rFonts w:ascii="Consolas" w:hAnsi="Consolas"/>
          <w:color w:val="882222"/>
          <w:sz w:val="18"/>
        </w:rPr>
        <w:t>importer/bitpanda_avg_cost.py:: compute_staked_quantities()</w:t>
      </w:r>
      <w:r>
        <w:t xml:space="preserve">, neue Spalte </w:t>
      </w:r>
      <w:r>
        <w:rPr>
          <w:rFonts w:ascii="Consolas" w:hAnsi="Consolas"/>
          <w:color w:val="882222"/>
          <w:sz w:val="18"/>
        </w:rPr>
        <w:t>holdings.staked_quantity</w:t>
      </w:r>
      <w:r>
        <w:t xml:space="preserve">, Anzeige in Portfolio-Tab + Remote-Seite - </w:t>
      </w:r>
      <w:r>
        <w:rPr>
          <w:b/>
        </w:rPr>
        <w:t>`agent/krypto/risk_gate.py` RM-1/RM-2/RM-4 beruecksichtigen das bewusst NOCH NICHT</w:t>
      </w:r>
      <w:r>
        <w:t xml:space="preserve">, RG-6-unantastbare Datei, eigene Planungs-Session noetig). (c) US-Aktien PLTR/VST hatten keine EUR-Umrechnung (yfinance liefert nur USD) - </w:t>
      </w:r>
      <w:r>
        <w:rPr>
          <w:b/>
        </w:rPr>
        <w:t>ERLEDIGT</w:t>
      </w:r>
      <w:r>
        <w:t xml:space="preserve"> (</w:t>
      </w:r>
      <w:r>
        <w:rPr>
          <w:rFonts w:ascii="Consolas" w:hAnsi="Consolas"/>
          <w:color w:val="882222"/>
          <w:sz w:val="18"/>
        </w:rPr>
        <w:t>api/ yfinance_client.py</w:t>
      </w:r>
      <w:r>
        <w:t>, EURCV-Peg-Wechselkurs-Trick wie risk_gate.py). (d) Live entdeckt: echte historische Margin-/Hebel-Trading-Aktivitaet auf dem Account (</w:t>
      </w:r>
      <w:r>
        <w:rPr>
          <w:rFonts w:ascii="Consolas" w:hAnsi="Consolas"/>
          <w:color w:val="882222"/>
          <w:sz w:val="18"/>
        </w:rPr>
        <w:t>margin_trading.open/borrow/close/repay/fee</w:t>
      </w:r>
      <w:r>
        <w:t xml:space="preserve">-Tags, 1828/811/622/ 311/311 Vorkommen) - aktuell keine offene Krypto-Position (Nutzer bestaetigt), zwei offene Positionen in anderen Assetklassen bewusst ausserhalb des Tool-Scopes. Bitpanda bietet keine "offene Positionen"-API, eine kuenftige RM-10/RM-11-Umsetzung muesste Positionen aus den Tag-Paaren selbst rekonstruieren. Volle Details: </w:t>
      </w:r>
      <w:r>
        <w:rPr>
          <w:rFonts w:ascii="Consolas" w:hAnsi="Consolas"/>
          <w:color w:val="882222"/>
          <w:sz w:val="18"/>
        </w:rPr>
        <w:t>Basisinfos/Regelwerksmanual.md</w:t>
      </w:r>
      <w:r>
        <w:t xml:space="preserve"> Kap. 14.</w:t>
      </w:r>
    </w:p>
    <w:p>
      <w:pPr>
        <w:pStyle w:val="ListBullet"/>
      </w:pPr>
      <w:r>
        <w:rPr>
          <w:b/>
        </w:rPr>
        <w:t>Flush-Erkennung</w:t>
      </w:r>
      <w:r>
        <w:t xml:space="preserve"> (AZ-1): </w:t>
      </w:r>
      <w:r>
        <w:rPr>
          <w:b/>
        </w:rPr>
        <w:t>einfache Heuristik ERLEDIGT (2026-07-07)</w:t>
      </w:r>
      <w:r>
        <w:t xml:space="preserve"> — </w:t>
      </w:r>
      <w:r>
        <w:rPr>
          <w:rFonts w:ascii="Consolas" w:hAnsi="Consolas"/>
          <w:color w:val="882222"/>
          <w:sz w:val="18"/>
        </w:rPr>
        <w:t>agent/krypto/anticyclic.py</w:t>
      </w:r>
      <w:r>
        <w:t xml:space="preserve"> nutzt Kraken-Funding-Rates (bereits vorhanden, siehe Kap. 8)</w:t>
      </w:r>
    </w:p>
    <w:p>
      <w:pPr>
        <w:pStyle w:val="ListBullet2"/>
      </w:pPr>
      <w:r>
        <w:t>Kursrückgang-Geschwindigkeit als groben Hinweis. Die volle AZ-1..AZ-8- Klassifikation (unabhängige Nachrichten-/Fundamentalquelle nötig) bleibt offen.</w:t>
      </w:r>
    </w:p>
    <w:p>
      <w:pPr>
        <w:pStyle w:val="ListBullet"/>
      </w:pPr>
      <w:r>
        <w:rPr>
          <w:b/>
        </w:rPr>
        <w:t>Advisory-Konsequenz</w:t>
      </w:r>
      <w:r>
        <w:t xml:space="preserve"> (P-7): Eskalationsweg für Schutz-Alerts (Stop-Loss/Drawdown) definieren — E-Mail-Priorität, UI-Warnstufe.</w:t>
      </w:r>
    </w:p>
    <w:p>
      <w:pPr>
        <w:pStyle w:val="ListBullet"/>
      </w:pPr>
      <w:r>
        <w:rPr>
          <w:b/>
        </w:rPr>
        <w:t>Umsetzungs-Rückmeldung bei Signalen</w:t>
      </w:r>
      <w:r>
        <w:t xml:space="preserve"> (2026-07-07, Nutzer-Idee) — </w:t>
      </w:r>
      <w:r>
        <w:rPr>
          <w:b/>
        </w:rPr>
        <w:t>ERLEDIGT (2026-07-09).</w:t>
      </w:r>
      <w:r>
        <w:t xml:space="preserve"> </w:t>
      </w:r>
      <w:r>
        <w:rPr>
          <w:rFonts w:ascii="Consolas" w:hAnsi="Consolas"/>
          <w:color w:val="882222"/>
          <w:sz w:val="18"/>
        </w:rPr>
        <w:t>signals</w:t>
      </w:r>
      <w:r>
        <w:t xml:space="preserve"> hat vier neue Spalten (</w:t>
      </w:r>
      <w:r>
        <w:rPr>
          <w:rFonts w:ascii="Consolas" w:hAnsi="Consolas"/>
          <w:color w:val="882222"/>
          <w:sz w:val="18"/>
        </w:rPr>
        <w:t>umgesetzt</w:t>
      </w:r>
      <w:r>
        <w:t xml:space="preserve">, </w:t>
      </w:r>
      <w:r>
        <w:rPr>
          <w:rFonts w:ascii="Consolas" w:hAnsi="Consolas"/>
          <w:color w:val="882222"/>
          <w:sz w:val="18"/>
        </w:rPr>
        <w:t>umgesetzt_am</w:t>
      </w:r>
      <w:r>
        <w:t xml:space="preserve">, </w:t>
      </w:r>
      <w:r>
        <w:rPr>
          <w:rFonts w:ascii="Consolas" w:hAnsi="Consolas"/>
          <w:color w:val="882222"/>
          <w:sz w:val="18"/>
        </w:rPr>
        <w:t>umgesetzt_menge</w:t>
      </w:r>
      <w:r>
        <w:t xml:space="preserve">, </w:t>
      </w:r>
      <w:r>
        <w:rPr>
          <w:rFonts w:ascii="Consolas" w:hAnsi="Consolas"/>
          <w:color w:val="882222"/>
          <w:sz w:val="18"/>
        </w:rPr>
        <w:t>umgesetzt_preis_usd</w:t>
      </w:r>
      <w:r>
        <w:t xml:space="preserve">; Menge/Preis bewusst optional, auch bei </w:t>
      </w:r>
      <w:r>
        <w:rPr>
          <w:rFonts w:ascii="Consolas" w:hAnsi="Consolas"/>
          <w:color w:val="882222"/>
          <w:sz w:val="18"/>
        </w:rPr>
        <w:t>umgesetzt=True</w:t>
      </w:r>
      <w:r>
        <w:t xml:space="preserve">). Im Signale-Tab öffnet ein Button "Rückmeldung erfassen" einen Modal-Dialog (Ja/Nein, optional Menge/Ausführungspreis). </w:t>
      </w:r>
      <w:r>
        <w:rPr>
          <w:b/>
        </w:rPr>
        <w:t>Bewusste Zusatzentscheidung (hybrid, mit dem Nutzer abgestimmt):</w:t>
      </w:r>
      <w:r>
        <w:t xml:space="preserve"> derselbe Dialog bietet optional einen ZWEITEN, separat bestätigten Schreibpfad in </w:t>
      </w:r>
      <w:r>
        <w:rPr>
          <w:rFonts w:ascii="Consolas" w:hAnsi="Consolas"/>
          <w:color w:val="882222"/>
          <w:sz w:val="18"/>
        </w:rPr>
        <w:t>holdings</w:t>
      </w:r>
      <w:r>
        <w:t xml:space="preserve"> (</w:t>
      </w:r>
      <w:r>
        <w:rPr>
          <w:rFonts w:ascii="Consolas" w:hAnsi="Consolas"/>
          <w:color w:val="882222"/>
          <w:sz w:val="18"/>
        </w:rPr>
        <w:t>source="signal_bestaetigung"</w:t>
      </w:r>
      <w:r>
        <w:t xml:space="preserve">) an — er schlägt einen neuen Gesamtbestand aus aktuellem Bestand + Aktion (KAUFEN/NACHKAUFEN: +Menge, VERKAUFEN/TAUSCHEN: -Menge) vor, den der Nutzer vor dem Speichern frei überschreiben kann; kein automatischer, unbestätigter Bestands-Write. TAUSCHEN reduziert nur die Quell-Position, das Ziel-Asset wird nicht automatisch angelegt (out of scope dieser Slice). </w:t>
      </w:r>
      <w:r>
        <w:rPr>
          <w:rFonts w:ascii="Consolas" w:hAnsi="Consolas"/>
          <w:color w:val="882222"/>
          <w:sz w:val="18"/>
        </w:rPr>
        <w:t>holdings</w:t>
      </w:r>
      <w:r>
        <w:t xml:space="preserve"> bleibt weiterhin Stand-ohne-Historie (kein Delta-Log) — dieselbe Architektur wie beim Excel-Import, nur ein zweiter Auslöser für denselben </w:t>
      </w:r>
      <w:r>
        <w:rPr>
          <w:rFonts w:ascii="Consolas" w:hAnsi="Consolas"/>
          <w:color w:val="882222"/>
          <w:sz w:val="18"/>
        </w:rPr>
        <w:t>upsert_holding()</w:t>
      </w:r>
      <w:r>
        <w:t xml:space="preserve">-Pfad. </w:t>
      </w:r>
      <w:r>
        <w:rPr>
          <w:b/>
        </w:rPr>
        <w:t>Nachgebessert nach Expertengegenprüfung (2026-07-09, gleicher Tag):</w:t>
      </w:r>
      <w:r>
        <w:t xml:space="preserve"> vier reale Lücken gefunden und behoben: (a) Excel-Reimport überschrieb einen per Signal-Rückmeldung gesetzten Bestand bisher kommentarlos — </w:t>
      </w:r>
      <w:r>
        <w:rPr>
          <w:rFonts w:ascii="Consolas" w:hAnsi="Consolas"/>
          <w:color w:val="882222"/>
          <w:sz w:val="18"/>
        </w:rPr>
        <w:t>import_holdings()</w:t>
      </w:r>
      <w:r>
        <w:t xml:space="preserve"> warnt jetzt, wenn ein Symbol mit </w:t>
      </w:r>
      <w:r>
        <w:rPr>
          <w:rFonts w:ascii="Consolas" w:hAnsi="Consolas"/>
          <w:color w:val="882222"/>
          <w:sz w:val="18"/>
        </w:rPr>
        <w:t>source="signal_bestaetigung"</w:t>
      </w:r>
      <w:r>
        <w:t xml:space="preserve"> einen abweichenden neuen Wert bekommt (überschreibt trotzdem, Assets.xlsx bleibt Quelle der Wahrheit, aber sichtbar); (b) deutsches Komma als Dezimaltrennzeichen wird jetzt akzeptiert (wie beim Excel-Import); (c) der Bestand-Vorschlag berechnet sich live neu, auch wenn die Menge erst NACH dem Ankreuzen der Checkbox eingegeben wird; (d) ein negativer vorgeschlagener/eingegebener Bestand wird beim Speichern blockiert. </w:t>
      </w:r>
      <w:r>
        <w:rPr>
          <w:b/>
        </w:rPr>
        <w:t>Bewusst offen gelassen (dokumentierte Deferrals):</w:t>
      </w:r>
      <w:r>
        <w:t xml:space="preserve"> </w:t>
      </w:r>
      <w:r>
        <w:rPr>
          <w:rFonts w:ascii="Consolas" w:hAnsi="Consolas"/>
          <w:color w:val="882222"/>
          <w:sz w:val="18"/>
        </w:rPr>
        <w:t>holdings.source</w:t>
      </w:r>
      <w:r>
        <w:t xml:space="preserve"> wird im Portfolio-Tab weiterhin nicht angezeigt (Herkunft eines Wertes bleibt in der UI unsichtbar); </w:t>
      </w:r>
      <w:r>
        <w:rPr>
          <w:rFonts w:ascii="Consolas" w:hAnsi="Consolas"/>
          <w:color w:val="882222"/>
          <w:sz w:val="18"/>
        </w:rPr>
        <w:t>signals.umgesetzt*</w:t>
      </w:r>
      <w:r>
        <w:t xml:space="preserve"> wird bei jeder erneuten Rückmeldung überschrieben, keine Korrektur-Historie. Beide sind niedrigpriorisiert und ohne akuten Anlass — Revisit-Bedingung: sobald entweder ein Nutzer-Bericht über verwirrende Portfolio-Herkunft ODER ein konkreter Bedarf an Rückmeldungs-Historie auftritt.</w:t>
      </w:r>
    </w:p>
    <w:p>
      <w:pPr>
        <w:pStyle w:val="ListBullet"/>
      </w:pPr>
      <w:r>
        <w:rPr>
          <w:b/>
        </w:rPr>
        <w:t>Hebelpositionen als eigene Empfehlungsart</w:t>
      </w:r>
      <w:r>
        <w:t xml:space="preserve"> (2026-07-07, Nutzer-Idee): Der Agent soll perspektivisch nicht nur Spot-, sondern auch Hebel-Empfehlungen (Long/Short, 2x/5x, aktiv/passiv gemanaged) inkl. Forecasts geben — zunächst nur Long, später auch Short. Betrifft RM-10/RM-11 und S-6 (aktuell </w:t>
      </w:r>
      <w:r>
        <w:rPr>
          <w:rFonts w:ascii="Consolas" w:hAnsi="Consolas"/>
          <w:color w:val="882222"/>
          <w:sz w:val="18"/>
        </w:rPr>
        <w:t>aktiv: false</w:t>
      </w:r>
      <w:r>
        <w:t>). Noch nicht Teil der Agent-Pipeline (Slice 1 ist Spot-only).</w:t>
      </w:r>
    </w:p>
    <w:p>
      <w:pPr>
        <w:jc w:val="left"/>
      </w:pPr>
      <w:r>
        <w:rPr>
          <w:b/>
        </w:rPr>
        <w:t>Steuer &amp; Datenpflege:</w:t>
      </w:r>
    </w:p>
    <w:p>
      <w:pPr>
        <w:pStyle w:val="ListBullet"/>
      </w:pPr>
      <w:r>
        <w:t>Steuerregel P-6 (Swap steuerneutral bis Auszahlung) mit Steuerberater verifizieren (Sonderfälle: Altvermögen/Spekulationsfrist, Besteuerung von Staking-Erträgen).</w:t>
      </w:r>
    </w:p>
    <w:p>
      <w:pPr>
        <w:pStyle w:val="ListBullet"/>
      </w:pPr>
      <w:r>
        <w:rPr>
          <w:b/>
        </w:rPr>
        <w:t>ERLEDIGT (2026-07-06):</w:t>
      </w:r>
      <w:r>
        <w:t xml:space="preserve"> Zwei fehlerhafte Ticker in </w:t>
      </w:r>
      <w:r>
        <w:rPr>
          <w:rFonts w:ascii="Consolas" w:hAnsi="Consolas"/>
          <w:color w:val="882222"/>
          <w:sz w:val="18"/>
        </w:rPr>
        <w:t>Assets.xlsx</w:t>
      </w:r>
      <w:r>
        <w:t xml:space="preserve"> direkt in der Originaldatei korrigiert (nicht nur in </w:t>
      </w:r>
      <w:r>
        <w:rPr>
          <w:rFonts w:ascii="Consolas" w:hAnsi="Consolas"/>
          <w:color w:val="882222"/>
          <w:sz w:val="18"/>
        </w:rPr>
        <w:t>config.yaml</w:t>
      </w:r>
      <w:r>
        <w:t xml:space="preserve">): Stellar stand als „XML" statt „XLM"; Canton Network stand als „CC" statt „CANTON" (beim Phase-1-Import entdeckt). Damit ist der </w:t>
      </w:r>
      <w:r>
        <w:rPr>
          <w:rFonts w:ascii="Consolas" w:hAnsi="Consolas"/>
          <w:color w:val="882222"/>
          <w:sz w:val="18"/>
        </w:rPr>
        <w:t>SYMBOL_OVERRIDES</w:t>
      </w:r>
      <w:r>
        <w:t xml:space="preserve">-Workaround in </w:t>
      </w:r>
      <w:r>
        <w:rPr>
          <w:rFonts w:ascii="Consolas" w:hAnsi="Consolas"/>
          <w:color w:val="882222"/>
          <w:sz w:val="18"/>
        </w:rPr>
        <w:t>importer/excel_import.py</w:t>
      </w:r>
      <w:r>
        <w:t xml:space="preserve"> nicht mehr nötig und wurde entfernt. Backup der Originaldatei vor der Korrektur liegt lokal unter </w:t>
      </w:r>
      <w:r>
        <w:rPr>
          <w:rFonts w:ascii="Consolas" w:hAnsi="Consolas"/>
          <w:color w:val="882222"/>
          <w:sz w:val="18"/>
        </w:rPr>
        <w:t>.claude/backups/</w:t>
      </w:r>
      <w:r>
        <w:t xml:space="preserve"> (nicht versioniert).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