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und Verifikationsmethodik</w:t>
      </w:r>
    </w:p>
    <w:p>
      <w:pPr>
        <w:jc w:val="left"/>
      </w:pPr>
      <w:r>
        <w:rPr>
          <w:b/>
        </w:rPr>
        <w:t>Zweck:</w:t>
      </w:r>
      <w:r>
        <w:t xml:space="preserve"> Dauerhafter Standard, kein einmaliges Protokoll. Bisher wurden Tests und Notebook-Export-Analysen bei jeder Änderung neu und unterschiedlich tief erfunden - das macht Ergebnisse über die Zeit nicht vergleichbar und lässt leicht Unschärfe in Status-Angaben wie "erledigt" entstehen (siehe Abschnitt 0, Auslöser dieses Dokuments). Ziel: eine feste, wiederholbare Vorgehensweise für (A) synthetische Tests hier am Gerät und (B) die Analyse echter Notebook-Exporte, inklusive Lerneffekt über die Zeit.</w:t>
      </w:r>
    </w:p>
    <w:p>
      <w:pPr>
        <w:jc w:val="left"/>
      </w:pPr>
      <w:r>
        <w:t>Stand: 2026-07-28. Bei Bedarf ergänzen, nicht neu erfinden.</w:t>
      </w:r>
    </w:p>
    <w:p>
      <w:pPr>
        <w:spacing w:before="120"/>
      </w:pPr>
      <w:r>
        <w:rPr>
          <w:color w:val="AAAAAA"/>
        </w:rPr>
        <w:t>────────────────────────────────────────────────────────────</w:t>
      </w:r>
    </w:p>
    <w:p>
      <w:pPr>
        <w:pStyle w:val="Heading2"/>
      </w:pPr>
      <w:r>
        <w:t>0. Status-Vokabular (Grundlage für alles Weitere)</w:t>
      </w:r>
    </w:p>
    <w:p>
      <w:pPr>
        <w:jc w:val="left"/>
      </w:pPr>
      <w:r>
        <w:t>Auslöser: eine Änderung wurde in der Fakten-Entscheidungsmappe als "ERLEDIGT" bezeichnet, obwohl sie noch nicht committet war - Nutzer-Nachfrage machte deutlich, dass "erledigt"/"umgesetzt" ohne feste Bedeutung missverständlich ist. Ab sofort gilt für jede Änderung genau eine dieser fünf Stufen, immer explizit benannt:</w:t>
      </w:r>
    </w:p>
    <w:p>
      <w:pPr>
        <w:pStyle w:val="ListNumber"/>
      </w:pPr>
      <w:r>
        <w:rPr>
          <w:b/>
        </w:rPr>
        <w:t>Geschrieben</w:t>
      </w:r>
      <w:r>
        <w:t xml:space="preserve"> - Code/Text existiert lokal, noch nicht geprüft.</w:t>
      </w:r>
    </w:p>
    <w:p>
      <w:pPr>
        <w:pStyle w:val="ListNumber"/>
      </w:pPr>
      <w:r>
        <w:rPr>
          <w:b/>
        </w:rPr>
        <w:t>Verifiziert</w:t>
      </w:r>
      <w:r>
        <w:t xml:space="preserve"> - synthetische Tests bestanden (siehe Abschnitt 1). Sagt NUR etwas über interne Konsistenz aus, nichts über reale Wirkung.</w:t>
      </w:r>
    </w:p>
    <w:p>
      <w:pPr>
        <w:pStyle w:val="ListNumber"/>
      </w:pPr>
      <w:r>
        <w:rPr>
          <w:b/>
        </w:rPr>
        <w:t>Committet/gepusht</w:t>
      </w:r>
      <w:r>
        <w:t xml:space="preserve"> - dauerhaft im Git-Verlauf, erreicht das Notebook nach einem Pull.</w:t>
      </w:r>
    </w:p>
    <w:p>
      <w:pPr>
        <w:pStyle w:val="ListNumber"/>
      </w:pPr>
      <w:r>
        <w:rPr>
          <w:b/>
        </w:rPr>
        <w:t>Deployed</w:t>
      </w:r>
      <w:r>
        <w:t xml:space="preserve"> - Notebook hat gepullt und (falls nötig) neu gestartet, Code läuft tatsächlich.</w:t>
      </w:r>
    </w:p>
    <w:p>
      <w:pPr>
        <w:pStyle w:val="ListNumber"/>
      </w:pPr>
      <w:r>
        <w:rPr>
          <w:b/>
        </w:rPr>
        <w:t>Im Betrieb bestätigt</w:t>
      </w:r>
      <w:r>
        <w:t xml:space="preserve"> - echte Signale sind gelaufen, das erwartete Verhalten wurde im Notebook-Export beobachtet (siehe Abschnitt 2).</w:t>
      </w:r>
    </w:p>
    <w:p>
      <w:pPr>
        <w:jc w:val="left"/>
      </w:pPr>
      <w:r>
        <w:t>Bei jeder Status-Angabe (in Chat, Regelwerksmanual, Memory) diese Stufe explizit nennen, nicht nur "erledigt" schreiben. Stufe 5 ist bei reinen LLM-Kontext-Änderungen (kein Gate, keine harte Regel) oft nicht sauber isolierbar - das ehrlich benennen, statt sich eine Wirkung einzureden (siehe Abschnitt 2.2, "Vorher-Hypothese").</w:t>
      </w:r>
    </w:p>
    <w:p>
      <w:pPr>
        <w:spacing w:before="120"/>
      </w:pPr>
      <w:r>
        <w:rPr>
          <w:color w:val="AAAAAA"/>
        </w:rPr>
        <w:t>────────────────────────────────────────────────────────────</w:t>
      </w:r>
    </w:p>
    <w:p>
      <w:pPr>
        <w:pStyle w:val="Heading2"/>
      </w:pPr>
      <w:r>
        <w:t>1. Synthetischer Test-Standard (isolierter Intensivtest, Desktop)</w:t>
      </w:r>
    </w:p>
    <w:p>
      <w:pPr>
        <w:pStyle w:val="Heading3"/>
      </w:pPr>
      <w:r>
        <w:t>1.1 Änderungsklassen und Mindest-Testtiefe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Klasse</w:t>
            </w:r>
          </w:p>
        </w:tc>
        <w:tc>
          <w:tcPr>
            <w:tcW w:type="dxa" w:w="2880"/>
          </w:tcPr>
          <w:p>
            <w:r>
              <w:rPr>
                <w:b/>
              </w:rPr>
            </w:r>
            <w:r>
              <w:rPr>
                <w:b/>
              </w:rPr>
              <w:t>Beispiel</w:t>
            </w:r>
          </w:p>
        </w:tc>
        <w:tc>
          <w:tcPr>
            <w:tcW w:type="dxa" w:w="2880"/>
          </w:tcPr>
          <w:p>
            <w:r>
              <w:rPr>
                <w:b/>
              </w:rPr>
            </w:r>
            <w:r>
              <w:rPr>
                <w:b/>
              </w:rPr>
              <w:t>Mindest-Standard</w:t>
            </w:r>
          </w:p>
        </w:tc>
      </w:tr>
      <w:tr>
        <w:tc>
          <w:tcPr>
            <w:tcW w:type="dxa" w:w="2880"/>
          </w:tcPr>
          <w:p>
            <w:r/>
            <w:r>
              <w:rPr>
                <w:b/>
              </w:rPr>
              <w:t>1 — reiner Prompt-/Text-Fakt</w:t>
            </w:r>
          </w:p>
        </w:tc>
        <w:tc>
          <w:tcPr>
            <w:tcW w:type="dxa" w:w="2880"/>
          </w:tcPr>
          <w:p>
            <w:r/>
            <w:r>
              <w:t>neue SYSTEM_PROMPT-Regel ohne neue Logik</w:t>
            </w:r>
          </w:p>
        </w:tc>
        <w:tc>
          <w:tcPr>
            <w:tcW w:type="dxa" w:w="2880"/>
          </w:tcPr>
          <w:p>
            <w:r/>
            <w:r>
              <w:t xml:space="preserve">Modul-Import + </w:t>
            </w:r>
            <w:r>
              <w:rPr>
                <w:rFonts w:ascii="Consolas" w:hAnsi="Consolas"/>
                <w:color w:val="882222"/>
                <w:sz w:val="18"/>
              </w:rPr>
              <w:t>py_compile</w:t>
            </w:r>
            <w:r>
              <w:t>-Check + Regelnummerierung/Schema-Konsistenz-Check (keine Lücke/Duplikat in den durchnummerierten Regeln, JSON-Schema-Kommentare zeigen auf die richtige Regelnummer)</w:t>
            </w:r>
          </w:p>
        </w:tc>
      </w:tr>
      <w:tr>
        <w:tc>
          <w:tcPr>
            <w:tcW w:type="dxa" w:w="2880"/>
          </w:tcPr>
          <w:p>
            <w:r/>
            <w:r>
              <w:rPr>
                <w:b/>
              </w:rPr>
              <w:t>2 — deterministische Logik</w:t>
            </w:r>
          </w:p>
        </w:tc>
        <w:tc>
          <w:tcPr>
            <w:tcW w:type="dxa" w:w="2880"/>
          </w:tcPr>
          <w:p>
            <w:r/>
            <w:r>
              <w:t>neue Gate-Formel, neue Schwelle, neue Risikofaktor-Berechnung</w:t>
            </w:r>
          </w:p>
        </w:tc>
        <w:tc>
          <w:tcPr>
            <w:tcW w:type="dxa" w:w="2880"/>
          </w:tcPr>
          <w:p>
            <w:r/>
            <w:r>
              <w:t xml:space="preserve">Benannte Testfälle nach festem Muster (siehe 1.2), MINDESTENS: Regressionsfall (altes Verhalten unverändert), Positivfall (neue Logik greift korrekt), Grenzfall (Schwellenwert exakt getroffen, Nullwerte, </w:t>
            </w:r>
            <w:r>
              <w:rPr>
                <w:rFonts w:ascii="Consolas" w:hAnsi="Consolas"/>
                <w:color w:val="882222"/>
                <w:sz w:val="18"/>
              </w:rPr>
              <w:t>None</w:t>
            </w:r>
            <w:r>
              <w:t>), Kombinationsfall (Zusammenspiel mit mindestens einem bestehenden Veto/Deckel)</w:t>
            </w:r>
          </w:p>
        </w:tc>
      </w:tr>
      <w:tr>
        <w:tc>
          <w:tcPr>
            <w:tcW w:type="dxa" w:w="2880"/>
          </w:tcPr>
          <w:p>
            <w:r/>
            <w:r>
              <w:rPr>
                <w:b/>
              </w:rPr>
              <w:t>3 — DB-Schema</w:t>
            </w:r>
          </w:p>
        </w:tc>
        <w:tc>
          <w:tcPr>
            <w:tcW w:type="dxa" w:w="2880"/>
          </w:tcPr>
          <w:p>
            <w:r/>
            <w:r>
              <w:t>neue Spalte/Tabelle, neue Migration</w:t>
            </w:r>
          </w:p>
        </w:tc>
        <w:tc>
          <w:tcPr>
            <w:tcW w:type="dxa" w:w="2880"/>
          </w:tcPr>
          <w:p>
            <w:r/>
            <w:r>
              <w:t>Zusätzlich zu Klasse 2: Migrations-Test (frische In-Memory-DB + Migration; zusätzlich eine "Alt-Zeile" ohne die neuen Spalten einfügen, Migration erneut laufen lassen - keine Exception, sinnvolle NULL-Defaults)</w:t>
            </w:r>
          </w:p>
        </w:tc>
      </w:tr>
      <w:tr>
        <w:tc>
          <w:tcPr>
            <w:tcW w:type="dxa" w:w="2880"/>
          </w:tcPr>
          <w:p>
            <w:r/>
            <w:r>
              <w:rPr>
                <w:b/>
              </w:rPr>
              <w:t>4 — UI-Änderung</w:t>
            </w:r>
          </w:p>
        </w:tc>
        <w:tc>
          <w:tcPr>
            <w:tcW w:type="dxa" w:w="2880"/>
          </w:tcPr>
          <w:p>
            <w:r/>
            <w:r>
              <w:t>neue Spalte/Dialog/Toggle</w:t>
            </w:r>
          </w:p>
        </w:tc>
        <w:tc>
          <w:tcPr>
            <w:tcW w:type="dxa" w:w="2880"/>
          </w:tcPr>
          <w:p>
            <w:r/>
            <w:r>
              <w:t>Zusätzlich zu Klasse 2 (falls Logik dahinter): Tk-Smoke-Test (Fenster öffnet ohne Exception, neues Element sichtbar, Interaktion löst erwartete Aktion aus)</w:t>
            </w:r>
          </w:p>
        </w:tc>
      </w:tr>
    </w:tbl>
    <w:p/>
    <w:p>
      <w:pPr>
        <w:jc w:val="left"/>
      </w:pPr>
      <w:r>
        <w:t>Faustregel: die Klasse richtet sich nach der RISKANTESTEN betroffenen Ebene, nicht nach der Summe. Eine Aenderung, die sowohl einen Prompt-Text als auch eine DB-Spalte betrifft, ist Klasse 3.</w:t>
      </w:r>
    </w:p>
    <w:p>
      <w:pPr>
        <w:pStyle w:val="Heading3"/>
      </w:pPr>
      <w:r>
        <w:t>1.2 Format synthetischer Testfälle</w:t>
      </w:r>
    </w:p>
    <w:p>
      <w:pPr>
        <w:jc w:val="left"/>
      </w:pPr>
      <w:r>
        <w:t>Wie bereits in dieser und vorherigen Sitzungen praktiziert (fortführen, nicht neu erfinden): In-Memory-SQLite (</w:t>
      </w:r>
      <w:r>
        <w:rPr>
          <w:rFonts w:ascii="Consolas" w:hAnsi="Consolas"/>
          <w:color w:val="882222"/>
          <w:sz w:val="18"/>
        </w:rPr>
        <w:t>sqlite3.connect(":memory:")</w:t>
      </w:r>
      <w:r>
        <w:t xml:space="preserve">, </w:t>
      </w:r>
      <w:r>
        <w:rPr>
          <w:rFonts w:ascii="Consolas" w:hAnsi="Consolas"/>
          <w:color w:val="882222"/>
          <w:sz w:val="18"/>
        </w:rPr>
        <w:t>conn.row_factory = sqlite3.Row</w:t>
      </w:r>
      <w:r>
        <w:t xml:space="preserve">, </w:t>
      </w:r>
      <w:r>
        <w:rPr>
          <w:rFonts w:ascii="Consolas" w:hAnsi="Consolas"/>
          <w:color w:val="882222"/>
          <w:sz w:val="18"/>
        </w:rPr>
        <w:t>database.db.init_db(conn)</w:t>
      </w:r>
      <w:r>
        <w:t>), direkte Dataclass-Konstruktion (</w:t>
      </w:r>
      <w:r>
        <w:rPr>
          <w:rFonts w:ascii="Consolas" w:hAnsi="Consolas"/>
          <w:color w:val="882222"/>
          <w:sz w:val="18"/>
        </w:rPr>
        <w:t>Signal</w:t>
      </w:r>
      <w:r>
        <w:t>/</w:t>
      </w:r>
      <w:r>
        <w:rPr>
          <w:rFonts w:ascii="Consolas" w:hAnsi="Consolas"/>
          <w:color w:val="882222"/>
          <w:sz w:val="18"/>
        </w:rPr>
        <w:t>HebelSignal</w:t>
      </w:r>
      <w:r>
        <w:t xml:space="preserve"> mit nur den fuer den Testfall relevanten Feldern), benannte Fälle als T1, T2, T3... mit je einer Zeile Beschreibung, was geprüft wird und warum. KEIN Zugriff auf die Produktions-DB (siehe [[feedback_desktop_kein_produktivstart]] - gilt unveraendert).</w:t>
      </w:r>
    </w:p>
    <w:p>
      <w:pPr>
        <w:pStyle w:val="Heading3"/>
      </w:pPr>
      <w:r>
        <w:t>1.3 Protokoll-Format (neu, ab jetzt verbindlich)</w:t>
      </w:r>
    </w:p>
    <w:p>
      <w:pPr>
        <w:jc w:val="left"/>
      </w:pPr>
      <w:r>
        <w:t>Jeder Testlauf für Klasse 2-4 bekommt ein kurzes, einheitliches Ergebnis-Protokoll, das in die jeweilige Commit-Beschreibung bzw. den Regelwerksmanual-Nachtrag übernommen wird:</w:t>
      </w:r>
    </w:p>
    <w:p>
      <w:pPr>
        <w:spacing w:after="120"/>
        <w:ind w:left="360"/>
      </w:pPr>
      <w:r>
        <w:rPr>
          <w:rFonts w:ascii="Consolas" w:hAnsi="Consolas"/>
          <w:sz w:val="17"/>
        </w:rPr>
        <w:t>Verifikation [Datum]:</w:t>
        <w:br/>
        <w:t xml:space="preserve">  Betroffene Datei(en): ...</w:t>
        <w:br/>
        <w:t xml:space="preserve">  Änderungsklasse: 1/2/3/4</w:t>
        <w:br/>
        <w:t xml:space="preserve">  Testfälle: T1 &lt;Kurzbeschreibung&gt; - PASS/FAIL</w:t>
        <w:br/>
        <w:t xml:space="preserve">             T2 ... - PASS/FAIL</w:t>
        <w:br/>
        <w:t xml:space="preserve">             ...</w:t>
        <w:br/>
        <w:t xml:space="preserve">  Regressionscheck (Imports aller betroffenen Module): PASS/FAIL</w:t>
        <w:br/>
        <w:t xml:space="preserve">  Gesamturteil: verifiziert (Stufe 2) / nicht bestanden (Ursache: ...)</w:t>
      </w:r>
    </w:p>
    <w:p>
      <w:pPr>
        <w:jc w:val="left"/>
      </w:pPr>
      <w:r>
        <w:t>Für Klasse 1 genügt eine Kurzfassung ("Modul-Import OK, Regelnummerierung 1-N ohne Lücke, Compile-Check OK").</w:t>
      </w:r>
    </w:p>
    <w:p>
      <w:pPr>
        <w:pStyle w:val="Heading3"/>
      </w:pPr>
      <w:r>
        <w:t>1.4 Lücke gefunden und geschlossen (2026-07-31): `py_compile`/`ast.parse` reicht NICHT für Funktionsumbenennungen</w:t>
      </w:r>
    </w:p>
    <w:p>
      <w:pPr>
        <w:jc w:val="left"/>
      </w:pPr>
      <w:r>
        <w:rPr>
          <w:b/>
        </w:rPr>
        <w:t>Auslöser:</w:t>
      </w:r>
      <w:r>
        <w:t xml:space="preserve"> nach dem Selbst-Halten-Schatten-Feature (siehe Regelwerksmanual- Nachtrag) lief </w:t>
      </w:r>
      <w:r>
        <w:rPr>
          <w:rFonts w:ascii="Consolas" w:hAnsi="Consolas"/>
          <w:color w:val="882222"/>
          <w:sz w:val="18"/>
        </w:rPr>
        <w:t>extract_notebook_diagnose.py</w:t>
      </w:r>
      <w:r>
        <w:t xml:space="preserve"> am Notebook mit </w:t>
      </w:r>
      <w:r>
        <w:rPr>
          <w:rFonts w:ascii="Consolas" w:hAnsi="Consolas"/>
          <w:color w:val="882222"/>
          <w:sz w:val="18"/>
        </w:rPr>
        <w:t>NameError: name '_richtung_aus_veto_zonen' is not defined</w:t>
      </w:r>
      <w:r>
        <w:t xml:space="preserve">. Die Funktion war im selben Commit zu </w:t>
      </w:r>
      <w:r>
        <w:rPr>
          <w:rFonts w:ascii="Consolas" w:hAnsi="Consolas"/>
          <w:color w:val="882222"/>
          <w:sz w:val="18"/>
        </w:rPr>
        <w:t>_richtung_aus_zonen()</w:t>
      </w:r>
      <w:r>
        <w:t xml:space="preserve"> umbenannt worden - </w:t>
      </w:r>
      <w:r>
        <w:rPr>
          <w:rFonts w:ascii="Consolas" w:hAnsi="Consolas"/>
          <w:color w:val="882222"/>
          <w:sz w:val="18"/>
        </w:rPr>
        <w:t>python -m py_compile</w:t>
      </w:r>
      <w:r>
        <w:t xml:space="preserve"> UND ein reiner </w:t>
      </w:r>
      <w:r>
        <w:rPr>
          <w:rFonts w:ascii="Consolas" w:hAnsi="Consolas"/>
          <w:color w:val="882222"/>
          <w:sz w:val="18"/>
        </w:rPr>
        <w:t>ast.parse()</w:t>
      </w:r>
      <w:r>
        <w:t xml:space="preserve">-Check waren beide grün, weil beide nur Syntax prüfen, nicht ob ein referenzierter Name zur Laufzeit existiert. Der verbliebene Aufruf lag in </w:t>
      </w:r>
      <w:r>
        <w:rPr>
          <w:rFonts w:ascii="Consolas" w:hAnsi="Consolas"/>
          <w:color w:val="882222"/>
          <w:sz w:val="18"/>
        </w:rPr>
        <w:t>compute_zai_richtung_performance_schatten()</w:t>
      </w:r>
      <w:r>
        <w:t xml:space="preserve"> - einer bereits BESTEHENDEN Funktion (28.07.), die beim Umbenennen nicht als Aufrufer erkannt wurde, weil sie nicht Teil des aktuell bearbeiteten Funktions-Sets war.</w:t>
      </w:r>
    </w:p>
    <w:p>
      <w:pPr>
        <w:jc w:val="left"/>
      </w:pPr>
      <w:r>
        <w:rPr>
          <w:b/>
        </w:rPr>
        <w:t>Lehre 1 - bei jeder Funktions-/Symbol-Umbenennung:</w:t>
      </w:r>
      <w:r>
        <w:t xml:space="preserve"> </w:t>
      </w:r>
      <w:r>
        <w:rPr>
          <w:rFonts w:ascii="Consolas" w:hAnsi="Consolas"/>
          <w:color w:val="882222"/>
          <w:sz w:val="18"/>
        </w:rPr>
        <w:t>grep -rn "&lt;alter_name&gt;"</w:t>
      </w:r>
      <w:r>
        <w:t xml:space="preserve"> über das GESAMTE Repository (nicht nur die Datei, die gerade bearbeitet wird) VOR dem Abschluss der Änderung, nicht danach. Ein "einziger Aufrufer" ist eine Annahme, keine verifizierte Tatsache, bis der Grep sie bestätigt hat.</w:t>
      </w:r>
    </w:p>
    <w:p>
      <w:pPr>
        <w:jc w:val="left"/>
      </w:pPr>
      <w:r>
        <w:rPr>
          <w:b/>
        </w:rPr>
        <w:t>Lehre 2 - `py_compile`/`ast.parse` deckt nur Syntaxfehler ab, keine Laufzeit-Namensauflösung.</w:t>
      </w:r>
      <w:r>
        <w:t xml:space="preserve"> Ein </w:t>
      </w:r>
      <w:r>
        <w:rPr>
          <w:rFonts w:ascii="Consolas" w:hAnsi="Consolas"/>
          <w:color w:val="882222"/>
          <w:sz w:val="18"/>
        </w:rPr>
        <w:t>NameError</w:t>
      </w:r>
      <w:r>
        <w:t xml:space="preserve"> in einer Funktion, die im Testlauf nie AUFGERUFEN wird, bleibt für beide Checks unsichtbar. Für Skripte mit einem klaren Einstiegspunkt (</w:t>
      </w:r>
      <w:r>
        <w:rPr>
          <w:rFonts w:ascii="Consolas" w:hAnsi="Consolas"/>
          <w:color w:val="882222"/>
          <w:sz w:val="18"/>
        </w:rPr>
        <w:t>extract_notebook_diagnose.py:: main()</w:t>
      </w:r>
      <w:r>
        <w:t xml:space="preserve">, ähnliche Batch-/Export-Skripte) gehört ab jetzt zur Klasse-2/3- Mindesttiefe zusätzlich ein </w:t>
      </w:r>
      <w:r>
        <w:rPr>
          <w:b/>
        </w:rPr>
        <w:t>End-to-End-Smoke-Test des Einstiegspunkts</w:t>
      </w:r>
      <w:r>
        <w:t xml:space="preserve"> gegen eine frische temp-SQLite-Datei (DB_PATH umgebogen, NIE Produktiv-DB, siehe [[feedback_desktop_kein_produktivstart]]) - nicht nur ein Test der einzelnen neu geschriebenen Funktionen. Der reine </w:t>
      </w:r>
      <w:r>
        <w:rPr>
          <w:rFonts w:ascii="Consolas" w:hAnsi="Consolas"/>
          <w:color w:val="882222"/>
          <w:sz w:val="18"/>
        </w:rPr>
        <w:t>import</w:t>
      </w:r>
      <w:r>
        <w:t>-Test allein reicht ebenfalls nicht (Python löst Namen erst bei Funktionsaufruf auf, nicht beim Modul-Import).</w:t>
      </w:r>
    </w:p>
    <w:p>
      <w:pPr>
        <w:spacing w:before="120"/>
      </w:pPr>
      <w:r>
        <w:rPr>
          <w:color w:val="AAAAAA"/>
        </w:rPr>
        <w:t>────────────────────────────────────────────────────────────</w:t>
      </w:r>
    </w:p>
    <w:p>
      <w:pPr>
        <w:pStyle w:val="Heading2"/>
      </w:pPr>
      <w:r>
        <w:t>2. Notebook-Export-Analyse-Standard (Realitätscheck + Lerneffekt)</w:t>
      </w:r>
    </w:p>
    <w:p>
      <w:pPr>
        <w:pStyle w:val="Heading3"/>
      </w:pPr>
      <w:r>
        <w:t>2.1 Fester Kennzahlen-Katalog (bei JEDEM neuen Export durchgehen, nicht nur die gerade interessierende Frage)</w:t>
      </w:r>
    </w:p>
    <w:p>
      <w:pPr>
        <w:pStyle w:val="ListNumber"/>
      </w:pPr>
      <w:r>
        <w:t>LLM-Budget/Calls heute je Provider (</w:t>
      </w:r>
      <w:r>
        <w:rPr>
          <w:rFonts w:ascii="Consolas" w:hAnsi="Consolas"/>
          <w:color w:val="882222"/>
          <w:sz w:val="18"/>
        </w:rPr>
        <w:t>llm_calls_heute</w:t>
      </w:r>
      <w:r>
        <w:t>)</w:t>
      </w:r>
    </w:p>
    <w:p>
      <w:pPr>
        <w:pStyle w:val="ListNumber"/>
      </w:pPr>
      <w:r>
        <w:t>Signal-Volumen je Pipeline (</w:t>
      </w:r>
      <w:r>
        <w:rPr>
          <w:rFonts w:ascii="Consolas" w:hAnsi="Consolas"/>
          <w:color w:val="882222"/>
          <w:sz w:val="18"/>
        </w:rPr>
        <w:t>signal_volumen_heute</w:t>
      </w:r>
      <w:r>
        <w:t>)</w:t>
      </w:r>
    </w:p>
    <w:p>
      <w:pPr>
        <w:pStyle w:val="ListNumber"/>
      </w:pPr>
      <w:r>
        <w:t>Provider-Performance (Win-Rate/Ø realisiertes CRV) je Assetklasse (</w:t>
      </w:r>
      <w:r>
        <w:rPr>
          <w:rFonts w:ascii="Consolas" w:hAnsi="Consolas"/>
          <w:color w:val="882222"/>
          <w:sz w:val="18"/>
        </w:rPr>
        <w:t>provider_performance</w:t>
      </w:r>
      <w:r>
        <w:t>)</w:t>
      </w:r>
    </w:p>
    <w:p>
      <w:pPr>
        <w:pStyle w:val="ListNumber"/>
      </w:pPr>
      <w:r>
        <w:t>Konfidenz-Kalibrierung je Band (</w:t>
      </w:r>
      <w:r>
        <w:rPr>
          <w:rFonts w:ascii="Consolas" w:hAnsi="Consolas"/>
          <w:color w:val="882222"/>
          <w:sz w:val="18"/>
        </w:rPr>
        <w:t>konfidenz_kalibrierung</w:t>
      </w:r>
      <w:r>
        <w:t>)</w:t>
      </w:r>
    </w:p>
    <w:p>
      <w:pPr>
        <w:pStyle w:val="ListNumber"/>
      </w:pPr>
      <w:r>
        <w:t>Z.ai-Richtungs-/Konsistenz-Abgleich (</w:t>
      </w:r>
      <w:r>
        <w:rPr>
          <w:rFonts w:ascii="Consolas" w:hAnsi="Consolas"/>
          <w:color w:val="882222"/>
          <w:sz w:val="18"/>
        </w:rPr>
        <w:t>zai_gegenpruefung_verlauf</w:t>
      </w:r>
      <w:r>
        <w:t xml:space="preserve">, </w:t>
      </w:r>
      <w:r>
        <w:rPr>
          <w:rFonts w:ascii="Consolas" w:hAnsi="Consolas"/>
          <w:color w:val="882222"/>
          <w:sz w:val="18"/>
        </w:rPr>
        <w:t>zai_richtung_performance</w:t>
      </w:r>
      <w:r>
        <w:t>)</w:t>
      </w:r>
    </w:p>
    <w:p>
      <w:pPr>
        <w:pStyle w:val="ListNumber"/>
      </w:pPr>
      <w:r>
        <w:t>Gate-Veto-Häufigkeit - insbesondere NEUE oder sich häufende Muster (</w:t>
      </w:r>
      <w:r>
        <w:rPr>
          <w:rFonts w:ascii="Consolas" w:hAnsi="Consolas"/>
          <w:color w:val="882222"/>
          <w:sz w:val="18"/>
        </w:rPr>
        <w:t>gate_veto_haeufigkeit</w:t>
      </w:r>
      <w:r>
        <w:t>)</w:t>
      </w:r>
    </w:p>
    <w:p>
      <w:pPr>
        <w:pStyle w:val="ListNumber"/>
      </w:pPr>
      <w:r>
        <w:t>App-Neustart-Häufigkeit / Log-Auffälligkeiten (</w:t>
      </w:r>
      <w:r>
        <w:rPr>
          <w:rFonts w:ascii="Consolas" w:hAnsi="Consolas"/>
          <w:color w:val="882222"/>
          <w:sz w:val="18"/>
        </w:rPr>
        <w:t>log_auszug</w:t>
      </w:r>
      <w:r>
        <w:t xml:space="preserve"> auf "Added job"/"Traceback"/"CRITICAL" durchsuchen)</w:t>
      </w:r>
    </w:p>
    <w:p>
      <w:pPr>
        <w:pStyle w:val="ListNumber"/>
      </w:pPr>
      <w:r>
        <w:t>Wartezeit bis Auflösung je Outcome-Status (Median/Mittelwert, getrennt nach gleichem Kalendertag wie Erstellung vs. späterem Tag - siehe [[project_zai_gegenpruefungslogik]] für die Methodik, warum diese Trennung nötig ist)</w:t>
      </w:r>
    </w:p>
    <w:p>
      <w:pPr>
        <w:pStyle w:val="ListNumber"/>
      </w:pPr>
      <w:r>
        <w:t>Stop-Loss-MFE-Analyse (</w:t>
      </w:r>
      <w:r>
        <w:rPr>
          <w:rFonts w:ascii="Consolas" w:hAnsi="Consolas"/>
          <w:color w:val="882222"/>
          <w:sz w:val="18"/>
        </w:rPr>
        <w:t>compute_sl_mfe_analyse()</w:t>
      </w:r>
      <w:r>
        <w:t>) - Quote der SL-Fälle mit zwischenzeitlich positivem MFE trotz spätem Stop (siehe Abschnitt 2.6)</w:t>
      </w:r>
    </w:p>
    <w:p>
      <w:pPr>
        <w:pStyle w:val="ListNumber"/>
      </w:pPr>
      <w:r>
        <w:t>Fazit-Selbsteinschätzung-Verteilung (</w:t>
      </w:r>
      <w:r>
        <w:rPr>
          <w:rFonts w:ascii="Consolas" w:hAnsi="Consolas"/>
          <w:color w:val="882222"/>
          <w:sz w:val="18"/>
        </w:rPr>
        <w:t>fazit_folgen</w:t>
      </w:r>
      <w:r>
        <w:t xml:space="preserve">: ja/nein/mit_vorbehalt) je Assetklasse UND Aktionstyp (echter Trade vs. HALTEN) - insbesondere ob "ja"/"nein" inzwischen auch bei echten Trade-Empfehlungen (ERÖFFNEN/KAUFEN) auftreten, nicht nur bei HALTEN, und ob </w:t>
      </w:r>
      <w:r>
        <w:rPr>
          <w:rFonts w:ascii="Consolas" w:hAnsi="Consolas"/>
          <w:color w:val="882222"/>
          <w:sz w:val="18"/>
        </w:rPr>
        <w:t>selbst_halten_outcome_status</w:t>
      </w:r>
      <w:r>
        <w:t xml:space="preserve"> inzwischen erste aufgelöste Fälle zeigt (siehe Abschnitt 2.9).</w:t>
      </w:r>
    </w:p>
    <w:p>
      <w:pPr>
        <w:jc w:val="left"/>
      </w:pPr>
      <w:r>
        <w:t>Diese zehn Punkte werden IMMER kurz durchgegangen, auch wenn der Anlass für den Export etwas anderes war - Auffälligkeiten ausserhalb der eigentlichen Fragestellung nicht ignorieren (siehe z.B. den ISOC/X136-Ticker-Fund, der nebenbei beim Durchgehen von Punkt 6 auffiel).</w:t>
      </w:r>
    </w:p>
    <w:p>
      <w:pPr>
        <w:pStyle w:val="Heading3"/>
      </w:pPr>
      <w:r>
        <w:t>2.1a Export-Vollständigkeits-Check vor jeder NEUEN Fragestellung (verbindlich)</w:t>
      </w:r>
    </w:p>
    <w:p>
      <w:pPr>
        <w:jc w:val="left"/>
      </w:pPr>
      <w:r>
        <w:t>Auslöser: wiederholt aufgetreten (29.07. Konfidenz-CRV/SL-Korrelation, 30.07. Z.ai-6-Pipelines-Assetklassen-Zuordnung, 30.07. ATR-Perzentil-Veraltungs-Check)</w:t>
      </w:r>
    </w:p>
    <w:p>
      <w:pPr>
        <w:pStyle w:val="ListBullet"/>
      </w:pPr>
      <w:r>
        <w:t>bevor eine Frage beantwortet wird, die NICHT bereits vom festen</w:t>
      </w:r>
    </w:p>
    <w:p>
      <w:pPr>
        <w:jc w:val="left"/>
      </w:pPr>
      <w:r>
        <w:t xml:space="preserve">Kennzahlen-Katalog (2.1) abgedeckt ist, aktiv prüfen, ob </w:t>
      </w:r>
      <w:r>
        <w:rPr>
          <w:rFonts w:ascii="Consolas" w:hAnsi="Consolas"/>
          <w:color w:val="882222"/>
          <w:sz w:val="18"/>
        </w:rPr>
        <w:t>extract_notebook_diagnose.py</w:t>
      </w:r>
      <w:r>
        <w:t xml:space="preserve"> die dafür nötigen Rohdaten überhaupt exportiert</w:t>
      </w:r>
    </w:p>
    <w:p>
      <w:pPr>
        <w:pStyle w:val="ListBullet"/>
      </w:pPr>
      <w:r>
        <w:t>nicht stillschweigend mit vorhandenen, aber eigentlich unpassenden Daten</w:t>
      </w:r>
    </w:p>
    <w:p>
      <w:pPr>
        <w:jc w:val="left"/>
      </w:pPr>
      <w:r>
        <w:t>behelfen oder die Frage unbeantwortet lassen.</w:t>
      </w:r>
    </w:p>
    <w:p>
      <w:pPr>
        <w:jc w:val="left"/>
      </w:pPr>
      <w:r>
        <w:rPr>
          <w:b/>
        </w:rPr>
        <w:t>Vorgehen:</w:t>
      </w:r>
    </w:p>
    <w:p>
      <w:pPr>
        <w:pStyle w:val="ListNumber"/>
      </w:pPr>
      <w:r>
        <w:t>Export-Top-Level-Keys durchsehen (</w:t>
      </w:r>
      <w:r>
        <w:rPr>
          <w:rFonts w:ascii="Consolas" w:hAnsi="Consolas"/>
          <w:color w:val="882222"/>
          <w:sz w:val="18"/>
        </w:rPr>
        <w:t>data.keys()</w:t>
      </w:r>
      <w:r>
        <w:t>) - existiert bereits eine passende Sektion?</w:t>
      </w:r>
    </w:p>
    <w:p>
      <w:pPr>
        <w:pStyle w:val="ListNumber"/>
      </w:pPr>
      <w:r>
        <w:t>Falls eine verwandte, aber zu enge Sektion existiert (z.B. eine Preishistorie nur für eine Teilmenge Symbole): pruefen, ob sie fuer die konkrete Frage ausreicht, oder ob sie strukturell den falschen Ausschnitt liefert.</w:t>
      </w:r>
    </w:p>
    <w:p>
      <w:pPr>
        <w:pStyle w:val="ListNumber"/>
      </w:pPr>
      <w:r>
        <w:t xml:space="preserve">Falls nötig: eine neue, MINIMALE Export-Funktion nach dem etablierten Muster ergänzen (eigene </w:t>
      </w:r>
      <w:r>
        <w:rPr>
          <w:rFonts w:ascii="Consolas" w:hAnsi="Consolas"/>
          <w:color w:val="882222"/>
          <w:sz w:val="18"/>
        </w:rPr>
        <w:t>_xxx(conn) -&gt; dict</w:t>
      </w:r>
      <w:r>
        <w:t xml:space="preserve">-Funktion, reine Lesefunktion/Aggregation, in </w:t>
      </w:r>
      <w:r>
        <w:rPr>
          <w:rFonts w:ascii="Consolas" w:hAnsi="Consolas"/>
          <w:color w:val="882222"/>
          <w:sz w:val="18"/>
        </w:rPr>
        <w:t>main()</w:t>
      </w:r>
      <w:r>
        <w:t xml:space="preserve"> eingehängt) - keine Sonderlösung nur für diese eine Frage, sondern eine wiederverwendbare Sektion (siehe z.B. </w:t>
      </w:r>
      <w:r>
        <w:rPr>
          <w:rFonts w:ascii="Consolas" w:hAnsi="Consolas"/>
          <w:color w:val="882222"/>
          <w:sz w:val="18"/>
        </w:rPr>
        <w:t>_preishistorie_ueberholte_symbole()</w:t>
      </w:r>
      <w:r>
        <w:t xml:space="preserve">, </w:t>
      </w:r>
      <w:r>
        <w:rPr>
          <w:rFonts w:ascii="Consolas" w:hAnsi="Consolas"/>
          <w:color w:val="882222"/>
          <w:sz w:val="18"/>
        </w:rPr>
        <w:t>_deribit_cross_check_verlauf()</w:t>
      </w:r>
      <w:r>
        <w:t xml:space="preserve"> als Referenzmuster).</w:t>
      </w:r>
    </w:p>
    <w:p>
      <w:pPr>
        <w:pStyle w:val="ListNumber"/>
      </w:pPr>
      <w:r>
        <w:t xml:space="preserve">Skript-Änderung dem Nutzer explizit zur Bestätigung vorlegen (siehe </w:t>
      </w:r>
      <w:r>
        <w:rPr>
          <w:rFonts w:ascii="Consolas" w:hAnsi="Consolas"/>
          <w:color w:val="882222"/>
          <w:sz w:val="18"/>
        </w:rPr>
        <w:t>Basisinfos/Fakten_Entscheidungsmappe.md</w:t>
      </w:r>
      <w:r>
        <w:t>-Konvention: Code-Änderungen brauchen Bestätigung), dann am Notebook laufen lassen + zurücksynchronisieren lassen, bevor die eigentliche Analyse fortgesetzt wird.</w:t>
      </w:r>
    </w:p>
    <w:p>
      <w:pPr>
        <w:jc w:val="left"/>
      </w:pPr>
      <w:r>
        <w:t>Bewusst NICHT: aus fehlenden Daten eine Vermutung machen und diese als Befund ausgeben - fehlende Exportabdeckung ist ein Blocker für die Fragestellung, kein Grund für eine ungeprüfte Annahme.</w:t>
      </w:r>
    </w:p>
    <w:p>
      <w:pPr>
        <w:pStyle w:val="Heading3"/>
      </w:pPr>
      <w:r>
        <w:t>2.2 Vorher-Hypothese (Lerneffekt-Kern)</w:t>
      </w:r>
    </w:p>
    <w:p>
      <w:pPr>
        <w:jc w:val="left"/>
      </w:pPr>
      <w:r>
        <w:t>Bei jeder Änderung, deren Wirkung im Betrieb beobachtet werden soll: VOR dem nächsten Export kurz notieren (in der jeweiligen Memory-Datei oder im Regelwerksmanual-Nachtrag), WAS konkret erwartet wird. Beim nächsten Export dann ehrlich prüfen, ob das eingetreten ist - nicht die Beobachtung nachträglich passend interpretieren.</w:t>
      </w:r>
    </w:p>
    <w:p>
      <w:pPr>
        <w:jc w:val="left"/>
      </w:pPr>
      <w:r>
        <w:rPr>
          <w:b/>
        </w:rPr>
        <w:t>Wichtige Einschränkung:</w:t>
      </w:r>
      <w:r>
        <w:t xml:space="preserve"> bei reinen LLM-Kontext-Ergänzungen ohne Gate (z.B. die FOMC-Regel) ist ein hartes Vorher/Nachher-Signal oft NICHT sauber isolierbar - das LLM-Verhalten ist nicht deterministisch reproduzierbar, und ein einzelner beobachteter Fall beweist nichts. In diesem Fall ehrlich vermerken: "keine belastbare Erfolgsmessung möglich, nur qualitative Beobachtung" statt eine Scheingenauigkeit vorzutäuschen. Ein hartes Vorher/Nachher-Signal ist nur bei Klasse-2/3-Änderungen (deterministische Logik) realistisch erwartbar.</w:t>
      </w:r>
    </w:p>
    <w:p>
      <w:pPr>
        <w:pStyle w:val="Heading3"/>
      </w:pPr>
      <w:r>
        <w:t>2.2a Mehrtägige Beobachtung vor Vollabschluss neuer Bausteine/Features (Nachtrag 30.07.)</w:t>
      </w:r>
    </w:p>
    <w:p>
      <w:pPr>
        <w:jc w:val="left"/>
      </w:pPr>
      <w:r>
        <w:t>Auslöser: sowohl beim Konfidenz-Prompt-Fix als auch bei den Krypto- Relativwert-Bausteinen (Signal-Stabilität/ATR-Perzentil/BTC-Relativwert, siehe [[project_krypto_relativwert_bausteine]]) wurde ein neues Feature NICHT direkt nach der synthetischen Verifikation als abgeschlossen markiert, sondern bewusst offengehalten, bis mehrere Tage echter Produktionsdaten vorlagen - bisher nur informell in einzelnen Projekt-Memories festgehalten, nicht als Standard benannt.</w:t>
      </w:r>
    </w:p>
    <w:p>
      <w:pPr>
        <w:jc w:val="left"/>
      </w:pPr>
      <w:r>
        <w:rPr>
          <w:b/>
        </w:rPr>
        <w:t>Ab sofort als Standard-Praxis, wenn ein neuer Fakt/eine neue Kennzahl das LLM-Verhalten beeinflussen oder eine Entscheidungsgrundlage liefern soll (nicht bei reinen UI-/Kosmetik-Änderungen):</w:t>
      </w:r>
    </w:p>
    <w:p>
      <w:pPr>
        <w:pStyle w:val="ListNumber"/>
      </w:pPr>
      <w:r>
        <w:t>Nach Stufe 3 (Committet/gepusht) und Stufe 4 (Deployed) NICHT sofort Stufe 5 ("Im Betrieb bestätigt") behaupten, auch wenn ein erster Export unauffällig aussieht - ein einzelner Tag kann Zufallsrauschen nicht von echtem Verhalten unterscheiden.</w:t>
      </w:r>
    </w:p>
    <w:p>
      <w:pPr>
        <w:pStyle w:val="ListNumber"/>
      </w:pPr>
      <w:r>
        <w:t>Mindestens 3-5 reale Produktionstage abwarten (kein festes Datum, abhängig von Signalfrequenz - bei seltenen Pipelines ggf. länger).</w:t>
      </w:r>
    </w:p>
    <w:p>
      <w:pPr>
        <w:pStyle w:val="ListNumber"/>
      </w:pPr>
      <w:r>
        <w:t>Dann eine gezielte Plausibilitätsprüfung der realen Werte durchführen (siehe 2.7 für den Fall scheinbar eingefrorener Kennzahlen) - erst danach gilt das Feature als vollständig abgeschlossen (Stufe 5).</w:t>
      </w:r>
    </w:p>
    <w:p>
      <w:pPr>
        <w:pStyle w:val="ListNumber"/>
      </w:pPr>
      <w:r>
        <w:t>Der Nutzer-Grundsatz "nicht nur beobachten, sondern aktiv gegenprüfen" gilt auch hier - reines Abwarten ohne späteren Plausibilitätscheck reicht nicht.</w:t>
      </w:r>
    </w:p>
    <w:p>
      <w:pPr>
        <w:pStyle w:val="Heading3"/>
      </w:pPr>
      <w:r>
        <w:t>2.3 Lern-Log</w:t>
      </w:r>
    </w:p>
    <w:p>
      <w:pPr>
        <w:jc w:val="left"/>
      </w:pPr>
      <w:r>
        <w:t xml:space="preserve">Kurze, stichwortartige Zusammenfassung nach jeder tieferen Export-Analyse: "was haben wir bei diesem Export gelernt, das wir beim letzten nicht wussten" - als Memory-Eintrag (Typ </w:t>
      </w:r>
      <w:r>
        <w:rPr>
          <w:rFonts w:ascii="Consolas" w:hAnsi="Consolas"/>
          <w:color w:val="882222"/>
          <w:sz w:val="18"/>
        </w:rPr>
        <w:t>project</w:t>
      </w:r>
      <w:r>
        <w:t>), nicht nur im Chat-Verlauf, damit es durchsuchbar bleibt und nicht verloren geht. Format wie bereits etabliert (siehe z.B. [[project_notebook_quickcheck_2026-07-27]]).</w:t>
      </w:r>
    </w:p>
    <w:p>
      <w:pPr>
        <w:pStyle w:val="Heading3"/>
      </w:pPr>
      <w:r>
        <w:t>2.4 Kein fester Rhythmus, aber feste Tiefe</w:t>
      </w:r>
    </w:p>
    <w:p>
      <w:pPr>
        <w:jc w:val="left"/>
      </w:pPr>
      <w:r>
        <w:t>Der Nutzer holt Notebook-Exporte unregelmäßig, je nach Bedarf - das bleibt so, kein Vorschlag für einen festen Zeitplan. Aber unabhängig vom Anlass gilt: einmal angefangen, wird der volle Katalog aus 2.1 durchgegangen, nicht nur die ursprünglich gestellte Frage.</w:t>
      </w:r>
    </w:p>
    <w:p>
      <w:pPr>
        <w:pStyle w:val="Heading3"/>
      </w:pPr>
      <w:r>
        <w:t>2.5 Symbol-/Konzentrations-Check vor jeder Muster-Interpretation (verbindlich)</w:t>
      </w:r>
    </w:p>
    <w:p>
      <w:pPr>
        <w:jc w:val="left"/>
      </w:pPr>
      <w:r>
        <w:t>Auslöser: die R-5.10-Analyse (29.07., siehe [[project_r510_konfidenz_veto_analyse_29_07]]) zeigte eine naiv alarmierende Zahl (n=80, 55% Win-Rate, +0,64 CRV bei konfidenz-vetoten Spot-Signalen), die sich bei genauerem Hinsehen als Artefakt einer Handvoll gut laufender Symbole entpuppte (5 Symbole = 29/29 Treffer, ohne sie nur noch 29,4% WR bei den restlichen 51). Eine zweite, strukturell ähnliche Prüfung am selben Tag (Hebel-Konfidenz-Bänder) ergab dagegen ein robustes Ergebnis - der Unterschied wurde erst durch diesen Check sichtbar.</w:t>
      </w:r>
    </w:p>
    <w:p>
      <w:pPr>
        <w:jc w:val="left"/>
      </w:pPr>
      <w:r>
        <w:rPr>
          <w:b/>
        </w:rPr>
        <w:t>Ab sofort verbindlich, bevor eine Win-Rate/CRV-Kennzahl aus Veto-Schatten-, Provider-Performance- oder Konfidenz-Band-Daten als "Muster"/"Erkenntnis" interpretiert oder gar in eine Handlungsempfehlung übersetzt wird:</w:t>
      </w:r>
    </w:p>
    <w:p>
      <w:pPr>
        <w:pStyle w:val="ListNumber"/>
      </w:pPr>
      <w:r>
        <w:t>Anzahl unterschiedlicher Symbole in der Stichprobe ermitteln (nicht nur Gesamt-n).</w:t>
      </w:r>
    </w:p>
    <w:p>
      <w:pPr>
        <w:pStyle w:val="ListNumber"/>
      </w:pPr>
      <w:r>
        <w:t>Win-Rate/CRV zusätzlich OHNE die 3-5 häufigsten Symbole berechnen.</w:t>
      </w:r>
    </w:p>
    <w:p>
      <w:pPr>
        <w:pStyle w:val="ListNumber"/>
      </w:pPr>
      <w:r>
        <w:t>Bewegt sich die Kennzahl dabei deutlich (&gt;10 Prozentpunkte WR oder Vorzeichenwechsel beim CRV), gilt der Befund als NICHT robust - vermutlich Symbol-/Rally-Artefakt, nicht als Kalibrierungslücke behandeln, keine Schwellenwert-Änderung darauf stützen.</w:t>
      </w:r>
    </w:p>
    <w:p>
      <w:pPr>
        <w:pStyle w:val="ListNumber"/>
      </w:pPr>
      <w:r>
        <w:t>Bleibt die Kennzahl stabil, gilt der Befund als robust und kann als echte Erkenntnis dokumentiert und diskutiert werden.</w:t>
      </w:r>
    </w:p>
    <w:p>
      <w:pPr>
        <w:jc w:val="left"/>
      </w:pPr>
      <w:r>
        <w:rPr>
          <w:b/>
        </w:rPr>
        <w:t>Nachgeschärfte Mindestschwelle (Nachtrag 29.07., externe Recherche zu Backtest-Overfitting - Bailey/Lopez de Prado, "The Probability of Backtest Overfitting"; Harvey/Liu/Zhu zu Multiple-Testing bei Handelsstrategien):</w:t>
      </w:r>
      <w:r>
        <w:t xml:space="preserve"> ein aus einem Backtest abgeleitetes Muster wird NIE operationalisiert (kein Gate, kein Deckel, keine Schwellenwert-Änderung), solange (a) n &lt; 50 ODER (b) ein einzelnes Symbol &gt; 20-25% der Fälle stellt. Bei geclusterten Beobachtungen (mehrere Signale desselben Symbols aus derselben Marktbewegung) ist die EFFEKTIVE Stichprobengröße die Anzahl distinkter Symbole, nicht die Roh-Zeilenzahl - analog zu "clustered standard errors" in der Ökonometrie. Jede Analyse-Zusammenfassung weist deshalb IMMER beide Zahlen aus: Roh-n UND Anzahl distinkter Symbole.</w:t>
      </w:r>
    </w:p>
    <w:p>
      <w:pPr>
        <w:jc w:val="left"/>
      </w:pPr>
      <w:r>
        <w:t>Zusätzlich: informell nacheinander getestete Hypothesen (z.B. "Deckel bauen" → "Gegenteil scheint zu gelten" → "Kontrolle zeigt Artefakt") sind ein Multiple-Testing-Szenario - ein gefundener Effekt gilt bei jeder Zwischenstufe zunächst nur als hypothesengenerierend, nicht als bestätigt, bis er nach unabhängiger Replikation (neuer Zeitraum/neue Symbole) noch Bestand hat.</w:t>
      </w:r>
    </w:p>
    <w:p>
      <w:pPr>
        <w:jc w:val="left"/>
      </w:pPr>
      <w:r>
        <w:t>Diese Prüfung wird in Abschnitt 3 der jeweiligen Analyse-Zusammenfassung (Chat oder Memory) kurz mit ausgewiesen (Roh-n, Anzahl Symbole, WR mit/ohne Top-N), nicht nur das Endergebnis genannt.</w:t>
      </w:r>
    </w:p>
    <w:p>
      <w:pPr>
        <w:pStyle w:val="Heading3"/>
      </w:pPr>
      <w:r>
        <w:t>2.5.1 Klarstellung: was der Check NICHT bedeutet (Nachtrag 29.07.)</w:t>
      </w:r>
    </w:p>
    <w:p>
      <w:pPr>
        <w:jc w:val="left"/>
      </w:pPr>
      <w:r>
        <w:t>Auslöser: Nutzer-Nachfrage, ob eine bewusst schmale Watchlist (z.B. nur BTC/ETH/SOL) das System damit faktisch unbenutzbar macht, und ob die Handelslogik überhaupt von Diversifikation abhängen sollte (Gegenbeispiel des Nutzers: bei Hebel laufen aktuell sowohl BTC als auch ein Memecoin - an fehlender Asset-Vielfalt kann und sollte es also nicht liegen).</w:t>
      </w:r>
    </w:p>
    <w:p>
      <w:pPr>
        <w:jc w:val="left"/>
      </w:pPr>
      <w:r>
        <w:rPr>
          <w:b/>
        </w:rPr>
        <w:t>Der eigentliche Maßstab ist Unabhängigkeit der Beobachtungen, nicht Anzahl der Symbole.</w:t>
      </w:r>
      <w:r>
        <w:t xml:space="preserve"> Symbol-Vielfalt ist nur der aktuell nächstliegende PROXY dafür, weil die bisherigen Datenmengen ihre scheinbare Größe oft aus wiederholtem Cooldown-Re-Signalisieren DESSELBEN Coins während EINER zusammenhängenden Marktbewegung beziehen (viele DB-Zeilen, aber wenige echte, unabhängige Marktereignisse dahinter). Daraus folgt:</w:t>
      </w:r>
    </w:p>
    <w:p>
      <w:pPr>
        <w:pStyle w:val="ListBullet"/>
      </w:pPr>
      <w:r>
        <w:rPr>
          <w:b/>
        </w:rPr>
        <w:t>Eine schmale, bewusst gewählte Watchlist (wenige Symbole) ist für sich genommen KEIN Konzentrationsproblem.</w:t>
      </w:r>
      <w:r>
        <w:t xml:space="preserve"> Dieselben 2-3 Symbole über einen langen Zeitraum hinweg, der mehrere echte, unterschiedliche Marktphasen (Bulle/Bär/Seitwärts) abdeckt, liefern genauso unabhängige Datenpunkte wie viele verschiedene Symbole - nur über die Zeit-Achse gestreut statt über die Symbol-Achse. Das Betriebs-System selbst braucht keine Symbol-Vielfalt, um zu funktionieren.</w:t>
      </w:r>
    </w:p>
    <w:p>
      <w:pPr>
        <w:pStyle w:val="ListBullet"/>
      </w:pPr>
      <w:r>
        <w:rPr>
          <w:b/>
        </w:rPr>
        <w:t>Die Handelslogik/Regeln sollen asset-agnostisch funktionieren</w:t>
      </w:r>
      <w:r>
        <w:t xml:space="preserve"> (BTC und ein Memecoin gleichermaßen abgedeckt) - der Check unterstellt nicht das Gegenteil. Er prüft nur, ob eine KONKRETE Kennzahl (z.B. "46% Win-Rate bei Regel X") tatsächlich die generelle Wirkung der Regel zeigt, oder ob sie nur "diese 3 Symbole liefen in dieser einen Woche gut" beweist - was bei einer Schwellenwert-Änderung fälschlich auf ALLE künftigen Symbole/Situationen verallgemeinert würde.</w:t>
      </w:r>
    </w:p>
    <w:p>
      <w:pPr>
        <w:pStyle w:val="ListBullet"/>
      </w:pPr>
      <w:r>
        <w:rPr>
          <w:b/>
        </w:rPr>
        <w:t>Bei einer schmalen Watchlist ist der Symbol-Check durch einen Zeitfenster-Unabhängigkeits-Check zu ERSETZEN bzw. zu ergänzen:</w:t>
      </w:r>
      <w:r>
        <w:t xml:space="preserve"> sind die Gewinn-/Verlust-Fälle über mehrere klar unterschiedliche Marktphasen verteilt, oder stammen sie praktisch alle aus einer einzigen zusammenhängenden Bewegung? Gleiches Prinzip, andere Achse.</w:t>
      </w:r>
    </w:p>
    <w:p>
      <w:pPr>
        <w:pStyle w:val="ListBullet"/>
      </w:pPr>
      <w:r>
        <w:t>Die "&gt;10 Prozentpunkte"-Schwelle aus 2.5 ist bereits genau dafür gebaut, "ab welcher Menge kein Problem mehr" zu beantworten: nicht als feste Symbolanzahl, sondern als Test, ob der Effekt beim Entfernen der dominantesten paar Symbole verschwindet oder stabil bleibt.</w:t>
      </w:r>
    </w:p>
    <w:p>
      <w:pPr>
        <w:pStyle w:val="Heading3"/>
      </w:pPr>
      <w:r>
        <w:t>2.5.2 Zweites Fallbeispiel: R-5.10-Konfidenzschwelle (Nachtrag 30.07.)</w:t>
      </w:r>
    </w:p>
    <w:p>
      <w:pPr>
        <w:jc w:val="left"/>
      </w:pPr>
      <w:r>
        <w:t xml:space="preserve">Auslöser: eine Live-Test-Untersuchung zu moeglichem LLM-Inaktivitaets-Bias (Aktien/Rohstoffe/Themen-ETF, siehe Memory [[project_llm_optimierung_abdeckung_pruefung]]) fuehrte zur echten Ursache des Symptoms: dem R-5.10-Konfidenzschwellen-Veto in </w:t>
      </w:r>
      <w:r>
        <w:rPr>
          <w:rFonts w:ascii="Consolas" w:hAnsi="Consolas"/>
          <w:color w:val="882222"/>
          <w:sz w:val="18"/>
        </w:rPr>
        <w:t>risk_gate.py:: post_check()</w:t>
      </w:r>
      <w:r>
        <w:t>. Eine erste Veto-Schatten-Auswertung fuer Krypto-Spot (n=106 aufgeloest, Win-Rate 41,5%, Ø realisiertes CRV +0,222) sah auf den ersten Blick belastbar aus (n&gt;=50 erfuellt) und fuehrte zu einer config.yaml-Aenderung (Konfidenzschwelle -5 Prozentpunkte je Regime, NUR Krypto-Spot).</w:t>
      </w:r>
    </w:p>
    <w:p>
      <w:pPr>
        <w:jc w:val="left"/>
      </w:pPr>
      <w:r>
        <w:rPr>
          <w:b/>
        </w:rPr>
        <w:t>Der in 2.5 vorgeschriebene Symbol-Konzentrations-Check wurde bei dieser ersten Auswertung uebersprungen</w:t>
      </w:r>
      <w:r>
        <w:t xml:space="preserve"> - erst beim nachtraeglichen Dokumentieren angewendet. Ergebnis: Top-5-Symbole (AKT, CAT, GRIFFAIN, KAITO, S) stellen 39,6% der Faelle; ohne sie faellt die Win-Rate auf 32,8% und das Ø realisierte CRV </w:t>
      </w:r>
      <w:r>
        <w:rPr>
          <w:b/>
        </w:rPr>
        <w:t>kippt im Vorzeichen</w:t>
      </w:r>
      <w:r>
        <w:t xml:space="preserve"> von +0,222 auf -0,242 - exakt die in 2.5 als disqualifizierend definierte Bedingung. Die config.yaml-Aenderung wurde noch am selben Tag zurueckgenommen.</w:t>
      </w:r>
    </w:p>
    <w:p>
      <w:pPr>
        <w:jc w:val="left"/>
      </w:pPr>
      <w:r>
        <w:rPr>
          <w:b/>
        </w:rPr>
        <w:t>Lehre:</w:t>
      </w:r>
      <w:r>
        <w:t xml:space="preserve"> der Check muss VOR jeder Operationalisierung angewendet werden, nicht erst beim Dokumentieren danach - sonst wird eine bereits live gesetzte Aenderung auf nicht belastbarer Evidenz entdeckt, statt gar nicht erst gesetzt zu werden. Zweiter unabhaengiger Beleg (nach dem 29.07.-Fall in 2.5), dass genau dieses Muster - Konfidenzschwellen-Vetos, Krypto-Spot, scheinbar okay-grosses n - anfaellig fuer Symbol-/Rally-Artefakte ist.</w:t>
      </w:r>
    </w:p>
    <w:p>
      <w:pPr>
        <w:jc w:val="left"/>
      </w:pPr>
      <w:r>
        <w:t>Zusaetzlich bei derselben Gelegenheit festgestellt: die parallele CRV&lt;2,0-Veto-Teilauswertung (Krypto-Spot, n=18, urspruenglich als "Veto arbeitet korrekt" eingeordnet) unterschreitet die n&gt;=50-Mindestschwelle unabhaengig von der Konzentration (hier gut verteilt) - beide Krypto-Spot-Fragen bleiben damit offen, keine der beiden gilt als bestaetigt.</w:t>
      </w:r>
    </w:p>
    <w:p>
      <w:pPr>
        <w:pStyle w:val="Heading3"/>
      </w:pPr>
      <w:r>
        <w:t>2.5.3 Drittes Fallbeispiel: Marktscan-Score-Schwellen-Kalibrierung - Konzentration als Signal statt nur als Störfaktor (Nachtrag 30.07.)</w:t>
      </w:r>
    </w:p>
    <w:p>
      <w:pPr>
        <w:jc w:val="left"/>
      </w:pPr>
      <w:r>
        <w:t xml:space="preserve">Auslöser: die Frage, ob </w:t>
      </w:r>
      <w:r>
        <w:rPr>
          <w:rFonts w:ascii="Consolas" w:hAnsi="Consolas"/>
          <w:color w:val="882222"/>
          <w:sz w:val="18"/>
        </w:rPr>
        <w:t>score_kaufkandidat_ab=70</w:t>
      </w:r>
      <w:r>
        <w:t>/</w:t>
      </w:r>
      <w:r>
        <w:rPr>
          <w:rFonts w:ascii="Consolas" w:hAnsi="Consolas"/>
          <w:color w:val="882222"/>
          <w:sz w:val="18"/>
        </w:rPr>
        <w:t>score_watchlist_wuerdig_ab=50</w:t>
      </w:r>
      <w:r>
        <w:t xml:space="preserve"> (beide VORLAEUFIG) gut kalibriert sind. Ein Backtest gegen echte Notebook-Daten scheiterte am Symbol-Konzentrations-Check (2.5) - wenige Coins wurden immer wieder als Kandidat entdeckt, eine klassische Schwellen-Kalibrierung wäre auf dieser Basis nicht belastbar gewesen.</w:t>
      </w:r>
    </w:p>
    <w:p>
      <w:pPr>
        <w:jc w:val="left"/>
      </w:pPr>
      <w:r>
        <w:rPr>
          <w:b/>
        </w:rPr>
        <w:t>Der entscheidende Perspektivwechsel:</w:t>
      </w:r>
      <w:r>
        <w:t xml:space="preserve"> statt die Konzentration nur als Störfaktor zu behandeln (der eine Frage unbeantwortbar macht), wurde sie selbst zur Fragestellung - "warum wird derselbe Coin so oft wiederentdeckt, und sagt DAS etwas über die künftige Performance aus?" Ein eigens dafür konstruierter Backtest (Streak-Position vs. Forward-Return, siehe Memory [[project_krypto_relativwert_bausteine]] und Regelwerksmanual-Nachtrag "Marktscan-Reifegrad-Scoring") bestätigte sauber (n=70 Coins mit ≥4 Tages-Sichtungen, OHNE Konzentrationsproblem in diesem spezifischen Test): Win-Rate fällt monoton von 57% (3. Sichtung) auf 36% (5. Sichtung).</w:t>
      </w:r>
    </w:p>
    <w:p>
      <w:pPr>
        <w:jc w:val="left"/>
      </w:pPr>
      <w:r>
        <w:rPr>
          <w:b/>
        </w:rPr>
        <w:t>Lehre:</w:t>
      </w:r>
      <w:r>
        <w:t xml:space="preserve"> wenn der Symbol-Konzentrations-Check eine urspüngliche Fragestellung disqualifiziert, lohnt sich die Nachfrage, ob die Konzentration selbst (die Wiederholung) ein eigenständiges, bisher ungenutztes Signal ist - statt die Frage nur als "nicht beantwortbar" zu verwerfen. Bei der später gebauten Erfolgsmessung (Marktscan Teil 2) drehte sich diese Konzentration sogar zu einem PRAKTISCHEN Vorteil um: wenige distinkte Coins bedeuten günstigere gebündelte </w:t>
      </w:r>
      <w:r>
        <w:rPr>
          <w:rFonts w:ascii="Consolas" w:hAnsi="Consolas"/>
          <w:color w:val="882222"/>
          <w:sz w:val="18"/>
        </w:rPr>
        <w:t>get_simple_prices()</w:t>
      </w:r>
      <w:r>
        <w:t>-Abrufe (ein API-Call für mehrere offene Messungen desselben Coins) statt vieler Einzelabrufe.</w:t>
      </w:r>
    </w:p>
    <w:p>
      <w:pPr>
        <w:pStyle w:val="Heading3"/>
      </w:pPr>
      <w:r>
        <w:t>2.5.4 Viertes Fallbeispiel: R-5.10 erneut geprüft bei 1,4x größerer Stichprobe - Konzentration gesunken, Vorzeichenwechsel bleibt (Nachtrag 01.08.)</w:t>
      </w:r>
    </w:p>
    <w:p>
      <w:pPr>
        <w:jc w:val="left"/>
      </w:pPr>
      <w:r>
        <w:t>Auslöser: eine allgemeine "Detailanalyse aller Messpunkte" gegen einen frischen Notebook-Export zeigte fuer den Krypto-Spot-Konfidenzschwellen-Veto (R-5.10) eine deutlich groessere Stichprobe als beim 2.5.2-Fund (n=148 statt n=106) mit Ø realisiertem CRV +0,334 - auf den ersten Blick eine noch belastbarere Bestaetigung des scheinbar positiven Befunds.</w:t>
      </w:r>
    </w:p>
    <w:p>
      <w:pPr>
        <w:jc w:val="left"/>
      </w:pPr>
      <w:r>
        <w:rPr>
          <w:b/>
        </w:rPr>
        <w:t>Symbol-Konzentrations-Check diesmal VOR jeder Interpretation angewendet</w:t>
      </w:r>
      <w:r>
        <w:t xml:space="preserve"> (gelernte Lehre aus 2.5.2): die Verteilung ist tatsaechlich breiter als beim ersten Fund - 22 Symbole, groesster Anteil nur 8,1% (AIOZ/IO je n=12), keine Top-5-Haeufung wie beim 39,6%-Befund von 29.07./30.07. Auf den ersten Blick sieht das nach einem entschaerften Konzentrationsproblem aus.</w:t>
      </w:r>
    </w:p>
    <w:p>
      <w:pPr>
        <w:jc w:val="left"/>
      </w:pPr>
      <w:r>
        <w:rPr>
          <w:b/>
        </w:rPr>
        <w:t>Der Vorzeichenwechsel bleibt trotzdem bestehen, ausgeloest durch ein EINZELNES Symbol statt einer Gruppe:</w:t>
      </w:r>
      <w:r>
        <w:t xml:space="preserve"> AIOZ allein (n=12, 8% der Faelle, 100% Take-Profit-Quote, Ø CRV +4,71) traegt den gesamten positiven Gesamtdurchschnitt. Ohne AIOZ faellt n=136 verbleibender Faelle auf Ø CRV </w:t>
      </w:r>
      <w:r>
        <w:rPr>
          <w:b/>
        </w:rPr>
        <w:t>-0,052</w:t>
      </w:r>
      <w:r>
        <w:t xml:space="preserve"> - Vorzeichenwechsel, identisch disqualifizierend wie beim 2.5.2-Fund. Zusaetzlich: von allen 148 Einzel-Outcomes sind 91 (61,5%) negativ, nur 57 (38,5%) positiv - der positive Mittelwert ist eine Ausreisser-getriebene Verzerrung, kein Mehrheitsmuster.</w:t>
      </w:r>
    </w:p>
    <w:p>
      <w:pPr>
        <w:jc w:val="left"/>
      </w:pPr>
      <w:r>
        <w:rPr>
          <w:b/>
        </w:rPr>
        <w:t>Lehre:</w:t>
      </w:r>
      <w:r>
        <w:t xml:space="preserve"> eine breitere prozentuale Verteilung (keine Top-5-Gruppe &gt;10 Prozentpunkte) reicht allein nicht aus, um den Konzentrations-Check als bestanden zu werten - ein einzelner Ausreisser mit extremem CRV kann denselben Vorzeichenwechsel-Effekt auslösen wie eine Gruppen-Häufung. Die 2.5-Pruefung sollte daher immer BEIDES ansehen: prozentuale Verteilung UND "was passiert beim Entfernen des staerksten Einzelwerts". Die am 30.07. getroffene Entscheidung, den Krypto-Spot-R-5.10-Override nicht zu setzen, bleibt bei 1,4x groesserer Stichprobe bestaetigt - keine Revision noetig.</w:t>
      </w:r>
    </w:p>
    <w:p>
      <w:pPr>
        <w:pStyle w:val="Heading3"/>
      </w:pPr>
      <w:r>
        <w:t>2.5.5 Beitrags-Konzentration zusaetzlich zur Anzahl-Konzentration (Nachtrag 02.08.)</w:t>
      </w:r>
    </w:p>
    <w:p>
      <w:pPr>
        <w:jc w:val="left"/>
      </w:pPr>
      <w:r>
        <w:t xml:space="preserve">Der Check aus 2.5 prueft, wie sich die Faelle </w:t>
      </w:r>
      <w:r>
        <w:rPr>
          <w:b/>
        </w:rPr>
        <w:t>nach Anzahl</w:t>
      </w:r>
      <w:r>
        <w:t xml:space="preserve"> auf Symbole verteilen. Am 02.08. hat ein Befund diese Pruefung glatt bestanden und war trotzdem ein Artefakt: Spot-R-5.10-Veto-Schatten, n=156, Oe CRV +0,25, groesstes Symbol nur </w:t>
      </w:r>
      <w:r>
        <w:rPr>
          <w:b/>
        </w:rPr>
        <w:t>7,7 %</w:t>
      </w:r>
      <w:r>
        <w:t xml:space="preserve"> der Faelle. Beim Entfernen genau dieses Symbols (AIOZ, 12 von 156) drehte der Erwartungswert auf -0,12.</w:t>
      </w:r>
    </w:p>
    <w:p>
      <w:pPr>
        <w:jc w:val="left"/>
      </w:pPr>
      <w:r>
        <w:t xml:space="preserve">Ursache: die </w:t>
      </w:r>
      <w:r>
        <w:rPr>
          <w:b/>
        </w:rPr>
        <w:t>fuenf groessten Gewinner trugen 32,0 von 39,7 der Gesamtsumme</w:t>
      </w:r>
      <w:r>
        <w:t xml:space="preserve"> - 81 % des Ergebnisses aus 3 % der Faelle. Anzahl-Konzentration und Beitrags-Konzentration sind zwei verschiedene Dinge; bei schiefen Verteilungen (Median ueberall bei -1,0, wenige grosse Gewinner) sagt die erste nichts ueber die zweite.</w:t>
      </w:r>
    </w:p>
    <w:p>
      <w:pPr>
        <w:jc w:val="left"/>
      </w:pPr>
      <w:r>
        <w:rPr>
          <w:b/>
        </w:rPr>
        <w:t>Verbindlich ergaenzt:</w:t>
      </w:r>
      <w:r>
        <w:t xml:space="preserve"> bei jeder Mittelwert-basierten Kennzahl zusaetzlich ausweisen, welchen Anteil die 3-5 groessten Einzelwerte an der Gesamtsumme haben, und den Mittelwert ohne sie erneut rechnen. Kippt das Vorzeichen, ist der Befund nicht belastbar - unabhaengig davon, wie gut die Anzahl-Verteilung aussieht.</w:t>
      </w:r>
    </w:p>
    <w:p>
      <w:pPr>
        <w:jc w:val="left"/>
      </w:pPr>
      <w:r>
        <w:rPr>
          <w:b/>
        </w:rPr>
        <w:t>Robusterer Ausweg:</w:t>
      </w:r>
      <w:r>
        <w:t xml:space="preserve"> wo moeglich auf </w:t>
      </w:r>
      <w:r>
        <w:rPr>
          <w:b/>
        </w:rPr>
        <w:t>Trefferquoten statt Mittelwerte</w:t>
      </w:r>
      <w:r>
        <w:t xml:space="preserve"> umstellen und gegen die mathematisch noetige Break-even-Quote </w:t>
      </w:r>
      <w:r>
        <w:rPr>
          <w:rFonts w:ascii="Consolas" w:hAnsi="Consolas"/>
          <w:color w:val="882222"/>
          <w:sz w:val="18"/>
        </w:rPr>
        <w:t>1/(1+CRV)</w:t>
      </w:r>
      <w:r>
        <w:t xml:space="preserve"> pruefen. Eine Trefferquote ist ein Zaehler und damit ausreisser-robust; ein einzelner Extremgewinn kann sie nicht verzerren. Genau dieser Wechsel hat am 02.08. den einzigen belastbaren Befund des Tages sichtbar gemacht, nachdem drei Mittelwert-Befunde gefallen waren.</w:t>
      </w:r>
    </w:p>
    <w:p>
      <w:pPr>
        <w:pStyle w:val="Heading3"/>
      </w:pPr>
      <w:r>
        <w:t>2.5.6 Externe Recherche VOR dem Bestaetigungsversuch, nicht danach (Nachtrag 02.08.)</w:t>
      </w:r>
    </w:p>
    <w:p>
      <w:pPr>
        <w:jc w:val="left"/>
      </w:pPr>
      <w:r>
        <w:t xml:space="preserve">Nutzer-Vorgabe nach einem Tag mit fuenf revidierten Befunden: wenn bei einem Muster Unsicherheit besteht, </w:t>
      </w:r>
      <w:r>
        <w:rPr>
          <w:b/>
        </w:rPr>
        <w:t>zuerst kurz extern recherchieren, ob es theoretisch ueberhaupt plausibel ist</w:t>
      </w:r>
      <w:r>
        <w:t xml:space="preserve"> - erst dann an den eigenen (duennen) Daten zu bestaetigen versuchen.</w:t>
      </w:r>
    </w:p>
    <w:p>
      <w:pPr>
        <w:jc w:val="left"/>
      </w:pPr>
      <w:r>
        <w:t>Zwei belegte Faelle vom selben Tag:</w:t>
      </w:r>
    </w:p>
    <w:p>
      <w:pPr>
        <w:pStyle w:val="ListBullet"/>
      </w:pPr>
      <w:r>
        <w:rPr>
          <w:b/>
        </w:rPr>
        <w:t>Zu spaet recherchiert:</w:t>
      </w:r>
      <w:r>
        <w:t xml:space="preserve"> die Break-even-Formel </w:t>
      </w:r>
      <w:r>
        <w:rPr>
          <w:rFonts w:ascii="Consolas" w:hAnsi="Consolas"/>
          <w:color w:val="882222"/>
          <w:sz w:val="18"/>
        </w:rPr>
        <w:t>1/(1+CRV)</w:t>
      </w:r>
      <w:r>
        <w:t xml:space="preserve"> kam erst, nachdem mehrere Mittelwert-Auswertungen bereits gefallen waren. Frueher angewandt haette sie mindestens einen Fehlschluss erspart, weil sie den robusteren Messansatz (Trefferquote statt Mittelwert) sofort nahegelegt haette.</w:t>
      </w:r>
    </w:p>
    <w:p>
      <w:pPr>
        <w:pStyle w:val="ListBullet"/>
      </w:pPr>
      <w:r>
        <w:rPr>
          <w:b/>
        </w:rPr>
        <w:t>Rechtzeitig recherchiert:</w:t>
      </w:r>
      <w:r>
        <w:t xml:space="preserve"> beim ADX-Befund ergab die Recherche, dass die ueblichen Schwellen (20/25/30) </w:t>
      </w:r>
      <w:r>
        <w:rPr>
          <w:b/>
        </w:rPr>
        <w:t>marktabhaengig und nicht absolut</w:t>
      </w:r>
      <w:r>
        <w:t xml:space="preserve"> sind. Sie stammen aus Forex/Aktien; fuer Krypto sind sie ungeprueft. Ohne diesen Hinweis waere die geplante Konfirmation mit denselben willkuerlich uebernommenen Grenzen gerechnet worden - und haette eine moeglicherweise falsch gesetzte Schnittstelle zweimal bestaetigt.</w:t>
      </w:r>
    </w:p>
    <w:p>
      <w:pPr>
        <w:jc w:val="left"/>
      </w:pPr>
      <w:r>
        <w:rPr>
          <w:b/>
        </w:rPr>
        <w:t>Konsequenz fuer uebernommene Standardwerte:</w:t>
      </w:r>
      <w:r>
        <w:t xml:space="preserve"> jede aus der Literatur uebernommene Schwelle ist zunaechst eine </w:t>
      </w:r>
      <w:r>
        <w:rPr>
          <w:b/>
        </w:rPr>
        <w:t>Hypothese</w:t>
      </w:r>
      <w:r>
        <w:t>, kein Parameter. Vor der Verwendung als Auswertungsgrenze auf Sensitivitaet pruefen (verschiebt man sie leicht, bleibt der Effekt?) - sonst misst man die Bucket-Wahl statt des Effekts.</w:t>
      </w:r>
    </w:p>
    <w:p>
      <w:pPr>
        <w:jc w:val="left"/>
      </w:pPr>
      <w:r>
        <w:rPr>
          <w:b/>
        </w:rPr>
        <w:t>Vorgelagerte Regel - erst im eigenen Code, dann extern:</w:t>
      </w:r>
      <w:r>
        <w:t xml:space="preserve"> die Break-even-Formel </w:t>
      </w:r>
      <w:r>
        <w:rPr>
          <w:rFonts w:ascii="Consolas" w:hAnsi="Consolas"/>
          <w:color w:val="882222"/>
          <w:sz w:val="18"/>
        </w:rPr>
        <w:t>1/(1+CRV)</w:t>
      </w:r>
      <w:r>
        <w:t xml:space="preserve"> wurde am 02.08. per Web-Recherche "gefunden", obwohl sie seit 2026-07-29 in </w:t>
      </w:r>
      <w:r>
        <w:rPr>
          <w:rFonts w:ascii="Consolas" w:hAnsi="Consolas"/>
          <w:color w:val="882222"/>
          <w:sz w:val="18"/>
        </w:rPr>
        <w:t>backward_tracking.py::compute_baseline_ vergleich()</w:t>
      </w:r>
      <w:r>
        <w:t xml:space="preserve"> implementiert und im Docstring erklaert war ("bei CRV_MINIMUM=2.0 liegt Break-even bei 33,3%"), inklusive exaktem Binomialtest. Vor jeder externen Recherche also zuerst die eigene Codebasis und die Basisinfos- Dokumente durchsuchen - sonst wird Vorhandenes teuer nachgebaut oder, schlimmer, in einer zweiten Variante dupliziert.</w:t>
      </w:r>
    </w:p>
    <w:p>
      <w:pPr>
        <w:jc w:val="left"/>
      </w:pPr>
      <w:r>
        <w:rPr>
          <w:b/>
        </w:rPr>
        <w:t>Quellen mitfuehren (Nutzer-Vorgabe 02.08.):</w:t>
      </w:r>
      <w:r>
        <w:t xml:space="preserve"> Rechercheergebnisse ohne Quellenangabe sind spaeter nicht nachpruefbar und nicht widerlegbar - die Recherche vom 29.07. steht in </w:t>
      </w:r>
      <w:r>
        <w:rPr>
          <w:rFonts w:ascii="Consolas" w:hAnsi="Consolas"/>
          <w:color w:val="882222"/>
          <w:sz w:val="18"/>
        </w:rPr>
        <w:t>reference_externe_recherche_konfidenz_crv_risikofaktoren_29_07</w:t>
      </w:r>
      <w:r>
        <w:t xml:space="preserve"> (Memory) ohne eine einzige URL und ist damit nur noch "haben wir mal gelesen". Deshalb ab sofort: jede externe Quelle, auf die sich eine Entscheidung stuetzt, mit Link und Zugriffsdatum festhalten - hier im Dokument, wenn sie eine Regel begruendet, sonst in der zugehoerigen Memory.</w:t>
      </w:r>
    </w:p>
    <w:p>
      <w:pPr>
        <w:jc w:val="left"/>
      </w:pPr>
      <w:r>
        <w:t>Quellen der Recherchen vom 02.08.:</w:t>
      </w:r>
    </w:p>
    <w:p>
      <w:pPr>
        <w:pStyle w:val="ListBullet"/>
      </w:pPr>
      <w:r>
        <w:t>Break-even-Trefferquote je Chance-Risiko-Verhaeltnis (</w:t>
      </w:r>
      <w:r>
        <w:rPr>
          <w:rFonts w:ascii="Consolas" w:hAnsi="Consolas"/>
          <w:color w:val="882222"/>
          <w:sz w:val="18"/>
        </w:rPr>
        <w:t>1/(1+CRV)</w:t>
      </w:r>
      <w:r>
        <w:t>; bei CRV 2,0 = 33,3%), Zusammenhang Trefferquote/CRV und Expectancy-Formel:</w:t>
      </w:r>
    </w:p>
    <w:p>
      <w:pPr>
        <w:pStyle w:val="ListBullet2"/>
      </w:pPr>
      <w:r>
        <w:t>https://traderssecondbrain.com/guides/win-rate-vs-risk-reward</w:t>
      </w:r>
    </w:p>
    <w:p>
      <w:pPr>
        <w:pStyle w:val="ListBullet2"/>
      </w:pPr>
      <w:r>
        <w:t>https://www.luxalgo.com/blog/win-rate-and-riskreward-connection-explained/</w:t>
      </w:r>
    </w:p>
    <w:p>
      <w:pPr>
        <w:pStyle w:val="ListBullet2"/>
      </w:pPr>
      <w:r>
        <w:t>https://fxnx.com/en/blog/the-1-2-risk-reward-rule-why-it-s-the-minimum-for-forex</w:t>
      </w:r>
    </w:p>
    <w:p>
      <w:pPr>
        <w:pStyle w:val="ListBullet"/>
      </w:pPr>
      <w:r>
        <w:t xml:space="preserve">ADX-Schwellen (20/25/30) als Trendstaerke-Indikator, Einstiegs-Timing sowie die hier entscheidende Warnung, dass diese Schwellen </w:t>
      </w:r>
      <w:r>
        <w:rPr>
          <w:b/>
        </w:rPr>
        <w:t>marktabhaengig und nicht absolut</w:t>
      </w:r>
      <w:r>
        <w:t xml:space="preserve"> sind und ADX durch Doppelglaettung traege ist und nahe der Schwelle flackert:</w:t>
      </w:r>
    </w:p>
    <w:p>
      <w:pPr>
        <w:pStyle w:val="ListBullet2"/>
      </w:pPr>
      <w:r>
        <w:t>https://blog.traderspost.io/article/adx-indicator-trading-systems</w:t>
      </w:r>
    </w:p>
    <w:p>
      <w:pPr>
        <w:pStyle w:val="ListBullet2"/>
      </w:pPr>
      <w:r>
        <w:t>https://fxnx.com/en/blog/adx-indicator-strategy-the-gatekeeper-to-profitable-trends</w:t>
      </w:r>
    </w:p>
    <w:p>
      <w:pPr>
        <w:pStyle w:val="ListBullet2"/>
      </w:pPr>
      <w:r>
        <w:t>https://capital.com/en-int/learn/technical-analysis/average-directional-index</w:t>
      </w:r>
    </w:p>
    <w:p>
      <w:pPr>
        <w:jc w:val="left"/>
      </w:pPr>
      <w:r>
        <w:t xml:space="preserve">Einordnung der Quellenguete: es handelt sich um Trading-Fachportale, nicht um begutachtete Literatur. Fuer mathematische Identitaeten (Break-even-Formel) unkritisch - die ist herleitbar und wurde hier auch unabhaengig nachgerechnet. Fuer die ADX-Aussagen dienten sie als </w:t>
      </w:r>
      <w:r>
        <w:rPr>
          <w:b/>
        </w:rPr>
        <w:t>Plausibilitaets- und Warnhinweis</w:t>
      </w:r>
      <w:r>
        <w:t>, nicht als Beleg; der Beleg kam aus den eigenen Daten (Sensitivitaetspruefung plus Replikation an einem zweiten Datensatz).</w:t>
      </w:r>
    </w:p>
    <w:p>
      <w:pPr>
        <w:pStyle w:val="Heading3"/>
      </w:pPr>
      <w:r>
        <w:t>2.6 Mehrebenen-Erfolgsmessung: striktes Outcome vs. MFE/Mindestziel (Nachtrag 30.07.)</w:t>
      </w:r>
    </w:p>
    <w:p>
      <w:pPr>
        <w:jc w:val="left"/>
      </w:pPr>
      <w:r>
        <w:t xml:space="preserve">Auslöser: Nutzer-Frage, ob und wie Erfolgsquoten auf mehreren Ebenen geprüft werden - neben dem strikten </w:t>
      </w:r>
      <w:r>
        <w:rPr>
          <w:rFonts w:ascii="Consolas" w:hAnsi="Consolas"/>
          <w:color w:val="882222"/>
          <w:sz w:val="18"/>
        </w:rPr>
        <w:t>outcome_status</w:t>
      </w:r>
      <w:r>
        <w:t xml:space="preserve"> (TP/SL/Liquidation/abgelaufen) tracken wir bereits zwei weichere Zwischenebenen (</w:t>
      </w:r>
      <w:r>
        <w:rPr>
          <w:rFonts w:ascii="Consolas" w:hAnsi="Consolas"/>
          <w:color w:val="882222"/>
          <w:sz w:val="18"/>
        </w:rPr>
        <w:t>outcome_max_realisiertes_ crv</w:t>
      </w:r>
      <w:r>
        <w:t xml:space="preserve">/MFE, </w:t>
      </w:r>
      <w:r>
        <w:rPr>
          <w:rFonts w:ascii="Consolas" w:hAnsi="Consolas"/>
          <w:color w:val="882222"/>
          <w:sz w:val="18"/>
        </w:rPr>
        <w:t>outcome_mindestziel_erreicht_am</w:t>
      </w:r>
      <w:r>
        <w:t>), die bisher nie systematisch gegen den strikten Outcome verschnitten wurden.</w:t>
      </w:r>
    </w:p>
    <w:p>
      <w:pPr>
        <w:jc w:val="left"/>
      </w:pPr>
      <w:r>
        <w:rPr>
          <w:b/>
        </w:rPr>
        <w:t>Kernidee:</w:t>
      </w:r>
      <w:r>
        <w:t xml:space="preserve"> eine reine Win/Loss-Quote vermischt zwei grundverschiedene Fehlerbilder - "Richtung war komplett falsch" und "Richtung war zwischenzeitlich richtig, aber zu eng gestoppt/schlechte Positionsführung". Diese zwei Fälle brauchen unterschiedliche Fixes (Prompt-/Fakten-Korrektur vs. Stop-Platzierung) und sollten nie in einer einzigen Kennzahl verschwinden.</w:t>
      </w:r>
    </w:p>
    <w:p>
      <w:pPr>
        <w:jc w:val="left"/>
      </w:pPr>
      <w:r>
        <w:rPr>
          <w:b/>
        </w:rPr>
        <w:t>Konkrete Prüfung (`compute_sl_mfe_analyse()`, `agent/krypto/ backward_tracking.py`):</w:t>
      </w:r>
      <w:r>
        <w:t xml:space="preserve"> von allen Signalen mit </w:t>
      </w:r>
      <w:r>
        <w:rPr>
          <w:rFonts w:ascii="Consolas" w:hAnsi="Consolas"/>
          <w:color w:val="882222"/>
          <w:sz w:val="18"/>
        </w:rPr>
        <w:t>outcome_status == stop_loss_erreicht</w:t>
      </w:r>
      <w:r>
        <w:t>, welcher Anteil zeigt trotzdem einen positiven MFE-Wert (der Kurs lief zwischenzeitlich profitabel, bevor er zurückdrehte)? Ein erster Blick auf echte Daten (30.07., Hebel, n=23 mit MFE-Daten von 57 SL-Fällen) zeigte 87% mit positivem MFE, 9 davon erreichten sogar das Mindestziel vor dem Stop - bestätigt aus einem neuen Blickwinkel den bereits behobenen Enge-Stop-Loss-Befund vom 28.07. (siehe [[project_enge_stop_loss_backtest_und_massnahmen]]), OHNE dass neue Daten gesammelt werden mussten - reine Verschneidung bereits vorhandener Felder.</w:t>
      </w:r>
    </w:p>
    <w:p>
      <w:pPr>
        <w:jc w:val="left"/>
      </w:pPr>
      <w:r>
        <w:rPr>
          <w:b/>
        </w:rPr>
        <w:t>Wichtig, gleiche Einschränkung wie überall in diesem Dokument:</w:t>
      </w:r>
      <w:r>
        <w:t xml:space="preserve"> diese weichere Ebene hat NICHT automatisch mehr Fälle als die strikte (im konkreten Fall eher weniger: 22-36 vs. 71 Hebel-Signale insgesamt) - der Wert liegt nicht in der Stichprobengröße, sondern in der zusätzlichen Trennschärfe. Symbol-Konzentrations-Check (2.5) gilt hier genauso - </w:t>
      </w:r>
      <w:r>
        <w:rPr>
          <w:rFonts w:ascii="Consolas" w:hAnsi="Consolas"/>
          <w:color w:val="882222"/>
          <w:sz w:val="18"/>
        </w:rPr>
        <w:t>compute_sl_mfe_analyse()</w:t>
      </w:r>
      <w:r>
        <w:t xml:space="preserve"> weist </w:t>
      </w:r>
      <w:r>
        <w:rPr>
          <w:rFonts w:ascii="Consolas" w:hAnsi="Consolas"/>
          <w:color w:val="882222"/>
          <w:sz w:val="18"/>
        </w:rPr>
        <w:t>anzahl_distinkte_symbole_bei_positivem_ mfe</w:t>
      </w:r>
      <w:r>
        <w:t>/</w:t>
      </w:r>
      <w:r>
        <w:rPr>
          <w:rFonts w:ascii="Consolas" w:hAnsi="Consolas"/>
          <w:color w:val="882222"/>
          <w:sz w:val="18"/>
        </w:rPr>
        <w:t>haeufigstes_symbol_anteil_pct</w:t>
      </w:r>
      <w:r>
        <w:t xml:space="preserve"> deshalb immer mit aus.</w:t>
      </w:r>
    </w:p>
    <w:p>
      <w:pPr>
        <w:jc w:val="left"/>
      </w:pPr>
      <w:r>
        <w:rPr>
          <w:b/>
        </w:rPr>
        <w:t>Allgemeine Lehre:</w:t>
      </w:r>
      <w:r>
        <w:t xml:space="preserve"> bei jeder neuen Kalibrierungsfrage aktiv prüfen, ob bereits vorhandene "weichere" Felder (MFE, Mindestziel, Richtungstreffer) eine zusätzliche Ebene liefern koennten, BEVOR neue Datenerhebung als einzige Option angenommen wird - oft steckt die zusätzliche Trennschärfe schon in Feldern, die nur noch nie in dieser Kombination ausgewertet wurden.</w:t>
      </w:r>
    </w:p>
    <w:p>
      <w:pPr>
        <w:pStyle w:val="Heading3"/>
      </w:pPr>
      <w:r>
        <w:t>2.7 Plausibilitätsprüfung bei scheinbar eingefrorenen Kennzahlen (Nachtrag 30.07.)</w:t>
      </w:r>
    </w:p>
    <w:p>
      <w:pPr>
        <w:jc w:val="left"/>
      </w:pPr>
      <w:r>
        <w:t xml:space="preserve">Auslöser: die ATR-/Volatilitäts-Perzentil-Kennzahl (Baustein 2 der Krypto-Relativwert-Bausteine) zeigte bei BTC/ETH/LINK/TAO/VIRTUAL/HYPE/INJ über 5 Beobachtungstage einen konstanten bzw. fast konstanten Wert (BTC durchgehend 0) - auf den ersten Blick ein Verdacht auf eingefrorene/veraltete Eingabedaten. Eine erste Prüfung bestätigte tatsächlich veraltete </w:t>
      </w:r>
      <w:r>
        <w:rPr>
          <w:rFonts w:ascii="Consolas" w:hAnsi="Consolas"/>
          <w:color w:val="882222"/>
          <w:sz w:val="18"/>
        </w:rPr>
        <w:t>price_history_ohlc</w:t>
      </w:r>
      <w:r>
        <w:t xml:space="preserve">-Daten - aber nur auf der DESKTOP-Kopie, nicht auf dem eigentlichen Notebook-Produktivsystem (siehe </w:t>
      </w:r>
      <w:r>
        <w:rPr>
          <w:rFonts w:ascii="Consolas" w:hAnsi="Consolas"/>
          <w:color w:val="882222"/>
          <w:sz w:val="18"/>
        </w:rPr>
        <w:t>_ohlc_aktualitaet_je_symbol()</w:t>
      </w:r>
      <w:r>
        <w:t>, Abschnitt 2.1a). Die Kennzahl selbst blieb aber auch mit nachweislich frischen Notebook-Daten unverändert - der ursprüngliche Verdacht war damit nicht erledigt, nur die naheliegendste Erklärung widerlegt.</w:t>
      </w:r>
    </w:p>
    <w:p>
      <w:pPr>
        <w:jc w:val="left"/>
      </w:pPr>
      <w:r>
        <w:rPr>
          <w:b/>
        </w:rPr>
        <w:t>Der entscheidende Schritt: ein Kontrollgruppen-Vergleich, keine Einzelwert- Betrachtung.</w:t>
      </w:r>
      <w:r>
        <w:t xml:space="preserve"> Andere Symbole (KAIA, KAITO, NEAR, ONDO) im selben Export, mit derselben Berechnungslogik, zeigten im selben Zeitraum deutliche Bewegung. Diese Symbole waren unabhängig bereits als Teil einer Altcoin-Rally dokumentiert (siehe [[project_r510_konfidenz_veto_analyse_29_07]]) - die Bewegung korreliert also mit einem bekannten, unabhängig bestätigten Marktereignis. Die "eingefrorenen" Symbole (BTC/ETH/Majors) hatten im selben Fenster schlicht kein vergleichbares Volatilitätsereignis - bei einer langsam geglätteten Kennzahl (hier: Wilder-ATR) ist ein über Tage konstanter Perzentilrang bei ruhigem Markt der ERWARTBARE Fall, kein Bug.</w:t>
      </w:r>
    </w:p>
    <w:p>
      <w:pPr>
        <w:jc w:val="left"/>
      </w:pPr>
      <w:r>
        <w:rPr>
          <w:b/>
        </w:rPr>
        <w:t>Verbindliches Vorgehen, bevor eine über mehrere Tage konstante/kaum wechselnde Kennzahl als Fehler eingestuft wird:</w:t>
      </w:r>
    </w:p>
    <w:p>
      <w:pPr>
        <w:pStyle w:val="ListNumber"/>
      </w:pPr>
      <w:r>
        <w:t>Datenaktualität an der Quelle prüfen (siehe 2.1a) - aber NICHT bei einer Desktop-Kopie stehenbleiben, wenn die eigentliche Produktionsumgebung (Notebook) unabhängig prüfbar ist.</w:t>
      </w:r>
    </w:p>
    <w:p>
      <w:pPr>
        <w:pStyle w:val="ListNumber"/>
      </w:pPr>
      <w:r>
        <w:t>Kontrollgruppe bilden: zeigen andere Symbole/Fälle mit derselben Berechnungslogik im selben Zeitraum Bewegung? Wenn ja, ist die Berechnungslogik selbst funktionsfähig - die Frage verschiebt sich von "ist die Funktion kaputt" zu "warum bewegt sich DIESES Symbol nicht".</w:t>
      </w:r>
    </w:p>
    <w:p>
      <w:pPr>
        <w:pStyle w:val="ListNumber"/>
      </w:pPr>
      <w:r>
        <w:t>Prüfen, ob die bewegungslosen bzw. bewegten Fälle mit einem unabhängig bekannten Markt-/Datenereignis erklärbar sind (hier: die Altcoin-Rally- Gruppe aus einer anderen Analyse). Eine Erklärung, die bereits aus einem anderen, unabhängigen Fund stammt, ist deutlich belastbarer als eine neu erfundene Ad-hoc-Begründung.</w:t>
      </w:r>
    </w:p>
    <w:p>
      <w:pPr>
        <w:pStyle w:val="ListNumber"/>
      </w:pPr>
      <w:r>
        <w:t>Erst wenn weder Datenaktualität noch ein Kontrollgruppen-Unterschied noch ein bekanntes Marktereignis eine Erklärung liefern, gilt der Verdacht auf einen echten Bug als bestätigt.</w:t>
      </w:r>
    </w:p>
    <w:p>
      <w:pPr>
        <w:jc w:val="left"/>
      </w:pPr>
      <w:r>
        <w:rPr>
          <w:b/>
        </w:rPr>
        <w:t>Allgemeine Lehre:</w:t>
      </w:r>
      <w:r>
        <w:t xml:space="preserve"> ein konstanter Wert ist nicht automatisch ein Fehlersignal - bei langsam geglätteten Kennzahlen (Wilder-Glättung, gleitende Durchschnitte, Perzentilränge über lange Historien) ist Konstanz bei fehlendem zugrundeliegendem Ereignis der Normalfall. Der Fehlerverdacht entsteht oft erst durch fehlenden Kontrollgruppen-Vergleich.</w:t>
      </w:r>
    </w:p>
    <w:p>
      <w:pPr>
        <w:pStyle w:val="Heading3"/>
      </w:pPr>
      <w:r>
        <w:t>2.8 Methodik-Vorlage: rechnerische Herleitung einer neuen Schwelle statt Schätzung (Nachtrag 30.07., Marktscan-CRV=0,8)</w:t>
      </w:r>
    </w:p>
    <w:p>
      <w:pPr>
        <w:jc w:val="left"/>
      </w:pPr>
      <w:r>
        <w:t xml:space="preserve">Auslöser: für die Marktscan-Erfolgsmessung wurde ein neuer, eigenständiger CRV-Schwellenwert gebraucht (getrennt von </w:t>
      </w:r>
      <w:r>
        <w:rPr>
          <w:rFonts w:ascii="Consolas" w:hAnsi="Consolas"/>
          <w:color w:val="882222"/>
          <w:sz w:val="18"/>
        </w:rPr>
        <w:t>backward_tracking. richtungstreffer_mindest_crv=1,0</w:t>
      </w:r>
      <w:r>
        <w:t>, da Marktscan-Kandidaten ein anderes Volatilitätsprofil haben als Watchlist-Assets). Statt eine Zahl zu schätzen oder den bestehenden Wert unreflektiert zu übernehmen, wurde die Schwelle rechnerisch aus echten Daten hergeleitet - als wiederverwendbare Vorlage für künftige Schwellen-Kalibrierungen hier festgehalten:</w:t>
      </w:r>
    </w:p>
    <w:p>
      <w:pPr>
        <w:pStyle w:val="ListNumber"/>
      </w:pPr>
      <w:r>
        <w:rPr>
          <w:b/>
        </w:rPr>
        <w:t>Referenzgröße bestimmen</w:t>
      </w:r>
      <w:r>
        <w:t>: Ø absolute Tagesbewegung der betroffenen Grundgesamtheit berechnen (hier: 13,9% für Marktscan-Kandidaten, deutlich höher als bei etablierten Watchlist-Assets - die Volatilitätsprofile unterscheiden sich, ein pauschal übernommener Wert wäre nicht passend gewesen).</w:t>
      </w:r>
    </w:p>
    <w:p>
      <w:pPr>
        <w:pStyle w:val="ListNumber"/>
      </w:pPr>
      <w:r>
        <w:rPr>
          <w:b/>
        </w:rPr>
        <w:t>Forward-Return-Verteilung ermitteln</w:t>
      </w:r>
      <w:r>
        <w:t>: an mehreren Zeit-Horizonten prüfen (hier 12-24h UND 3 Tage), an welchem Perzentil (P70-P75) sich ein sinnvoller Ziel-Move ablesen lässt. Wenn die Verteilungen an verschiedenen Horizonten nahezu identisch sind (hier: P70 +9,1% vs. +7,5%), reicht EIN Schwellenwert für mehrere Anwendungsfälle (schnelle UND mehrtägige Erfolge) - keine Notwendigkeit, zwei getrennte Regeln zu bauen.</w:t>
      </w:r>
    </w:p>
    <w:p>
      <w:pPr>
        <w:pStyle w:val="ListNumber"/>
      </w:pPr>
      <w:r>
        <w:rPr>
          <w:b/>
        </w:rPr>
        <w:t>CRV-Äquivalent berechnen</w:t>
      </w:r>
      <w:r>
        <w:t>: Ziel-Move ÷ Referenzgröße aus Schritt 1 ergibt eine Bandbreite (hier 0,65-0,94 aus P70-P75), Empfehlung = Mitte der Bandbreite (hier 0,8).</w:t>
      </w:r>
    </w:p>
    <w:p>
      <w:pPr>
        <w:pStyle w:val="ListNumber"/>
      </w:pPr>
      <w:r>
        <w:rPr>
          <w:b/>
        </w:rPr>
        <w:t>Nutzer-Bestätigung einholen</w:t>
      </w:r>
      <w:r>
        <w:t>, bevor der Wert operationalisiert wird - eine rechnerisch hergeleitete Zahl ersetzt nicht die fachliche Freigabe, sie macht sie nur informierter.</w:t>
      </w:r>
    </w:p>
    <w:p>
      <w:pPr>
        <w:jc w:val="left"/>
      </w:pPr>
      <w:r>
        <w:rPr>
          <w:b/>
        </w:rPr>
        <w:t>Allgemeine Lehre:</w:t>
      </w:r>
      <w:r>
        <w:t xml:space="preserve"> wann immer ein neuer Schwellenwert für eine andere Grundgesamtheit als eine bereits bestehende Regel gebraucht wird (anderes Volatilitätsprofil, andere Zeithorizonte, andere Assetklasse), lohnt sich dieselbe 4-Schritte-Herleitung, statt einen bestehenden Wert unreflektiert zu kopieren ODER eine neue Zahl zu schätzen. Dieselbe Methodik gilt spiegelbildlich auch für zeitbasierte Schwellen (siehe die parallel hergeleiteten Werte </w:t>
      </w:r>
      <w:r>
        <w:rPr>
          <w:rFonts w:ascii="Consolas" w:hAnsi="Consolas"/>
          <w:color w:val="882222"/>
          <w:sz w:val="18"/>
        </w:rPr>
        <w:t>watchlist_heiss_fenster_stunden=48</w:t>
      </w:r>
      <w:r>
        <w:t xml:space="preserve"> und </w:t>
      </w:r>
      <w:r>
        <w:rPr>
          <w:rFonts w:ascii="Consolas" w:hAnsi="Consolas"/>
          <w:color w:val="882222"/>
          <w:sz w:val="18"/>
        </w:rPr>
        <w:t>schnellerfolg_anteil_max=0,5</w:t>
      </w:r>
      <w:r>
        <w:t xml:space="preserve"> im selben Marktscan-Nachtrag - beide aus beobachteten Verteilungen abgeleitet, nicht geschätzt).</w:t>
      </w:r>
    </w:p>
    <w:p>
      <w:pPr>
        <w:pStyle w:val="Heading3"/>
      </w:pPr>
      <w:r>
        <w:t>2.9 Fazit-Selbsteinschätzung (`eigene_einschaetzung.folgen`) — offener Kalibrierungs-Beobachtungspunkt (Nachtrag 01.08.)</w:t>
      </w:r>
    </w:p>
    <w:p>
      <w:pPr>
        <w:jc w:val="left"/>
      </w:pPr>
      <w:r>
        <w:t xml:space="preserve">Auslöser: Nutzer-Beobachtung, noch nie ein Signal gesehen zu haben, bei dem Mistral im </w:t>
      </w:r>
      <w:r>
        <w:rPr>
          <w:rFonts w:ascii="Consolas" w:hAnsi="Consolas"/>
          <w:color w:val="882222"/>
          <w:sz w:val="18"/>
        </w:rPr>
        <w:t>eigene_einschaetzung.kurzfazit</w:t>
      </w:r>
      <w:r>
        <w:t>/</w:t>
      </w:r>
      <w:r>
        <w:rPr>
          <w:rFonts w:ascii="Consolas" w:hAnsi="Consolas"/>
          <w:color w:val="882222"/>
          <w:sz w:val="18"/>
        </w:rPr>
        <w:t>folgen</w:t>
      </w:r>
      <w:r>
        <w:t xml:space="preserve"> der eigenen Empfehlung mit "ja" zustimmt (siehe BEAMX-Signal, </w:t>
      </w:r>
      <w:r>
        <w:rPr>
          <w:rFonts w:ascii="Consolas" w:hAnsi="Consolas"/>
          <w:color w:val="882222"/>
          <w:sz w:val="18"/>
        </w:rPr>
        <w:t>fazit_folgen="mit_vorbehalt"</w:t>
      </w:r>
      <w:r>
        <w:t>, dazu Z.ai mit abweichender eigener Richtungseinschätzung SHORT).</w:t>
      </w:r>
    </w:p>
    <w:p>
      <w:pPr>
        <w:jc w:val="left"/>
      </w:pPr>
      <w:r>
        <w:rPr>
          <w:b/>
        </w:rPr>
        <w:t>Befund (kompletter Notebook-Export, seit Einführung des Features 25.07.):</w:t>
      </w:r>
    </w:p>
    <w:p>
      <w:pPr>
        <w:pStyle w:val="ListBullet"/>
      </w:pPr>
      <w:r>
        <w:t xml:space="preserve">Hebel: </w:t>
      </w:r>
      <w:r>
        <w:rPr>
          <w:b/>
        </w:rPr>
        <w:t>0 von 572</w:t>
      </w:r>
      <w:r>
        <w:t xml:space="preserve"> Signalen mit </w:t>
      </w:r>
      <w:r>
        <w:rPr>
          <w:rFonts w:ascii="Consolas" w:hAnsi="Consolas"/>
          <w:color w:val="882222"/>
          <w:sz w:val="18"/>
        </w:rPr>
        <w:t>fazit_folgen="ja"</w:t>
      </w:r>
      <w:r>
        <w:t xml:space="preserve"> - in der gesamten Historie noch nie. 508 "mit_vorbehalt" (88,8%), 64 "nein" (11,2%).</w:t>
      </w:r>
    </w:p>
    <w:p>
      <w:pPr>
        <w:pStyle w:val="ListBullet"/>
      </w:pPr>
      <w:r>
        <w:t>Spot: nur 34 von 761 (4,5%) "ja", Rest "mit_vorbehalt" (95,5%). Nie "nein".</w:t>
      </w:r>
    </w:p>
    <w:p>
      <w:pPr>
        <w:pStyle w:val="ListBullet"/>
      </w:pPr>
      <w:r>
        <w:t>Gilt für Mistral UND Gemini gleichermaßen (Gemini-Hebel: 8 von 9 ebenfalls "mit_vorbehalt") - kein reiner Mistral-Artefakt.</w:t>
      </w:r>
    </w:p>
    <w:p>
      <w:pPr>
        <w:pStyle w:val="ListBullet"/>
      </w:pPr>
      <w:r>
        <w:t xml:space="preserve">Widerspricht direkt Regel 26/32 in </w:t>
      </w:r>
      <w:r>
        <w:rPr>
          <w:rFonts w:ascii="Consolas" w:hAnsi="Consolas"/>
          <w:color w:val="882222"/>
          <w:sz w:val="18"/>
        </w:rPr>
        <w:t>hebel_analyst.py</w:t>
      </w:r>
      <w:r>
        <w:t>/</w:t>
      </w:r>
      <w:r>
        <w:rPr>
          <w:rFonts w:ascii="Consolas" w:hAnsi="Consolas"/>
          <w:color w:val="882222"/>
          <w:sz w:val="18"/>
        </w:rPr>
        <w:t>analyst.py</w:t>
      </w:r>
      <w:r>
        <w:t xml:space="preserve"> ("'mit vorbehalt' ist... KEIN bequemer Standardfall... 'ja' und 'nein' sind gleichwertige, vollständige Antworten").</w:t>
      </w:r>
    </w:p>
    <w:p>
      <w:pPr>
        <w:jc w:val="left"/>
      </w:pPr>
      <w:r>
        <w:rPr>
          <w:b/>
        </w:rPr>
        <w:t>Kreuztabelle `original_action` × `fazit_folgen` klärt das Muster auf:</w:t>
      </w:r>
      <w:r>
        <w:t xml:space="preserve"> für eine ECHTE Trade-Empfehlung (ERÖFFNEN/KAUFEN) ist es praktisch IMMER "mit_vorbehalt" (Hebel: 220/220 = 100%, Spot: 22/24 = 92%) - "ja"/"nein" treten fast ausschließlich bei HALTEN-Entscheidungen auf. Nicht durch Z.ai-Widerspruch erklärbar: selbst wenn Z.ai der Richtung zustimmt (</w:t>
      </w:r>
      <w:r>
        <w:rPr>
          <w:rFonts w:ascii="Consolas" w:hAnsi="Consolas"/>
          <w:color w:val="882222"/>
          <w:sz w:val="18"/>
        </w:rPr>
        <w:t>zai_uebereinstimmung="ja"</w:t>
      </w:r>
      <w:r>
        <w:t>), bleibt das Hebel-Fazit in 122 von 123 Fällen trotzdem "mit_vorbehalt" - die Hedging-Tendenz ist vom Ergebnis der eigenen Gegenprüfung unabhängig.</w:t>
      </w:r>
    </w:p>
    <w:p>
      <w:pPr>
        <w:jc w:val="left"/>
      </w:pPr>
      <w:r>
        <w:rPr>
          <w:b/>
        </w:rPr>
        <w:t>Backtest-Versuch (01.08.) - aktuell NICHT durchführbar:</w:t>
      </w:r>
      <w:r>
        <w:t xml:space="preserve"> von allen 71 "ja"/"nein"-Fällen (64 Hebel-nein + 34 Spot-ja, teils mit Aktions-Überlappung) hat </w:t>
      </w:r>
      <w:r>
        <w:rPr>
          <w:b/>
        </w:rPr>
        <w:t>keiner</w:t>
      </w:r>
      <w:r>
        <w:t xml:space="preserve"> einen aufgelösten </w:t>
      </w:r>
      <w:r>
        <w:rPr>
          <w:rFonts w:ascii="Consolas" w:hAnsi="Consolas"/>
          <w:color w:val="882222"/>
          <w:sz w:val="18"/>
        </w:rPr>
        <w:t>selbst_halten_outcome_status</w:t>
      </w:r>
      <w:r>
        <w:t xml:space="preserve"> (siehe Regel 28, </w:t>
      </w:r>
      <w:r>
        <w:rPr>
          <w:rFonts w:ascii="Consolas" w:hAnsi="Consolas"/>
          <w:color w:val="882222"/>
          <w:sz w:val="18"/>
        </w:rPr>
        <w:t>ist_reines_llm_halten</w:t>
      </w:r>
      <w:r>
        <w:t xml:space="preserve">) - alle </w:t>
      </w:r>
      <w:r>
        <w:rPr>
          <w:rFonts w:ascii="Consolas" w:hAnsi="Consolas"/>
          <w:color w:val="882222"/>
          <w:sz w:val="18"/>
        </w:rPr>
        <w:t>None</w:t>
      </w:r>
      <w:r>
        <w:t xml:space="preserve"> oder </w:t>
      </w:r>
      <w:r>
        <w:rPr>
          <w:rFonts w:ascii="Consolas" w:hAnsi="Consolas"/>
          <w:color w:val="882222"/>
          <w:sz w:val="18"/>
        </w:rPr>
        <w:t>nicht_anwendbar</w:t>
      </w:r>
      <w:r>
        <w:t xml:space="preserve"> (Zonen fehlten oder das Feature ist erst seit 31.07. aktiv). Die paar echten KAUFEN/VERKAUFEN-"ja"-Fälle bei Spot (n=2+2) sind zusätzlich zu wenige und ebenfalls ohne aufgelösten </w:t>
      </w:r>
      <w:r>
        <w:rPr>
          <w:rFonts w:ascii="Consolas" w:hAnsi="Consolas"/>
          <w:color w:val="882222"/>
          <w:sz w:val="18"/>
        </w:rPr>
        <w:t>outcome_status</w:t>
      </w:r>
      <w:r>
        <w:t>. Ein Vergleich "war das Hedging gerechtfertigt" (CRV/Win-Rate "ja" vs. "mit_vorbehalt") ist damit strukturell unmöglich, solange keine "ja"/"nein"-Fälle aufgelöst sind.</w:t>
      </w:r>
    </w:p>
    <w:p>
      <w:pPr>
        <w:jc w:val="left"/>
      </w:pPr>
      <w:r>
        <w:rPr>
          <w:b/>
        </w:rPr>
        <w:t>Bewusst NICHT sofort gefixt:</w:t>
      </w:r>
      <w:r>
        <w:t xml:space="preserve"> eine Prompt-Nachschärfung würde das gleiche Risiko bergen wie beim Action-Bias-Fund (Regel 27, siehe Regelwerksmanual- Nachtrag "Regelwerk-Audit Stufe 3, Punkt 4") - ein zu forscher Zwang zur einen Seite kann den gegenteiligen Bias erzeugen. Erst beobachten, dann ggf. gezielt nachschärfen.</w:t>
      </w:r>
    </w:p>
    <w:p>
      <w:pPr>
        <w:jc w:val="left"/>
      </w:pPr>
      <w:r>
        <w:rPr>
          <w:b/>
        </w:rPr>
        <w:t>Wiedervorlage (kein festes Datum, siehe 2.2a "Mehrtägige Beobachtung"):</w:t>
      </w:r>
      <w:r>
        <w:t xml:space="preserve"> sobald </w:t>
      </w:r>
      <w:r>
        <w:rPr>
          <w:rFonts w:ascii="Consolas" w:hAnsi="Consolas"/>
          <w:color w:val="882222"/>
          <w:sz w:val="18"/>
        </w:rPr>
        <w:t>selbst_halten_outcome_status</w:t>
      </w:r>
      <w:r>
        <w:t xml:space="preserve"> erste aufgelöste Fälle zeigt (die Selbst-Halten-Schatten-Verfolgung braucht Wochen, um genug Fälle zu sammeln), den Backtest "Fazit-Kategorie vs. tatsächliches Outcome" wiederholen - dabei Symbol-Konzentrations-Check (2.5) UND Mindestschwelle n≥50 (2.5) beachten, da die Stichprobe bei "ja"/"nein" absehbar klein bleiben wird.</w:t>
      </w:r>
    </w:p>
    <w:p>
      <w:pPr>
        <w:pStyle w:val="Heading3"/>
      </w:pPr>
      <w:r>
        <w:t>2.10 Z.ai-"Gegenprüfung wäre richtiger"-These — geprüft und über LONG/SHORT-Symmetrietest WIDERLEGT (Nachtrag 01.08.)</w:t>
      </w:r>
    </w:p>
    <w:p>
      <w:pPr>
        <w:jc w:val="left"/>
      </w:pPr>
      <w:r>
        <w:t xml:space="preserve">Auslöser: Anschlussfrage an 2.9 - Mistrals LONG-Empfehlungen performen schlecht (18,6% Trefferquote, n=59 aufgelöst) UND Z.ai widerspricht ihnen in 88% der Fälle mit klarer Richtung (n=8 von 17 mit Z.ai-Wert). Erste Interpretation: Z.ai als informelles Meta-Label/Gegen-Check nutzen. </w:t>
      </w:r>
      <w:r>
        <w:rPr>
          <w:b/>
        </w:rPr>
        <w:t>Vom Nutzer explizit hinterfragt ("nicht bei halber Strecke halt machen") - Symmetrietest gefordert:</w:t>
      </w:r>
      <w:r>
        <w:t xml:space="preserve"> wie performen Mistrals SHORT-Empfehlungen, und folgt Z.ai dort ebenfalls konsequent der jeweils anderen Seite?</w:t>
      </w:r>
    </w:p>
    <w:p>
      <w:pPr>
        <w:jc w:val="left"/>
      </w:pPr>
      <w:r>
        <w:rPr>
          <w:b/>
        </w:rPr>
        <w:t>Ergebnis, WIDERLEGT die Gegenprüfungs-These: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Richtung</w:t>
            </w:r>
          </w:p>
        </w:tc>
        <w:tc>
          <w:tcPr>
            <w:tcW w:type="dxa" w:w="2880"/>
          </w:tcPr>
          <w:p>
            <w:r>
              <w:rPr>
                <w:b/>
              </w:rPr>
            </w:r>
            <w:r>
              <w:rPr>
                <w:b/>
              </w:rPr>
              <w:t>n aufgelöst</w:t>
            </w:r>
          </w:p>
        </w:tc>
        <w:tc>
          <w:tcPr>
            <w:tcW w:type="dxa" w:w="2880"/>
          </w:tcPr>
          <w:p>
            <w:r>
              <w:rPr>
                <w:b/>
              </w:rPr>
            </w:r>
            <w:r>
              <w:rPr>
                <w:b/>
              </w:rPr>
              <w:t>Trefferquote</w:t>
            </w:r>
          </w:p>
        </w:tc>
      </w:tr>
      <w:tr>
        <w:tc>
          <w:tcPr>
            <w:tcW w:type="dxa" w:w="2880"/>
          </w:tcPr>
          <w:p>
            <w:r/>
            <w:r>
              <w:t>Mistral LONG</w:t>
            </w:r>
          </w:p>
        </w:tc>
        <w:tc>
          <w:tcPr>
            <w:tcW w:type="dxa" w:w="2880"/>
          </w:tcPr>
          <w:p>
            <w:r/>
            <w:r>
              <w:t>59</w:t>
            </w:r>
          </w:p>
        </w:tc>
        <w:tc>
          <w:tcPr>
            <w:tcW w:type="dxa" w:w="2880"/>
          </w:tcPr>
          <w:p>
            <w:r/>
            <w:r>
              <w:t>18,6%</w:t>
            </w:r>
          </w:p>
        </w:tc>
      </w:tr>
      <w:tr>
        <w:tc>
          <w:tcPr>
            <w:tcW w:type="dxa" w:w="2880"/>
          </w:tcPr>
          <w:p>
            <w:r/>
            <w:r>
              <w:t>Mistral SHORT</w:t>
            </w:r>
          </w:p>
        </w:tc>
        <w:tc>
          <w:tcPr>
            <w:tcW w:type="dxa" w:w="2880"/>
          </w:tcPr>
          <w:p>
            <w:r/>
            <w:r>
              <w:t>9 (dedupliziert nach Symbol+Tag: bleibt 9)</w:t>
            </w:r>
          </w:p>
        </w:tc>
        <w:tc>
          <w:tcPr>
            <w:tcW w:type="dxa" w:w="2880"/>
          </w:tcPr>
          <w:p>
            <w:r/>
            <w:r>
              <w:rPr>
                <w:b/>
              </w:rPr>
              <w:t>0,0%</w:t>
            </w:r>
          </w:p>
        </w:tc>
      </w:tr>
    </w:tbl>
    <w:p/>
    <w:p>
      <w:pPr>
        <w:jc w:val="left"/>
      </w:pPr>
      <w:r>
        <w:t xml:space="preserve">SHORT performt nicht besser als LONG, sondern schlechter - widerspricht der Annahme "mit dem Bär-Trend gehen wäre richtig gewesen". Zusätzlich: </w:t>
      </w:r>
      <w:r>
        <w:rPr>
          <w:rFonts w:ascii="Consolas" w:hAnsi="Consolas"/>
          <w:color w:val="882222"/>
          <w:sz w:val="18"/>
        </w:rPr>
        <w:t>zai_eigene_richtung</w:t>
      </w:r>
      <w:r>
        <w:t xml:space="preserve"> über ALLE 1336 Hebel-Signale (469 mit Wert) ist SHORT=246, NEUTRAL=222, </w:t>
      </w:r>
      <w:r>
        <w:rPr>
          <w:b/>
        </w:rPr>
        <w:t>LONG=1</w:t>
      </w:r>
      <w:r>
        <w:t xml:space="preserve"> - Z.ai sagt praktisch nie LONG. Das erklärt die scheinbare Korrelation als Scheinzusammenhang: beide Größen (Mistral-LONG-Fehlschläge, Z.ais Dauer-Bär-Haltung) hängen unabhängig voneinander mit dem anhaltenden Bär-Regime zusammen, ohne dass Z.ai tatsächlich prädiktive Fähigkeit zeigt - der Beweis: wenn Z.ai Recht hätte, müssten SHORT-Trades (die praktisch immer mit Z.ais Dauerhaltung übereinstimmen) gut performen. Sie performen am schlechtesten von allen.</w:t>
      </w:r>
    </w:p>
    <w:p>
      <w:pPr>
        <w:jc w:val="left"/>
      </w:pPr>
      <w:r>
        <w:rPr>
          <w:b/>
        </w:rPr>
        <w:t>Schlussfolgerung:</w:t>
      </w:r>
      <w:r>
        <w:t xml:space="preserve"> das Problem ist RICHTUNGS-UNABHÄNGIG (LONG und SHORT beide schlecht, SHORT sogar schlechter) - kein Beleg für eine falsche Richtungswahl, sondern für einen anderen, richtungsneutralen Faktor. Damit gehört diese Spur NICHT zu einer neuen Meta-Labeling-/Gegenprüfungs-Regel, sondern zurück zum bereits bestehenden, noch ungelösten Thema in [[project_enge_stop_loss_backtest_und_massnahmen]] (~77% des CRV-Band- Einbruchs weiterhin unerklärt) - dort wurde am selben Tag ein neuer, konkreter Kandidat gefunden (Breakeven-/Teilgewinn-Lock, siehe dortiger Nachtrag 01.08.). Die Fazit-Vorbehalt-Beobachtung aus 2.9 bleibt davon unberührt gültig (eigenständiger Befund).</w:t>
      </w:r>
    </w:p>
    <w:p>
      <w:pPr>
        <w:jc w:val="left"/>
      </w:pPr>
      <w:r>
        <w:rPr>
          <w:b/>
        </w:rPr>
        <w:t>Methodischer Punkt für künftige Analysen:</w:t>
      </w:r>
      <w:r>
        <w:t xml:space="preserve"> eine auffällige Korrelation zwischen zwei Kennzahlen ist erst dann ein Kausal-/Prädiktivitäts-Beleg, wenn sie den Symmetrietest übersteht (hier: Spiegelfall SHORT statt nur LONG geprüft) - sonst bleibt offen, ob beide Größen nur einen gemeinsamen Dritt- faktor (hier: Bär-Regime) widerspiegeln.</w:t>
      </w:r>
    </w:p>
    <w:p>
      <w:pPr>
        <w:spacing w:before="120"/>
      </w:pPr>
      <w:r>
        <w:rPr>
          <w:color w:val="AAAAAA"/>
        </w:rPr>
        <w:t>────────────────────────────────────────────────────────────</w:t>
      </w:r>
    </w:p>
    <w:p>
      <w:pPr>
        <w:pStyle w:val="Heading2"/>
      </w:pPr>
      <w:r>
        <w:t>3. Verwandte Dokumente</w:t>
      </w:r>
    </w:p>
    <w:p>
      <w:pPr>
        <w:pStyle w:val="ListBullet"/>
      </w:pPr>
      <w:r>
        <w:t>[[Fakten_Entscheidungsmappe.md]] - Entscheidungsraster für Fakten/Prompt-Regeln selbst (was landet wie im LLM-Prompt), ergänzt diese Methodik (wie wird eine Änderung an diesen Fakten getestet und verifiziert).</w:t>
      </w:r>
    </w:p>
    <w:p>
      <w:pPr>
        <w:pStyle w:val="ListBullet"/>
      </w:pPr>
      <w:r>
        <w:rPr>
          <w:rFonts w:ascii="Consolas" w:hAnsi="Consolas"/>
          <w:color w:val="882222"/>
          <w:sz w:val="18"/>
        </w:rPr>
        <w:t>Regelwerksmanual.md</w:t>
      </w:r>
      <w:r>
        <w:t xml:space="preserve"> - dokumentiert einzelne, bereits umgesetzte Regeln/Fixes inklusive ihres Verifikationsstands: ab jetzt mit der Stufen-Bezeichnung aus Abschnitt 0 statt einem unscharfen "erledigt".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