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Arbeitsstand 6. September 2026</w:t>
      </w:r>
    </w:p>
    <w:p>
      <w:pPr>
        <w:spacing w:before="0" w:after="40"/>
      </w:pPr>
      <w:r>
        <w:rPr>
          <w:b w:val="0"/>
          <w:color w:val="555555"/>
          <w:sz w:val="22"/>
        </w:rPr>
        <w:t>Die Bewertungsebene des TradingInfoTool — was heute gemessen wurde, was gilt und wo es weitergeht.</w:t>
      </w:r>
    </w:p>
    <w:p>
      <w:pPr>
        <w:spacing w:before="0" w:after="280"/>
      </w:pPr>
      <w:r>
        <w:rPr>
          <w:b w:val="0"/>
          <w:color w:val="555555"/>
          <w:sz w:val="18"/>
        </w:rPr>
        <w:t>Methodik 2.134 bis 2.140 · Messungen N-52 bis N-57 · Suite 1.976 Prüfungen, alle bestanden</w:t>
      </w:r>
    </w:p>
    <w:p>
      <w:pPr>
        <w:pStyle w:val="Heading1"/>
      </w:pPr>
      <w:r>
        <w:t>Der Tag in einem Satz</w:t>
      </w:r>
    </w:p>
    <w:p>
      <w:pPr>
        <w:spacing w:before="120" w:after="200"/>
        <w:ind w:left="340"/>
      </w:pPr>
      <w:r>
        <w:rPr>
          <w:b/>
          <w:color w:val="1F3D6B"/>
          <w:sz w:val="21"/>
        </w:rPr>
        <w:t>Wir haben herausgefunden, dass mehrere unserer Maßstäbe uns getäuscht haben — und dadurch steht die Bewertungsebene jetzt besser da als am Morgen, nicht schlechter.</w:t>
      </w:r>
    </w:p>
    <w:p>
      <w:pPr>
        <w:spacing w:before="0" w:after="120"/>
      </w:pPr>
      <w:r>
        <w:rPr>
          <w:b w:val="0"/>
          <w:sz w:val="21"/>
        </w:rPr>
        <w:t>Der rote Faden war eine einzige Frage: Misst dieser Maßstab, was er zu messen vorgibt? Sechs Maßstäbe wurden geprüft, vier davon sind kontaminiert — sie schlagen in einer künstlichen Welt an, in der es nichts zu finden gibt. Sauber ist nur GS: symmetrische Barrieren, gezählt werden nur aufgelöste Anker. Sein Nullpunkt liegt beweisbar bei 0,5, unabhängig von der Volatilität.</w:t>
      </w:r>
    </w:p>
    <w:p>
      <w:pPr>
        <w:pStyle w:val="Heading1"/>
      </w:pPr>
      <w:r>
        <w:t>Die sechs Befunde</w:t>
      </w:r>
    </w:p>
    <w:tbl>
      <w:tblPr>
        <w:tblStyle w:val="TableGrid"/>
        <w:tblW w:type="auto" w:w="0"/>
        <w:jc w:val="left"/>
        <w:tblLook w:firstColumn="1" w:firstRow="1" w:lastColumn="0" w:lastRow="0" w:noHBand="0" w:noVBand="1" w:val="04A0"/>
      </w:tblPr>
      <w:tblGrid>
        <w:gridCol w:w="2880"/>
        <w:gridCol w:w="2880"/>
        <w:gridCol w:w="2880"/>
      </w:tblGrid>
      <w:tr>
        <w:tc>
          <w:tcPr>
            <w:tcW w:type="dxa" w:w="907"/>
            <w:shd w:fill="DDE3EA"/>
          </w:tcPr>
          <w:p>
            <w:r/>
            <w:r>
              <w:rPr>
                <w:b/>
                <w:sz w:val="18"/>
              </w:rPr>
              <w:t>Nr.</w:t>
            </w:r>
          </w:p>
        </w:tc>
        <w:tc>
          <w:tcPr>
            <w:tcW w:type="dxa" w:w="2608"/>
            <w:shd w:fill="DDE3EA"/>
          </w:tcPr>
          <w:p>
            <w:r/>
            <w:r>
              <w:rPr>
                <w:b/>
                <w:sz w:val="18"/>
              </w:rPr>
              <w:t>Befund</w:t>
            </w:r>
          </w:p>
        </w:tc>
        <w:tc>
          <w:tcPr>
            <w:tcW w:type="dxa" w:w="5556"/>
            <w:shd w:fill="DDE3EA"/>
          </w:tcPr>
          <w:p>
            <w:r/>
            <w:r>
              <w:rPr>
                <w:b/>
                <w:sz w:val="18"/>
              </w:rPr>
              <w:t>Wirkung</w:t>
            </w:r>
          </w:p>
        </w:tc>
      </w:tr>
      <w:tr>
        <w:tc>
          <w:tcPr>
            <w:tcW w:type="dxa" w:w="907"/>
          </w:tcPr>
          <w:p>
            <w:r/>
            <w:r>
              <w:rPr>
                <w:b w:val="0"/>
                <w:sz w:val="18"/>
              </w:rPr>
              <w:t>N-52</w:t>
            </w:r>
          </w:p>
        </w:tc>
        <w:tc>
          <w:tcPr>
            <w:tcW w:type="dxa" w:w="2608"/>
          </w:tcPr>
          <w:p>
            <w:r/>
            <w:r>
              <w:rPr>
                <w:b/>
                <w:sz w:val="18"/>
              </w:rPr>
              <w:t>`vola` trägt keine Richtung</w:t>
            </w:r>
          </w:p>
        </w:tc>
        <w:tc>
          <w:tcPr>
            <w:tcW w:type="dxa" w:w="5556"/>
          </w:tcPr>
          <w:p>
            <w:r/>
            <w:r>
              <w:rPr>
                <w:b w:val="0"/>
                <w:sz w:val="18"/>
              </w:rPr>
              <w:t>Der stärkste Befund des Tages war unsere eigene Geometrie: ruhige Werte lösen ihre Barrieren öfter auf, und eine Auflösung ist zu ⅓ ein Treffer. Richtungsrein bleibt nichts (−0,00041, Kontrolle 2/5).</w:t>
            </w:r>
          </w:p>
        </w:tc>
      </w:tr>
      <w:tr>
        <w:tc>
          <w:tcPr>
            <w:tcW w:type="dxa" w:w="907"/>
          </w:tcPr>
          <w:p>
            <w:r/>
            <w:r>
              <w:rPr>
                <w:b w:val="0"/>
                <w:sz w:val="18"/>
              </w:rPr>
              <w:t>N-53</w:t>
            </w:r>
          </w:p>
        </w:tc>
        <w:tc>
          <w:tcPr>
            <w:tcW w:type="dxa" w:w="2608"/>
          </w:tcPr>
          <w:p>
            <w:r/>
            <w:r>
              <w:rPr>
                <w:b/>
                <w:sz w:val="18"/>
              </w:rPr>
              <w:t>`turnover` rehabilitiert</w:t>
            </w:r>
          </w:p>
        </w:tc>
        <w:tc>
          <w:tcPr>
            <w:tcW w:type="dxa" w:w="5556"/>
          </w:tcPr>
          <w:p>
            <w:r/>
            <w:r>
              <w:rPr>
                <w:b w:val="0"/>
                <w:sz w:val="18"/>
              </w:rPr>
              <w:t>Es wurde am falschen Maßstab gemessen. Richtungsrein ist es mit +0,00512 der stärkste der drei Größen — zweieinhalbmal `funding`.</w:t>
            </w:r>
          </w:p>
        </w:tc>
      </w:tr>
      <w:tr>
        <w:tc>
          <w:tcPr>
            <w:tcW w:type="dxa" w:w="907"/>
          </w:tcPr>
          <w:p>
            <w:r/>
            <w:r>
              <w:rPr>
                <w:b w:val="0"/>
                <w:sz w:val="18"/>
              </w:rPr>
              <w:t>N-54</w:t>
            </w:r>
          </w:p>
        </w:tc>
        <w:tc>
          <w:tcPr>
            <w:tcW w:type="dxa" w:w="2608"/>
          </w:tcPr>
          <w:p>
            <w:r/>
            <w:r>
              <w:rPr>
                <w:b w:val="0"/>
                <w:sz w:val="18"/>
              </w:rPr>
              <w:t>Die zwei Ebenen sind unabhängig</w:t>
            </w:r>
          </w:p>
        </w:tc>
        <w:tc>
          <w:tcPr>
            <w:tcW w:type="dxa" w:w="5556"/>
          </w:tcPr>
          <w:p>
            <w:r/>
            <w:r>
              <w:rPr>
                <w:b w:val="0"/>
                <w:sz w:val="18"/>
              </w:rPr>
              <w:t>`vola` verstärkt `funding`/`turnover` nicht. Der einfachere Entwurf: die Geometrieebene stört die Bewertung nicht.</w:t>
            </w:r>
          </w:p>
        </w:tc>
      </w:tr>
      <w:tr>
        <w:tc>
          <w:tcPr>
            <w:tcW w:type="dxa" w:w="907"/>
          </w:tcPr>
          <w:p>
            <w:r/>
            <w:r>
              <w:rPr>
                <w:b w:val="0"/>
                <w:sz w:val="18"/>
              </w:rPr>
              <w:t>N-55</w:t>
            </w:r>
          </w:p>
        </w:tc>
        <w:tc>
          <w:tcPr>
            <w:tcW w:type="dxa" w:w="2608"/>
          </w:tcPr>
          <w:p>
            <w:r/>
            <w:r>
              <w:rPr>
                <w:b w:val="0"/>
                <w:sz w:val="18"/>
              </w:rPr>
              <w:t>`vola` ordnet die Höhe, nicht die Bauform</w:t>
            </w:r>
          </w:p>
        </w:tc>
        <w:tc>
          <w:tcPr>
            <w:tcW w:type="dxa" w:w="5556"/>
          </w:tcPr>
          <w:p>
            <w:r/>
            <w:r>
              <w:rPr>
                <w:b w:val="0"/>
                <w:sz w:val="18"/>
              </w:rPr>
              <w:t>In allen 12 Geometrien liegt die Spreizung über dem Artefakt (+0,035 bis +0,126 R). Aber dieselbe Geometrie gewinnt in allen Dritteln.</w:t>
            </w:r>
          </w:p>
        </w:tc>
      </w:tr>
      <w:tr>
        <w:tc>
          <w:tcPr>
            <w:tcW w:type="dxa" w:w="907"/>
          </w:tcPr>
          <w:p>
            <w:r/>
            <w:r>
              <w:rPr>
                <w:b w:val="0"/>
                <w:sz w:val="18"/>
              </w:rPr>
              <w:t>N-56</w:t>
            </w:r>
          </w:p>
        </w:tc>
        <w:tc>
          <w:tcPr>
            <w:tcW w:type="dxa" w:w="2608"/>
          </w:tcPr>
          <w:p>
            <w:r/>
            <w:r>
              <w:rPr>
                <w:b/>
                <w:sz w:val="18"/>
              </w:rPr>
              <w:t>Die OI-Sperre trägt Richtung</w:t>
            </w:r>
          </w:p>
        </w:tc>
        <w:tc>
          <w:tcPr>
            <w:tcW w:type="dxa" w:w="5556"/>
          </w:tcPr>
          <w:p>
            <w:r/>
            <w:r>
              <w:rPr>
                <w:b w:val="0"/>
                <w:sz w:val="18"/>
              </w:rPr>
              <w:t>Reproduziert in der Live-Form; GS +0,00220 (H20) und +0,00381 (H5). Sie steht zu Recht. ⚠️ Zugleich: `turnover`s Tabelle reproduziert nicht.</w:t>
            </w:r>
          </w:p>
        </w:tc>
      </w:tr>
      <w:tr>
        <w:tc>
          <w:tcPr>
            <w:tcW w:type="dxa" w:w="907"/>
          </w:tcPr>
          <w:p>
            <w:r/>
            <w:r>
              <w:rPr>
                <w:b w:val="0"/>
                <w:sz w:val="18"/>
              </w:rPr>
              <w:t>N-57</w:t>
            </w:r>
          </w:p>
        </w:tc>
        <w:tc>
          <w:tcPr>
            <w:tcW w:type="dxa" w:w="2608"/>
          </w:tcPr>
          <w:p>
            <w:r/>
            <w:r>
              <w:rPr>
                <w:b/>
                <w:sz w:val="18"/>
              </w:rPr>
              <w:t>31,4 % laufen flach aus</w:t>
            </w:r>
          </w:p>
        </w:tc>
        <w:tc>
          <w:tcPr>
            <w:tcW w:type="dxa" w:w="5556"/>
          </w:tcPr>
          <w:p>
            <w:r/>
            <w:r>
              <w:rPr>
                <w:b w:val="0"/>
                <w:sz w:val="18"/>
              </w:rPr>
              <w:t>Bei H5. Die Kalibrierungsbasis liegt dadurch um +0,29 R daneben — mit falschem Vorzeichen.</w:t>
            </w:r>
          </w:p>
        </w:tc>
      </w:tr>
    </w:tbl>
    <w:p/>
    <w:p>
      <w:pPr>
        <w:pStyle w:val="Heading1"/>
      </w:pPr>
      <w:r>
        <w:t>Stand der Bewertungsebene</w:t>
      </w:r>
    </w:p>
    <w:p>
      <w:pPr>
        <w:spacing w:before="0" w:after="120"/>
      </w:pPr>
      <w:r>
        <w:rPr>
          <w:b w:val="0"/>
          <w:sz w:val="21"/>
        </w:rPr>
        <w:t>Alle vier Größen erstmals durch dasselbe richtungsreine Verfahren geschickt und damit vergleichbar: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814"/>
            <w:shd w:fill="DDE3EA"/>
          </w:tcPr>
          <w:p>
            <w:r/>
            <w:r>
              <w:rPr>
                <w:b/>
                <w:sz w:val="18"/>
              </w:rPr>
              <w:t>Größe</w:t>
            </w:r>
          </w:p>
        </w:tc>
        <w:tc>
          <w:tcPr>
            <w:tcW w:type="dxa" w:w="1928"/>
            <w:shd w:fill="DDE3EA"/>
          </w:tcPr>
          <w:p>
            <w:r/>
            <w:r>
              <w:rPr>
                <w:b/>
                <w:sz w:val="18"/>
              </w:rPr>
              <w:t>GS (Richtung)</w:t>
            </w:r>
          </w:p>
        </w:tc>
        <w:tc>
          <w:tcPr>
            <w:tcW w:type="dxa" w:w="2381"/>
            <w:shd w:fill="DDE3EA"/>
          </w:tcPr>
          <w:p>
            <w:r/>
            <w:r>
              <w:rPr>
                <w:b/>
                <w:sz w:val="18"/>
              </w:rPr>
              <w:t>Live</w:t>
            </w:r>
          </w:p>
        </w:tc>
        <w:tc>
          <w:tcPr>
            <w:tcW w:type="dxa" w:w="2948"/>
            <w:shd w:fill="DDE3EA"/>
          </w:tcPr>
          <w:p>
            <w:r/>
            <w:r>
              <w:rPr>
                <w:b/>
                <w:sz w:val="18"/>
              </w:rPr>
              <w:t>Zustand</w:t>
            </w:r>
          </w:p>
        </w:tc>
      </w:tr>
      <w:tr>
        <w:tc>
          <w:tcPr>
            <w:tcW w:type="dxa" w:w="1814"/>
          </w:tcPr>
          <w:p>
            <w:r/>
            <w:r>
              <w:rPr>
                <w:b w:val="0"/>
                <w:sz w:val="18"/>
              </w:rPr>
              <w:t>`funding`</w:t>
            </w:r>
          </w:p>
        </w:tc>
        <w:tc>
          <w:tcPr>
            <w:tcW w:type="dxa" w:w="1928"/>
          </w:tcPr>
          <w:p>
            <w:r/>
            <w:r>
              <w:rPr>
                <w:b w:val="0"/>
                <w:color w:val="1B6B3A"/>
                <w:sz w:val="18"/>
              </w:rPr>
              <w:t>✔ +0,00197</w:t>
            </w:r>
          </w:p>
        </w:tc>
        <w:tc>
          <w:tcPr>
            <w:tcW w:type="dxa" w:w="2381"/>
          </w:tcPr>
          <w:p>
            <w:r/>
            <w:r>
              <w:rPr>
                <w:b w:val="0"/>
                <w:sz w:val="18"/>
              </w:rPr>
              <w:t>BEITRAEGE, 5 Stufen</w:t>
            </w:r>
          </w:p>
        </w:tc>
        <w:tc>
          <w:tcPr>
            <w:tcW w:type="dxa" w:w="2948"/>
          </w:tcPr>
          <w:p>
            <w:r/>
            <w:r>
              <w:rPr>
                <w:b w:val="0"/>
                <w:color w:val="1B6B3A"/>
                <w:sz w:val="18"/>
              </w:rPr>
              <w:t>✔ reproduziert bis in die Form — monoton, Tabelle stimmt</w:t>
            </w:r>
          </w:p>
        </w:tc>
      </w:tr>
      <w:tr>
        <w:tc>
          <w:tcPr>
            <w:tcW w:type="dxa" w:w="1814"/>
          </w:tcPr>
          <w:p>
            <w:r/>
            <w:r>
              <w:rPr>
                <w:b w:val="0"/>
                <w:sz w:val="18"/>
              </w:rPr>
              <w:t>`turnover`</w:t>
            </w:r>
          </w:p>
        </w:tc>
        <w:tc>
          <w:tcPr>
            <w:tcW w:type="dxa" w:w="1928"/>
          </w:tcPr>
          <w:p>
            <w:r/>
            <w:r>
              <w:rPr>
                <w:b w:val="0"/>
                <w:color w:val="1B6B3A"/>
                <w:sz w:val="18"/>
              </w:rPr>
              <w:t>✔ +0,00512</w:t>
            </w:r>
          </w:p>
        </w:tc>
        <w:tc>
          <w:tcPr>
            <w:tcW w:type="dxa" w:w="2381"/>
          </w:tcPr>
          <w:p>
            <w:r/>
            <w:r>
              <w:rPr>
                <w:b w:val="0"/>
                <w:sz w:val="18"/>
              </w:rPr>
              <w:t>BEITRAEGE, 5 Stufen</w:t>
            </w:r>
          </w:p>
        </w:tc>
        <w:tc>
          <w:tcPr>
            <w:tcW w:type="dxa" w:w="2948"/>
          </w:tcPr>
          <w:p>
            <w:r/>
            <w:r>
              <w:rPr>
                <w:b w:val="0"/>
                <w:color w:val="B02A1F"/>
                <w:sz w:val="18"/>
              </w:rPr>
              <w:t>⚠️ Größe gut, Tabelle nicht belegt</w:t>
            </w:r>
          </w:p>
        </w:tc>
      </w:tr>
      <w:tr>
        <w:tc>
          <w:tcPr>
            <w:tcW w:type="dxa" w:w="1814"/>
          </w:tcPr>
          <w:p>
            <w:r/>
            <w:r>
              <w:rPr>
                <w:b w:val="0"/>
                <w:sz w:val="18"/>
              </w:rPr>
              <w:t>`oi_aenderung`</w:t>
            </w:r>
          </w:p>
        </w:tc>
        <w:tc>
          <w:tcPr>
            <w:tcW w:type="dxa" w:w="1928"/>
          </w:tcPr>
          <w:p>
            <w:r/>
            <w:r>
              <w:rPr>
                <w:b w:val="0"/>
                <w:color w:val="1B6B3A"/>
                <w:sz w:val="18"/>
              </w:rPr>
              <w:t>✔ +0,00220 / +0,00381</w:t>
            </w:r>
          </w:p>
        </w:tc>
        <w:tc>
          <w:tcPr>
            <w:tcW w:type="dxa" w:w="2381"/>
          </w:tcPr>
          <w:p>
            <w:r/>
            <w:r>
              <w:rPr>
                <w:b w:val="0"/>
                <w:sz w:val="18"/>
              </w:rPr>
              <w:t>Sperre in rollen_gate</w:t>
            </w:r>
          </w:p>
        </w:tc>
        <w:tc>
          <w:tcPr>
            <w:tcW w:type="dxa" w:w="2948"/>
          </w:tcPr>
          <w:p>
            <w:r/>
            <w:r>
              <w:rPr>
                <w:b w:val="0"/>
                <w:color w:val="1B6B3A"/>
                <w:sz w:val="18"/>
              </w:rPr>
              <w:t>✔ reproduziert, steht zu Recht</w:t>
            </w:r>
          </w:p>
        </w:tc>
      </w:tr>
      <w:tr>
        <w:tc>
          <w:tcPr>
            <w:tcW w:type="dxa" w:w="1814"/>
          </w:tcPr>
          <w:p>
            <w:r/>
            <w:r>
              <w:rPr>
                <w:b w:val="0"/>
                <w:sz w:val="18"/>
              </w:rPr>
              <w:t>`vola`</w:t>
            </w:r>
          </w:p>
        </w:tc>
        <w:tc>
          <w:tcPr>
            <w:tcW w:type="dxa" w:w="1928"/>
          </w:tcPr>
          <w:p>
            <w:r/>
            <w:r>
              <w:rPr>
                <w:b w:val="0"/>
                <w:color w:val="B02A1F"/>
                <w:sz w:val="18"/>
              </w:rPr>
              <w:t>✖ −0,00041</w:t>
            </w:r>
          </w:p>
        </w:tc>
        <w:tc>
          <w:tcPr>
            <w:tcW w:type="dxa" w:w="2381"/>
          </w:tcPr>
          <w:p>
            <w:r/>
            <w:r>
              <w:rPr>
                <w:b w:val="0"/>
                <w:sz w:val="18"/>
              </w:rPr>
              <w:t>nicht registriert</w:t>
            </w:r>
          </w:p>
        </w:tc>
        <w:tc>
          <w:tcPr>
            <w:tcW w:type="dxa" w:w="2948"/>
          </w:tcPr>
          <w:p>
            <w:r/>
            <w:r>
              <w:rPr>
                <w:b w:val="0"/>
                <w:sz w:val="18"/>
              </w:rPr>
              <w:t>gehört in die Geometrie, ordnet die Höhe</w:t>
            </w:r>
          </w:p>
        </w:tc>
      </w:tr>
    </w:tbl>
    <w:p/>
    <w:p>
      <w:pPr>
        <w:spacing w:before="120" w:after="200"/>
        <w:ind w:left="340"/>
      </w:pPr>
      <w:r>
        <w:rPr>
          <w:b/>
          <w:color w:val="1F3D6B"/>
          <w:sz w:val="21"/>
        </w:rPr>
        <w:t>Drei tragende Größen statt der einen, von der am Morgen auszugehen war. Die Kalibrierungsblockade ist weg.</w:t>
      </w:r>
    </w:p>
    <w:p>
      <w:pPr>
        <w:pStyle w:val="Heading1"/>
      </w:pPr>
      <w:r>
        <w:t>Die Zahl, die die Reihenfolge entscheidet</w:t>
      </w:r>
    </w:p>
    <w:p>
      <w:pPr>
        <w:spacing w:before="0" w:after="120"/>
      </w:pPr>
      <w:r>
        <w:rPr>
          <w:b w:val="0"/>
          <w:sz w:val="21"/>
        </w:rPr>
        <w:t>Gemessen in der echten Produktionsgeometrie — Stop = max(5 % vom Kurs, 0,75 × ATR), gedeckelt bei 25 %, CRV 2,0 — über 687.748 Anker:</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247"/>
            <w:shd w:fill="DDE3EA"/>
          </w:tcPr>
          <w:p>
            <w:r/>
            <w:r>
              <w:rPr>
                <w:b/>
                <w:sz w:val="18"/>
              </w:rPr>
              <w:t>bis Tag</w:t>
            </w:r>
          </w:p>
        </w:tc>
        <w:tc>
          <w:tcPr>
            <w:tcW w:type="dxa" w:w="1247"/>
            <w:shd w:fill="DDE3EA"/>
          </w:tcPr>
          <w:p>
            <w:r/>
            <w:r>
              <w:rPr>
                <w:b/>
                <w:sz w:val="18"/>
              </w:rPr>
              <w:t>Ziel</w:t>
            </w:r>
          </w:p>
        </w:tc>
        <w:tc>
          <w:tcPr>
            <w:tcW w:type="dxa" w:w="1247"/>
            <w:shd w:fill="DDE3EA"/>
          </w:tcPr>
          <w:p>
            <w:r/>
            <w:r>
              <w:rPr>
                <w:b/>
                <w:sz w:val="18"/>
              </w:rPr>
              <w:t>Stop</w:t>
            </w:r>
          </w:p>
        </w:tc>
        <w:tc>
          <w:tcPr>
            <w:tcW w:type="dxa" w:w="1474"/>
            <w:shd w:fill="DDE3EA"/>
          </w:tcPr>
          <w:p>
            <w:r/>
            <w:r>
              <w:rPr>
                <w:b/>
                <w:sz w:val="18"/>
              </w:rPr>
              <w:t>FLACH</w:t>
            </w:r>
          </w:p>
        </w:tc>
        <w:tc>
          <w:tcPr>
            <w:tcW w:type="dxa" w:w="1928"/>
            <w:shd w:fill="DDE3EA"/>
          </w:tcPr>
          <w:p>
            <w:r/>
            <w:r>
              <w:rPr>
                <w:b/>
                <w:sz w:val="18"/>
              </w:rPr>
              <w:t>EW Kalibrierung</w:t>
            </w:r>
          </w:p>
        </w:tc>
        <w:tc>
          <w:tcPr>
            <w:tcW w:type="dxa" w:w="1928"/>
            <w:shd w:fill="DDE3EA"/>
          </w:tcPr>
          <w:p>
            <w:r/>
            <w:r>
              <w:rPr>
                <w:b/>
                <w:sz w:val="18"/>
              </w:rPr>
              <w:t>EW Produktion</w:t>
            </w:r>
          </w:p>
        </w:tc>
      </w:tr>
      <w:tr>
        <w:tc>
          <w:tcPr>
            <w:tcW w:type="dxa" w:w="1247"/>
          </w:tcPr>
          <w:p>
            <w:r/>
            <w:r>
              <w:rPr>
                <w:b/>
                <w:sz w:val="18"/>
              </w:rPr>
              <w:t>5</w:t>
            </w:r>
          </w:p>
        </w:tc>
        <w:tc>
          <w:tcPr>
            <w:tcW w:type="dxa" w:w="1247"/>
          </w:tcPr>
          <w:p>
            <w:r/>
            <w:r>
              <w:rPr>
                <w:b w:val="0"/>
                <w:sz w:val="18"/>
              </w:rPr>
              <w:t>21,2 %</w:t>
            </w:r>
          </w:p>
        </w:tc>
        <w:tc>
          <w:tcPr>
            <w:tcW w:type="dxa" w:w="1247"/>
          </w:tcPr>
          <w:p>
            <w:r/>
            <w:r>
              <w:rPr>
                <w:b w:val="0"/>
                <w:sz w:val="18"/>
              </w:rPr>
              <w:t>47,5 %</w:t>
            </w:r>
          </w:p>
        </w:tc>
        <w:tc>
          <w:tcPr>
            <w:tcW w:type="dxa" w:w="1474"/>
          </w:tcPr>
          <w:p>
            <w:r/>
            <w:r>
              <w:rPr>
                <w:b/>
                <w:sz w:val="18"/>
              </w:rPr>
              <w:t>31,4 %</w:t>
            </w:r>
          </w:p>
        </w:tc>
        <w:tc>
          <w:tcPr>
            <w:tcW w:type="dxa" w:w="1928"/>
          </w:tcPr>
          <w:p>
            <w:r/>
            <w:r>
              <w:rPr>
                <w:b/>
                <w:sz w:val="18"/>
              </w:rPr>
              <w:t>−0,3654 R</w:t>
            </w:r>
          </w:p>
        </w:tc>
        <w:tc>
          <w:tcPr>
            <w:tcW w:type="dxa" w:w="1928"/>
          </w:tcPr>
          <w:p>
            <w:r/>
            <w:r>
              <w:rPr>
                <w:b w:val="0"/>
                <w:sz w:val="18"/>
              </w:rPr>
              <w:t>−0,0756 R</w:t>
            </w:r>
          </w:p>
        </w:tc>
      </w:tr>
      <w:tr>
        <w:tc>
          <w:tcPr>
            <w:tcW w:type="dxa" w:w="1247"/>
          </w:tcPr>
          <w:p>
            <w:r/>
            <w:r>
              <w:rPr>
                <w:b w:val="0"/>
                <w:sz w:val="18"/>
              </w:rPr>
              <w:t>20</w:t>
            </w:r>
          </w:p>
        </w:tc>
        <w:tc>
          <w:tcPr>
            <w:tcW w:type="dxa" w:w="1247"/>
          </w:tcPr>
          <w:p>
            <w:r/>
            <w:r>
              <w:rPr>
                <w:b w:val="0"/>
                <w:sz w:val="18"/>
              </w:rPr>
              <w:t>32,7 %</w:t>
            </w:r>
          </w:p>
        </w:tc>
        <w:tc>
          <w:tcPr>
            <w:tcW w:type="dxa" w:w="1247"/>
          </w:tcPr>
          <w:p>
            <w:r/>
            <w:r>
              <w:rPr>
                <w:b w:val="0"/>
                <w:sz w:val="18"/>
              </w:rPr>
              <w:t>62,0 %</w:t>
            </w:r>
          </w:p>
        </w:tc>
        <w:tc>
          <w:tcPr>
            <w:tcW w:type="dxa" w:w="1474"/>
          </w:tcPr>
          <w:p>
            <w:r/>
            <w:r>
              <w:rPr>
                <w:b w:val="0"/>
                <w:sz w:val="18"/>
              </w:rPr>
              <w:t>5,3 %</w:t>
            </w:r>
          </w:p>
        </w:tc>
        <w:tc>
          <w:tcPr>
            <w:tcW w:type="dxa" w:w="1928"/>
          </w:tcPr>
          <w:p>
            <w:r/>
            <w:r>
              <w:rPr>
                <w:b w:val="0"/>
                <w:sz w:val="18"/>
              </w:rPr>
              <w:t>−0,0199 R</w:t>
            </w:r>
          </w:p>
        </w:tc>
        <w:tc>
          <w:tcPr>
            <w:tcW w:type="dxa" w:w="1928"/>
          </w:tcPr>
          <w:p>
            <w:r/>
            <w:r>
              <w:rPr>
                <w:b w:val="0"/>
                <w:sz w:val="18"/>
              </w:rPr>
              <w:t>+0,0354 R</w:t>
            </w:r>
          </w:p>
        </w:tc>
      </w:tr>
      <w:tr>
        <w:tc>
          <w:tcPr>
            <w:tcW w:type="dxa" w:w="1247"/>
          </w:tcPr>
          <w:p>
            <w:r/>
            <w:r>
              <w:rPr>
                <w:b w:val="0"/>
                <w:sz w:val="18"/>
              </w:rPr>
              <w:t>60</w:t>
            </w:r>
          </w:p>
        </w:tc>
        <w:tc>
          <w:tcPr>
            <w:tcW w:type="dxa" w:w="1247"/>
          </w:tcPr>
          <w:p>
            <w:r/>
            <w:r>
              <w:rPr>
                <w:b w:val="0"/>
                <w:sz w:val="18"/>
              </w:rPr>
              <w:t>33,9 %</w:t>
            </w:r>
          </w:p>
        </w:tc>
        <w:tc>
          <w:tcPr>
            <w:tcW w:type="dxa" w:w="1247"/>
          </w:tcPr>
          <w:p>
            <w:r/>
            <w:r>
              <w:rPr>
                <w:b w:val="0"/>
                <w:sz w:val="18"/>
              </w:rPr>
              <w:t>64,0 %</w:t>
            </w:r>
          </w:p>
        </w:tc>
        <w:tc>
          <w:tcPr>
            <w:tcW w:type="dxa" w:w="1474"/>
          </w:tcPr>
          <w:p>
            <w:r/>
            <w:r>
              <w:rPr>
                <w:b w:val="0"/>
                <w:sz w:val="18"/>
              </w:rPr>
              <w:t>2,1 %</w:t>
            </w:r>
          </w:p>
        </w:tc>
        <w:tc>
          <w:tcPr>
            <w:tcW w:type="dxa" w:w="1928"/>
          </w:tcPr>
          <w:p>
            <w:r/>
            <w:r>
              <w:rPr>
                <w:b w:val="0"/>
                <w:sz w:val="18"/>
              </w:rPr>
              <w:t>+0,0179 R</w:t>
            </w:r>
          </w:p>
        </w:tc>
        <w:tc>
          <w:tcPr>
            <w:tcW w:type="dxa" w:w="1928"/>
          </w:tcPr>
          <w:p>
            <w:r/>
            <w:r>
              <w:rPr>
                <w:b w:val="0"/>
                <w:sz w:val="18"/>
              </w:rPr>
              <w:t>+0,0398 R</w:t>
            </w:r>
          </w:p>
        </w:tc>
      </w:tr>
      <w:tr>
        <w:tc>
          <w:tcPr>
            <w:tcW w:type="dxa" w:w="1247"/>
          </w:tcPr>
          <w:p>
            <w:r/>
            <w:r>
              <w:rPr>
                <w:b w:val="0"/>
                <w:sz w:val="18"/>
              </w:rPr>
              <w:t>120</w:t>
            </w:r>
          </w:p>
        </w:tc>
        <w:tc>
          <w:tcPr>
            <w:tcW w:type="dxa" w:w="1247"/>
          </w:tcPr>
          <w:p>
            <w:r/>
            <w:r>
              <w:rPr>
                <w:b w:val="0"/>
                <w:sz w:val="18"/>
              </w:rPr>
              <w:t>34,3 %</w:t>
            </w:r>
          </w:p>
        </w:tc>
        <w:tc>
          <w:tcPr>
            <w:tcW w:type="dxa" w:w="1247"/>
          </w:tcPr>
          <w:p>
            <w:r/>
            <w:r>
              <w:rPr>
                <w:b w:val="0"/>
                <w:sz w:val="18"/>
              </w:rPr>
              <w:t>64,3 %</w:t>
            </w:r>
          </w:p>
        </w:tc>
        <w:tc>
          <w:tcPr>
            <w:tcW w:type="dxa" w:w="1474"/>
          </w:tcPr>
          <w:p>
            <w:r/>
            <w:r>
              <w:rPr>
                <w:b w:val="0"/>
                <w:sz w:val="18"/>
              </w:rPr>
              <w:t>1,4 %</w:t>
            </w:r>
          </w:p>
        </w:tc>
        <w:tc>
          <w:tcPr>
            <w:tcW w:type="dxa" w:w="1928"/>
          </w:tcPr>
          <w:p>
            <w:r/>
            <w:r>
              <w:rPr>
                <w:b w:val="0"/>
                <w:sz w:val="18"/>
              </w:rPr>
              <w:t>+0,0280 R</w:t>
            </w:r>
          </w:p>
        </w:tc>
        <w:tc>
          <w:tcPr>
            <w:tcW w:type="dxa" w:w="1928"/>
          </w:tcPr>
          <w:p>
            <w:r/>
            <w:r>
              <w:rPr>
                <w:b/>
                <w:sz w:val="18"/>
              </w:rPr>
              <w:t>+0,0430 R</w:t>
            </w:r>
          </w:p>
        </w:tc>
      </w:tr>
    </w:tbl>
    <w:p/>
    <w:p>
      <w:pPr>
        <w:spacing w:before="0" w:after="120"/>
      </w:pPr>
      <w:r>
        <w:rPr>
          <w:b w:val="0"/>
          <w:sz w:val="21"/>
        </w:rPr>
        <w:t>Median bis zur Auflösung: 3 Tage. 98,6 % lösen binnen 120 Tagen auf.</w:t>
      </w:r>
    </w:p>
    <w:p>
      <w:pPr>
        <w:spacing w:before="0" w:after="120"/>
      </w:pPr>
      <w:r>
        <w:rPr>
          <w:b w:val="0"/>
          <w:sz w:val="21"/>
        </w:rPr>
        <w:t>In der Produktion gibt es diesen Ausgang gar nicht: die Kette hat keinen Zeitausstieg, eine Position läuft bis Stop oder Ziel. Jeder flache Anker in der Messung ist damit ein Anker, den die Kalibrierung als Nicht-Treffer zählt, obwohl die Produktion ihn noch offen hätte.</w:t>
      </w:r>
    </w:p>
    <w:p>
      <w:pPr>
        <w:spacing w:before="120" w:after="200"/>
        <w:ind w:left="340"/>
      </w:pPr>
      <w:r>
        <w:rPr>
          <w:b/>
          <w:color w:val="1F3D6B"/>
          <w:sz w:val="21"/>
        </w:rPr>
        <w:t>Und ein Fund, der die Bewertung entlastet: unter den aufgelösten Ankern liegt die Trefferquote bei 34,8 %, die Formel setzt 33,3 %. Die Potentialformel stimmt für die Produktion. Kaputt ist die Messung, mit der wir sie füttern.</w:t>
      </w:r>
    </w:p>
    <w:p>
      <w:pPr>
        <w:pStyle w:val="Heading1"/>
      </w:pPr>
      <w:r>
        <w:t>Was heute umgestoßen wurde — auch von mir selbst</w:t>
      </w:r>
    </w:p>
    <w:p>
      <w:pPr>
        <w:spacing w:before="0" w:after="120"/>
      </w:pPr>
      <w:r>
        <w:rPr>
          <w:b w:val="0"/>
          <w:sz w:val="21"/>
        </w:rPr>
        <w:t>Sechs Aussagen sind im Lauf des Tages gefallen. Vier davon waren meine eigenen, und jede wurde von der jeweils nächsten Gegenprüfung gefangen — nicht von der ersten Messung.</w:t>
      </w:r>
    </w:p>
    <w:tbl>
      <w:tblPr>
        <w:tblStyle w:val="TableGrid"/>
        <w:tblW w:type="auto" w:w="0"/>
        <w:jc w:val="left"/>
        <w:tblLook w:firstColumn="1" w:firstRow="1" w:lastColumn="0" w:lastRow="0" w:noHBand="0" w:noVBand="1" w:val="04A0"/>
      </w:tblPr>
      <w:tblGrid>
        <w:gridCol w:w="4320"/>
        <w:gridCol w:w="4320"/>
      </w:tblGrid>
      <w:tr>
        <w:tc>
          <w:tcPr>
            <w:tcW w:type="dxa" w:w="3402"/>
            <w:shd w:fill="DDE3EA"/>
          </w:tcPr>
          <w:p>
            <w:r/>
            <w:r>
              <w:rPr>
                <w:b/>
                <w:sz w:val="18"/>
              </w:rPr>
              <w:t>Aussage</w:t>
            </w:r>
          </w:p>
        </w:tc>
        <w:tc>
          <w:tcPr>
            <w:tcW w:type="dxa" w:w="5669"/>
            <w:shd w:fill="DDE3EA"/>
          </w:tcPr>
          <w:p>
            <w:r/>
            <w:r>
              <w:rPr>
                <w:b/>
                <w:sz w:val="18"/>
              </w:rPr>
              <w:t>Warum sie fiel</w:t>
            </w:r>
          </w:p>
        </w:tc>
      </w:tr>
      <w:tr>
        <w:tc>
          <w:tcPr>
            <w:tcW w:type="dxa" w:w="3402"/>
          </w:tcPr>
          <w:p>
            <w:r/>
            <w:r>
              <w:rPr>
                <w:b w:val="0"/>
                <w:sz w:val="18"/>
              </w:rPr>
              <w:t>„Die Auswahl ist schädlich“</w:t>
            </w:r>
          </w:p>
        </w:tc>
        <w:tc>
          <w:tcPr>
            <w:tcW w:type="dxa" w:w="5669"/>
          </w:tcPr>
          <w:p>
            <w:r/>
            <w:r>
              <w:rPr>
                <w:b w:val="0"/>
                <w:sz w:val="18"/>
              </w:rPr>
              <w:t>Grundmengen-Artefakt: k = 2 aus 516 statt aus 40 Symbolen. Eine Regel mit fester Trefferzahl ist ohne ihre Grundmenge nicht definiert.</w:t>
            </w:r>
          </w:p>
        </w:tc>
      </w:tr>
      <w:tr>
        <w:tc>
          <w:tcPr>
            <w:tcW w:type="dxa" w:w="3402"/>
          </w:tcPr>
          <w:p>
            <w:r/>
            <w:r>
              <w:rPr>
                <w:b w:val="0"/>
                <w:sz w:val="18"/>
              </w:rPr>
              <w:t>„`vola` gehört registriert“</w:t>
            </w:r>
          </w:p>
        </w:tc>
        <w:tc>
          <w:tcPr>
            <w:tcW w:type="dxa" w:w="5669"/>
          </w:tcPr>
          <w:p>
            <w:r/>
            <w:r>
              <w:rPr>
                <w:b w:val="0"/>
                <w:sz w:val="18"/>
              </w:rPr>
              <w:t>An der Barrieren-Quote gemessen, die Auflösung und Richtung mischt. Richtungsrein bleibt nichts.</w:t>
            </w:r>
          </w:p>
        </w:tc>
      </w:tr>
      <w:tr>
        <w:tc>
          <w:tcPr>
            <w:tcW w:type="dxa" w:w="3402"/>
          </w:tcPr>
          <w:p>
            <w:r/>
            <w:r>
              <w:rPr>
                <w:b w:val="0"/>
                <w:sz w:val="18"/>
              </w:rPr>
              <w:t>„`turnover` ist nicht belegt, stilllegen“</w:t>
            </w:r>
          </w:p>
        </w:tc>
        <w:tc>
          <w:tcPr>
            <w:tcW w:type="dxa" w:w="5669"/>
          </w:tcPr>
          <w:p>
            <w:r/>
            <w:r>
              <w:rPr>
                <w:b w:val="0"/>
                <w:sz w:val="18"/>
              </w:rPr>
              <w:t>Stand auf demselben gemischten Maßstab. Richtungsrein ist es der stärkste der drei.</w:t>
            </w:r>
          </w:p>
        </w:tc>
      </w:tr>
      <w:tr>
        <w:tc>
          <w:tcPr>
            <w:tcW w:type="dxa" w:w="3402"/>
          </w:tcPr>
          <w:p>
            <w:r/>
            <w:r>
              <w:rPr>
                <w:b w:val="0"/>
                <w:sz w:val="18"/>
              </w:rPr>
              <w:t>„Die Registrierungsbasis H20/R ist kontaminiert“</w:t>
            </w:r>
          </w:p>
        </w:tc>
        <w:tc>
          <w:tcPr>
            <w:tcW w:type="dxa" w:w="5669"/>
          </w:tcPr>
          <w:p>
            <w:r/>
            <w:r>
              <w:rPr>
                <w:b w:val="0"/>
                <w:sz w:val="18"/>
              </w:rPr>
              <w:t>Zu stark formuliert. Belegt war das für H5 mit `vola`; bei H20 mit externen Kennzahlen feuert sie in keiner Kunstwelt.</w:t>
            </w:r>
          </w:p>
        </w:tc>
      </w:tr>
      <w:tr>
        <w:tc>
          <w:tcPr>
            <w:tcW w:type="dxa" w:w="3402"/>
          </w:tcPr>
          <w:p>
            <w:r/>
            <w:r>
              <w:rPr>
                <w:b w:val="0"/>
                <w:sz w:val="18"/>
              </w:rPr>
              <w:t>„`q` zählt einen wertlosen Kanal mit“</w:t>
            </w:r>
          </w:p>
        </w:tc>
        <w:tc>
          <w:tcPr>
            <w:tcW w:type="dxa" w:w="5669"/>
          </w:tcPr>
          <w:p>
            <w:r/>
            <w:r>
              <w:rPr>
                <w:b w:val="0"/>
                <w:sz w:val="18"/>
              </w:rPr>
              <w:t>Falsch adressiert. Die Kette hat keinen Zeitausstieg — der Fehler sitzt in der Messkonvention, nicht in der Formel.</w:t>
            </w:r>
          </w:p>
        </w:tc>
      </w:tr>
      <w:tr>
        <w:tc>
          <w:tcPr>
            <w:tcW w:type="dxa" w:w="3402"/>
          </w:tcPr>
          <w:p>
            <w:r/>
            <w:r>
              <w:rPr>
                <w:b w:val="0"/>
                <w:sz w:val="18"/>
              </w:rPr>
              <w:t>„Die Geometrie unterscheidet sich je vola-Drittel“</w:t>
            </w:r>
          </w:p>
        </w:tc>
        <w:tc>
          <w:tcPr>
            <w:tcW w:type="dxa" w:w="5669"/>
          </w:tcPr>
          <w:p>
            <w:r/>
            <w:r>
              <w:rPr>
                <w:b w:val="0"/>
                <w:sz w:val="18"/>
              </w:rPr>
              <w:t>Ausgabe des eigenen Skripts. Alle 36 von 36 Zellen bestanden, und die Kunstwelt hatte einen Strukturfehler.</w:t>
            </w:r>
          </w:p>
        </w:tc>
      </w:tr>
    </w:tbl>
    <w:p/>
    <w:p>
      <w:pPr>
        <w:pStyle w:val="Heading2"/>
      </w:pPr>
      <w:r>
        <w:t>Die methodischen Lehren</w:t>
      </w:r>
    </w:p>
    <w:p>
      <w:pPr>
        <w:pStyle w:val="ListBullet"/>
        <w:spacing w:after="60"/>
      </w:pPr>
      <w:r>
        <w:rPr>
          <w:sz w:val="20"/>
        </w:rPr>
        <w:t>Ein Nullpunkt muss herleitbar sein. Drei von vier Maßstäben feuerten in einer Welt ohne Richtung — alle vier mit sauberer Zufallskontrolle. Die Kontrolle mischt die Zuordnung, nicht die Mechanik.</w:t>
      </w:r>
    </w:p>
    <w:p>
      <w:pPr>
        <w:pStyle w:val="ListBullet"/>
        <w:spacing w:after="60"/>
      </w:pPr>
      <w:r>
        <w:rPr>
          <w:sz w:val="20"/>
        </w:rPr>
        <w:t>Zweiseitig prüfen. Derselbe Kanal kann je nach Ausrichtung der Kennzahl das Vorzeichen wechseln; ein einseitiges Kriterium sieht nur die halbe Welt.</w:t>
      </w:r>
    </w:p>
    <w:p>
      <w:pPr>
        <w:pStyle w:val="ListBullet"/>
        <w:spacing w:after="60"/>
      </w:pPr>
      <w:r>
        <w:rPr>
          <w:sz w:val="20"/>
        </w:rPr>
        <w:t>Gleichstand geht an den Stop. Werden beide Barrieren am selben Tag berührt, weiß die Tageskerze nicht, was zuerst kam — die optimistische Auflösung erfand bis zu +0,39 R.</w:t>
      </w:r>
    </w:p>
    <w:p>
      <w:pPr>
        <w:pStyle w:val="ListBullet"/>
        <w:spacing w:after="60"/>
      </w:pPr>
      <w:r>
        <w:rPr>
          <w:sz w:val="20"/>
        </w:rPr>
        <w:t>Die Kunstwelt muss geeicht sein. Der echte Markt hat eine doppelt so breite Tagesspanne relativ zur Schlusskurs-bewegung; ungeeicht unterschätzt man das Artefakt um das Doppelte.</w:t>
      </w:r>
    </w:p>
    <w:p>
      <w:pPr>
        <w:pStyle w:val="ListBullet"/>
        <w:spacing w:after="60"/>
      </w:pPr>
      <w:r>
        <w:rPr>
          <w:sz w:val="20"/>
        </w:rPr>
        <w:t>Eine Regel mit fester Trefferzahl ist Teil der Regel, nicht der Messbasis — die Grundmenge gehört mitgeprüft.</w:t>
      </w:r>
    </w:p>
    <w:p>
      <w:r>
        <w:br w:type="page"/>
      </w:r>
    </w:p>
    <w:p>
      <w:pPr>
        <w:pStyle w:val="Heading1"/>
      </w:pPr>
      <w:r>
        <w:t>Was offen ist</w:t>
      </w:r>
    </w:p>
    <w:tbl>
      <w:tblPr>
        <w:tblStyle w:val="TableGrid"/>
        <w:tblW w:type="auto" w:w="0"/>
        <w:jc w:val="left"/>
        <w:tblLook w:firstColumn="1" w:firstRow="1" w:lastColumn="0" w:lastRow="0" w:noHBand="0" w:noVBand="1" w:val="04A0"/>
      </w:tblPr>
      <w:tblGrid>
        <w:gridCol w:w="2880"/>
        <w:gridCol w:w="2880"/>
        <w:gridCol w:w="2880"/>
      </w:tblGrid>
      <w:tr>
        <w:tc>
          <w:tcPr>
            <w:tcW w:type="dxa" w:w="794"/>
            <w:shd w:fill="DDE3EA"/>
          </w:tcPr>
          <w:p>
            <w:r/>
            <w:r>
              <w:rPr>
                <w:b/>
                <w:sz w:val="18"/>
              </w:rPr>
              <w:t>Rang</w:t>
            </w:r>
          </w:p>
        </w:tc>
        <w:tc>
          <w:tcPr>
            <w:tcW w:type="dxa" w:w="2721"/>
            <w:shd w:fill="DDE3EA"/>
          </w:tcPr>
          <w:p>
            <w:r/>
            <w:r>
              <w:rPr>
                <w:b/>
                <w:sz w:val="18"/>
              </w:rPr>
              <w:t>Punkt</w:t>
            </w:r>
          </w:p>
        </w:tc>
        <w:tc>
          <w:tcPr>
            <w:tcW w:type="dxa" w:w="5556"/>
            <w:shd w:fill="DDE3EA"/>
          </w:tcPr>
          <w:p>
            <w:r/>
            <w:r>
              <w:rPr>
                <w:b/>
                <w:sz w:val="18"/>
              </w:rPr>
              <w:t>Warum</w:t>
            </w:r>
          </w:p>
        </w:tc>
      </w:tr>
      <w:tr>
        <w:tc>
          <w:tcPr>
            <w:tcW w:type="dxa" w:w="794"/>
          </w:tcPr>
          <w:p>
            <w:r/>
            <w:r>
              <w:rPr>
                <w:b w:val="0"/>
                <w:sz w:val="18"/>
              </w:rPr>
              <w:t>1</w:t>
            </w:r>
          </w:p>
        </w:tc>
        <w:tc>
          <w:tcPr>
            <w:tcW w:type="dxa" w:w="2721"/>
          </w:tcPr>
          <w:p>
            <w:r/>
            <w:r>
              <w:rPr>
                <w:b/>
                <w:sz w:val="18"/>
              </w:rPr>
              <w:t>`turnover`s Stufen neu herleiten</w:t>
            </w:r>
          </w:p>
        </w:tc>
        <w:tc>
          <w:tcPr>
            <w:tcW w:type="dxa" w:w="5556"/>
          </w:tcPr>
          <w:p>
            <w:r/>
            <w:r>
              <w:rPr>
                <w:b w:val="0"/>
                <w:sz w:val="18"/>
              </w:rPr>
              <w:t>Die Tabelle reproduziert nicht — gemessen −0,06293 gegen registriert +0,0616, Vorzeichen gedreht. Die Fünftel haben keine Ordnung, und es sind die größten Stufen im System (+3,15 / −2,40), live geschaltet. Belegte Form ist eine Zweiteilung.</w:t>
            </w:r>
          </w:p>
        </w:tc>
      </w:tr>
      <w:tr>
        <w:tc>
          <w:tcPr>
            <w:tcW w:type="dxa" w:w="794"/>
          </w:tcPr>
          <w:p>
            <w:r/>
            <w:r>
              <w:rPr>
                <w:b w:val="0"/>
                <w:sz w:val="18"/>
              </w:rPr>
              <w:t>2</w:t>
            </w:r>
          </w:p>
        </w:tc>
        <w:tc>
          <w:tcPr>
            <w:tcW w:type="dxa" w:w="2721"/>
          </w:tcPr>
          <w:p>
            <w:r/>
            <w:r>
              <w:rPr>
                <w:b/>
                <w:sz w:val="18"/>
              </w:rPr>
              <w:t>Auf den Aufgelösten kalibrieren</w:t>
            </w:r>
          </w:p>
        </w:tc>
        <w:tc>
          <w:tcPr>
            <w:tcW w:type="dxa" w:w="5556"/>
          </w:tcPr>
          <w:p>
            <w:r/>
            <w:r>
              <w:rPr>
                <w:b w:val="0"/>
                <w:sz w:val="18"/>
              </w:rPr>
              <w:t>31,4 % flach bei H5 verzerren jede Kalibrierung auf der rohen Barrieren-Quote. H20 ist mit 5,3 % deutlich sicherer — die Live-Registrierungen stehen dort.</w:t>
            </w:r>
          </w:p>
        </w:tc>
      </w:tr>
      <w:tr>
        <w:tc>
          <w:tcPr>
            <w:tcW w:type="dxa" w:w="794"/>
          </w:tcPr>
          <w:p>
            <w:r/>
            <w:r>
              <w:rPr>
                <w:b w:val="0"/>
                <w:sz w:val="18"/>
              </w:rPr>
              <w:t>3</w:t>
            </w:r>
          </w:p>
        </w:tc>
        <w:tc>
          <w:tcPr>
            <w:tcW w:type="dxa" w:w="2721"/>
          </w:tcPr>
          <w:p>
            <w:r/>
            <w:r>
              <w:rPr>
                <w:b w:val="0"/>
                <w:sz w:val="18"/>
              </w:rPr>
              <w:t>Die Gesamtkalibrierung (R-R9)</w:t>
            </w:r>
          </w:p>
        </w:tc>
        <w:tc>
          <w:tcPr>
            <w:tcW w:type="dxa" w:w="5556"/>
          </w:tcPr>
          <w:p>
            <w:r/>
            <w:r>
              <w:rPr>
                <w:b w:val="0"/>
                <w:sz w:val="18"/>
              </w:rPr>
              <w:t>Stufen, Schwelle, KALIBRIERT_FUER, Befundkarte 3.9. Hängt an 1 und 2, in dieser Reihenfolge.</w:t>
            </w:r>
          </w:p>
        </w:tc>
      </w:tr>
      <w:tr>
        <w:tc>
          <w:tcPr>
            <w:tcW w:type="dxa" w:w="794"/>
          </w:tcPr>
          <w:p>
            <w:r/>
            <w:r>
              <w:rPr>
                <w:b w:val="0"/>
                <w:sz w:val="18"/>
              </w:rPr>
              <w:t>4</w:t>
            </w:r>
          </w:p>
        </w:tc>
        <w:tc>
          <w:tcPr>
            <w:tcW w:type="dxa" w:w="2721"/>
          </w:tcPr>
          <w:p>
            <w:r/>
            <w:r>
              <w:rPr>
                <w:b w:val="0"/>
                <w:sz w:val="18"/>
              </w:rPr>
              <w:t>`vola`s Zuschreibung</w:t>
            </w:r>
          </w:p>
        </w:tc>
        <w:tc>
          <w:tcPr>
            <w:tcW w:type="dxa" w:w="5556"/>
          </w:tcPr>
          <w:p>
            <w:r/>
            <w:r>
              <w:rPr>
                <w:b w:val="0"/>
                <w:sz w:val="18"/>
              </w:rPr>
              <w:t>Braucht eine Kunstwelt mit Brownscher Brücke je Tag statt unabhängigem Hoch/Tief-Rauschen.</w:t>
            </w:r>
          </w:p>
        </w:tc>
      </w:tr>
      <w:tr>
        <w:tc>
          <w:tcPr>
            <w:tcW w:type="dxa" w:w="794"/>
          </w:tcPr>
          <w:p>
            <w:r/>
            <w:r>
              <w:rPr>
                <w:b w:val="0"/>
                <w:sz w:val="18"/>
              </w:rPr>
              <w:t>5</w:t>
            </w:r>
          </w:p>
        </w:tc>
        <w:tc>
          <w:tcPr>
            <w:tcW w:type="dxa" w:w="2721"/>
          </w:tcPr>
          <w:p>
            <w:r/>
            <w:r>
              <w:rPr>
                <w:b w:val="0"/>
                <w:sz w:val="18"/>
              </w:rPr>
              <w:t>Randmaß-Nachmessung aus N-52</w:t>
            </w:r>
          </w:p>
        </w:tc>
        <w:tc>
          <w:tcPr>
            <w:tcW w:type="dxa" w:w="5556"/>
          </w:tcPr>
          <w:p>
            <w:r/>
            <w:r>
              <w:rPr>
                <w:b w:val="0"/>
                <w:sz w:val="18"/>
              </w:rPr>
              <w:t>N1-V2 fand am Randmaß einen Richtungseffekt. Nicht widerlegt (andere Zielgröße), aber unter Verdacht.</w:t>
            </w:r>
          </w:p>
        </w:tc>
      </w:tr>
      <w:tr>
        <w:tc>
          <w:tcPr>
            <w:tcW w:type="dxa" w:w="794"/>
          </w:tcPr>
          <w:p>
            <w:r/>
            <w:r>
              <w:rPr>
                <w:b w:val="0"/>
                <w:sz w:val="18"/>
              </w:rPr>
              <w:t>6</w:t>
            </w:r>
          </w:p>
        </w:tc>
        <w:tc>
          <w:tcPr>
            <w:tcW w:type="dxa" w:w="2721"/>
          </w:tcPr>
          <w:p>
            <w:r/>
            <w:r>
              <w:rPr>
                <w:b w:val="0"/>
                <w:sz w:val="18"/>
              </w:rPr>
              <w:t>Die älteren Punkte im Plan</w:t>
            </w:r>
          </w:p>
        </w:tc>
        <w:tc>
          <w:tcPr>
            <w:tcW w:type="dxa" w:w="5556"/>
          </w:tcPr>
          <w:p>
            <w:r/>
            <w:r>
              <w:rPr>
                <w:b w:val="0"/>
                <w:sz w:val="18"/>
              </w:rPr>
              <w:t>N-18 bis N-51, darunter die vier blockierten Nicht-Krypto-Klassen und der Gabelpunkt F-164.</w:t>
            </w:r>
          </w:p>
        </w:tc>
      </w:tr>
    </w:tbl>
    <w:p/>
    <w:p>
      <w:pPr>
        <w:pStyle w:val="Heading1"/>
      </w:pPr>
      <w:r>
        <w:t>Der nächste Schritt</w:t>
      </w:r>
    </w:p>
    <w:p>
      <w:pPr>
        <w:spacing w:before="0" w:after="120"/>
      </w:pPr>
      <w:r>
        <w:rPr>
          <w:b w:val="0"/>
          <w:sz w:val="21"/>
        </w:rPr>
        <w:t>`turnover`s Stufen auf der belegten Form neu herleiten — Zweiteilung statt Fünfteilung, und zwar auf den aufgelösten Ankern statt auf der rohen Quote. Das ist der einzige Punkt, an dem heute eine live geschaltete Zahl nachweislich nicht hält, und er ist mit den vorliegenden Messungen erreichbar.</w:t>
      </w:r>
    </w:p>
    <w:p>
      <w:pPr>
        <w:spacing w:before="0" w:after="120"/>
      </w:pPr>
      <w:r>
        <w:rPr>
          <w:b w:val="0"/>
          <w:color w:val="555555"/>
          <w:sz w:val="21"/>
        </w:rPr>
        <w:t>Die Größe bleibt in jedem Fall: `turnover` trägt Richtung. Was fällt, ist allein die Tabelle.</w:t>
      </w:r>
    </w:p>
    <w:p/>
    <w:p>
      <w:pPr>
        <w:spacing w:before="0" w:after="120"/>
      </w:pPr>
      <w:r>
        <w:rPr>
          <w:b w:val="0"/>
          <w:color w:val="555555"/>
          <w:sz w:val="17"/>
        </w:rPr>
        <w:t>Erzeugt aus `erzeuge_stand_word.py`. Änderungen gehören in das Skript, nicht in diese Datei — sonst läuft sie vom Befundstand weg.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