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10 %</w:t>
            </w:r>
          </w:p>
        </w:tc>
        <w:tc>
          <w:tcPr>
            <w:tcW w:type="dxa" w:w="2324"/>
          </w:tcPr>
          <w:p>
            <w:r>
              <w:t>AKTIV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pBdr>
          <w:bottom w:val="single" w:sz="6" w:space="1" w:color="BFBFBF"/>
        </w:pBdr>
        <w:spacing w:before="40" w:after="200"/>
      </w:pPr>
    </w:p>
    <w:p>
      <w:pPr>
        <w:pStyle w:val="Heading1"/>
      </w:pPr>
      <w:r>
        <w:t>3. Regime-Steuerung — wie sich die Regeln je nach Marktlage anpassen (RG-1 bis RG-11)</w:t>
      </w:r>
    </w:p>
    <w:p>
      <w:pPr>
        <w:spacing w:after="160"/>
      </w:pPr>
      <w:r>
        <w:t xml:space="preserve">Grundidee: Die </w:t>
      </w:r>
      <w:r>
        <w:rPr>
          <w:i/>
        </w:rPr>
        <w:t>Struktur</w:t>
      </w:r>
      <w:r>
        <w:t xml:space="preserve">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7.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Bdr>
          <w:bottom w:val="single" w:sz="6" w:space="1" w:color="BFBFBF"/>
        </w:pBdr>
        <w:spacing w:before="40" w:after="200"/>
      </w:pPr>
    </w:p>
    <w:p>
      <w:pPr>
        <w:pStyle w:val="Heading1"/>
      </w:pPr>
      <w:r>
        <w:t>8.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RM-4 Cash-Reserve-Minimum (10 %)</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