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REGEL0 — die festgeschriebene Ausgangslage des Hebel-Neubaus — ✔ FESTGESCHRIEBEN 01.10.2026</w:t>
      </w:r>
    </w:p>
    <w:p>
      <w:pPr>
        <w:ind w:left="360"/>
      </w:pPr>
      <w:r>
        <w:rPr>
          <w:i/>
        </w:rPr>
        <w:t xml:space="preserve">⭐ </w:t>
      </w:r>
      <w:r>
        <w:rPr>
          <w:b/>
          <w:i/>
        </w:rPr>
        <w:t>Stand: FESTGESCHRIEBEN 01.10.2026</w:t>
      </w:r>
      <w:r>
        <w:rPr>
          <w:i/>
        </w:rPr>
        <w:t xml:space="preserve"> (Nutzer: </w:t>
      </w:r>
      <w:r>
        <w:rPr>
          <w:i/>
        </w:rPr>
        <w:t>„Ja, REGEL0 festschreiben, prüfen und gegenprüfen“</w:t>
      </w:r>
      <w:r>
        <w:rPr>
          <w:i/>
        </w:rPr>
        <w:t xml:space="preserve">, E-36), mit </w:t>
      </w:r>
      <w:r>
        <w:rPr>
          <w:b/>
          <w:i/>
        </w:rPr>
        <w:t>J</w:t>
      </w:r>
      <w:r>
        <w:rPr>
          <w:i/>
        </w:rPr>
        <w:t xml:space="preserve"> (2.698) und der bestätigten</w:t>
      </w:r>
    </w:p>
    <w:p>
      <w:pPr>
        <w:ind w:left="360"/>
      </w:pPr>
      <w:r>
        <w:rPr>
          <w:b/>
          <w:i/>
        </w:rPr>
        <w:t>Schwellenwahl</w:t>
      </w:r>
      <w:r>
        <w:rPr>
          <w:i/>
        </w:rPr>
        <w:t xml:space="preserve"> (2.699). Im Code: </w:t>
      </w:r>
      <w:r>
        <w:rPr>
          <w:rFonts w:ascii="Consolas" w:hAnsi="Consolas"/>
          <w:i/>
          <w:color w:val="882222"/>
          <w:sz w:val="18"/>
        </w:rPr>
        <w:t>hebel_neubau.REGEL0</w:t>
      </w:r>
      <w:r>
        <w:rPr>
          <w:i/>
        </w:rPr>
        <w:t>. Die Wache vergleicht die Referenzzahlen mit den Belegdateien.</w:t>
      </w:r>
    </w:p>
    <w:p>
      <w:pPr>
        <w:ind w:left="360"/>
      </w:pPr>
      <w:r>
        <w:rPr>
          <w:i/>
        </w:rPr>
        <w:t xml:space="preserve">Der Dateiname mit </w:t>
      </w:r>
      <w:r>
        <w:rPr>
          <w:i/>
        </w:rPr>
        <w:t>Entwurf</w:t>
      </w:r>
      <w:r>
        <w:rPr>
          <w:i/>
        </w:rPr>
        <w:t xml:space="preserve"> ist historisch und bleibt, damit die Verweise gelten. Entstanden als Entwurf am 30.09.2026.</w:t>
      </w:r>
    </w:p>
    <w:p>
      <w:pPr>
        <w:ind w:left="360"/>
      </w:pPr>
      <w:r>
        <w:rPr>
          <w:i/>
        </w:rPr>
        <w:t xml:space="preserve">⭐ </w:t>
      </w:r>
      <w:r>
        <w:rPr>
          <w:b/>
          <w:i/>
        </w:rPr>
        <w:t>Fassung 0.1 seit 02.10.2026</w:t>
      </w:r>
      <w:r>
        <w:rPr>
          <w:i/>
        </w:rPr>
        <w:t xml:space="preserve"> (2.708, Abschnitt 13): dieselbe Regel in </w:t>
      </w:r>
      <w:r>
        <w:rPr>
          <w:b/>
          <w:i/>
        </w:rPr>
        <w:t>kausaler</w:t>
      </w:r>
      <w:r>
        <w:rPr>
          <w:i/>
        </w:rPr>
        <w:t xml:space="preserve"> Rechenform. Die Einstiege sind in 3 von 4 Mengen und in der Betriebsreferenz </w:t>
      </w:r>
      <w:r>
        <w:rPr>
          <w:b/>
          <w:i/>
        </w:rPr>
        <w:t>bitgleich</w:t>
      </w:r>
      <w:r>
        <w:rPr>
          <w:i/>
        </w:rPr>
        <w:t>.</w:t>
      </w:r>
    </w:p>
    <w:p>
      <w:pPr>
        <w:jc w:val="left"/>
      </w:pPr>
      <w:r>
        <w:rPr>
          <w:b/>
        </w:rPr>
        <w:t>Nutzer 30.09.2026:</w:t>
      </w:r>
      <w:r>
        <w:t xml:space="preserve"> </w:t>
      </w:r>
      <w:r>
        <w:rPr>
          <w:i/>
        </w:rPr>
        <w:t>„Offenbar haben wir einen stabilen Stand bzw. eine Ausgangslage, welche in eine REGEL0 mit allen korrekten Parametern festgeschrieben werden muss, und mit allen uns zur Verfügung stehenden Mitteln das Regelwerk optimieren und ausreizen."</w:t>
      </w:r>
      <w:r>
        <w:t xml:space="preserve"> Dazu: </w:t>
      </w:r>
      <w:r>
        <w:rPr>
          <w:i/>
        </w:rPr>
        <w:t>„A und B sind Optionen, die ohnehin sinnvoll sind. C, D, E sehe ich aktuell gar nicht als Option für unseren Umbau."</w:t>
      </w:r>
    </w:p>
    <w:p>
      <w:pPr>
        <w:ind w:left="360"/>
      </w:pPr>
      <w:r>
        <w:rPr>
          <w:b/>
          <w:i/>
        </w:rPr>
        <w:t>Zweck:</w:t>
      </w:r>
      <w:r>
        <w:rPr>
          <w:i/>
        </w:rPr>
        <w:t xml:space="preserve"> REGEL0 ist der </w:t>
      </w:r>
      <w:r>
        <w:rPr>
          <w:b/>
          <w:i/>
        </w:rPr>
        <w:t>Nullstand</w:t>
      </w:r>
      <w:r>
        <w:rPr>
          <w:i/>
        </w:rPr>
        <w:t xml:space="preserve">. Jede weitere Optimierung wird </w:t>
      </w:r>
      <w:r>
        <w:rPr>
          <w:b/>
          <w:i/>
        </w:rPr>
        <w:t>gegen REGEL0</w:t>
      </w:r>
      <w:r>
        <w:rPr>
          <w:i/>
        </w:rPr>
        <w:t xml:space="preserve"> gemessen (R-R11: erst REGEL0 bitgleich</w:t>
      </w:r>
    </w:p>
    <w:p>
      <w:pPr>
        <w:ind w:left="360"/>
      </w:pPr>
      <w:r>
        <w:rPr>
          <w:i/>
        </w:rPr>
        <w:t>reproduzieren, dann ändern). Die Parameter stammen aus den Befunden 2.688–2.699.</w:t>
      </w:r>
    </w:p>
    <w:p>
      <w:pPr>
        <w:spacing w:before="120"/>
      </w:pPr>
      <w:r>
        <w:rPr>
          <w:color w:val="AAAAAA"/>
        </w:rPr>
        <w:t>────────────────────────────────────────────────────────────</w:t>
      </w:r>
    </w:p>
    <w:p>
      <w:pPr>
        <w:pStyle w:val="Heading2"/>
      </w:pPr>
      <w:r>
        <w:t>1. Grundgesamtheit und Daten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REGEL0</w:t>
            </w:r>
          </w:p>
        </w:tc>
        <w:tc>
          <w:tcPr>
            <w:tcW w:type="dxa" w:w="2880"/>
          </w:tcPr>
          <w:p>
            <w:r>
              <w:rPr>
                <w:b/>
              </w:rPr>
            </w:r>
            <w:r>
              <w:rPr>
                <w:b/>
              </w:rPr>
              <w:t>Befund</w:t>
            </w:r>
          </w:p>
        </w:tc>
      </w:tr>
      <w:tr>
        <w:tc>
          <w:tcPr>
            <w:tcW w:type="dxa" w:w="2880"/>
          </w:tcPr>
          <w:p>
            <w:r/>
            <w:r>
              <w:t>Messbasis</w:t>
            </w:r>
          </w:p>
        </w:tc>
        <w:tc>
          <w:tcPr>
            <w:tcW w:type="dxa" w:w="2880"/>
          </w:tcPr>
          <w:p>
            <w:r/>
            <w:r>
              <w:t xml:space="preserve">Binance-Stundenkurse und Terminmarkt, </w:t>
            </w:r>
            <w:r>
              <w:rPr>
                <w:b/>
              </w:rPr>
              <w:t>mit den eingestellten Paaren</w:t>
            </w:r>
            <w:r>
              <w:t xml:space="preserve"> (</w:t>
            </w:r>
            <w:r>
              <w:rPr>
                <w:rFonts w:ascii="Consolas" w:hAnsi="Consolas"/>
                <w:color w:val="882222"/>
                <w:sz w:val="18"/>
              </w:rPr>
              <w:t>--menge unverzerrt</w:t>
            </w:r>
            <w:r>
              <w:t>)</w:t>
            </w:r>
          </w:p>
        </w:tc>
        <w:tc>
          <w:tcPr>
            <w:tcW w:type="dxa" w:w="2880"/>
          </w:tcPr>
          <w:p>
            <w:r/>
            <w:r>
              <w:t>2.668/2.669</w:t>
            </w:r>
          </w:p>
        </w:tc>
      </w:tr>
      <w:tr>
        <w:tc>
          <w:tcPr>
            <w:tcW w:type="dxa" w:w="2880"/>
          </w:tcPr>
          <w:p>
            <w:r/>
            <w:r>
              <w:t>Zeitraum</w:t>
            </w:r>
          </w:p>
        </w:tc>
        <w:tc>
          <w:tcPr>
            <w:tcW w:type="dxa" w:w="2880"/>
          </w:tcPr>
          <w:p>
            <w:r/>
            <w:r>
              <w:t xml:space="preserve">Wahl </w:t>
            </w:r>
            <w:r>
              <w:rPr>
                <w:b/>
              </w:rPr>
              <w:t>2024</w:t>
            </w:r>
            <w:r>
              <w:t xml:space="preserve">, Bestätigung einmal </w:t>
            </w:r>
            <w:r>
              <w:rPr>
                <w:b/>
              </w:rPr>
              <w:t>2025-01..2026-08</w:t>
            </w:r>
            <w:r>
              <w:t>, 2022 nur Gegenprobe</w:t>
            </w:r>
          </w:p>
        </w:tc>
        <w:tc>
          <w:tcPr>
            <w:tcW w:type="dxa" w:w="2880"/>
          </w:tcPr>
          <w:p>
            <w:r/>
            <w:r>
              <w:t>E-21</w:t>
            </w:r>
          </w:p>
        </w:tc>
      </w:tr>
      <w:tr>
        <w:tc>
          <w:tcPr>
            <w:tcW w:type="dxa" w:w="2880"/>
          </w:tcPr>
          <w:p>
            <w:r/>
            <w:r>
              <w:t>Urteil</w:t>
            </w:r>
          </w:p>
        </w:tc>
        <w:tc>
          <w:tcPr>
            <w:tcW w:type="dxa" w:w="2880"/>
          </w:tcPr>
          <w:p>
            <w:r/>
            <w:r>
              <w:t xml:space="preserve">≥ 3 von 4 Mengen (bestand, unverzerrt:1–3). Laufen sie auseinander, gilt </w:t>
            </w:r>
            <w:r>
              <w:rPr>
                <w:b/>
              </w:rPr>
              <w:t>unverzerrt</w:t>
            </w:r>
          </w:p>
        </w:tc>
        <w:tc>
          <w:tcPr>
            <w:tcW w:type="dxa" w:w="2880"/>
          </w:tcPr>
          <w:p>
            <w:r/>
            <w:r>
              <w:t>E-30</w:t>
            </w:r>
          </w:p>
        </w:tc>
      </w:tr>
      <w:tr>
        <w:tc>
          <w:tcPr>
            <w:tcW w:type="dxa" w:w="2880"/>
          </w:tcPr>
          <w:p>
            <w:r/>
            <w:r>
              <w:t>Grundgesamtheit</w:t>
            </w:r>
          </w:p>
        </w:tc>
        <w:tc>
          <w:tcPr>
            <w:tcW w:type="dxa" w:w="2880"/>
          </w:tcPr>
          <w:p>
            <w:r/>
            <w:r>
              <w:t xml:space="preserve">Betrieb und Messung brauchen </w:t>
            </w:r>
            <w:r>
              <w:rPr>
                <w:b/>
              </w:rPr>
              <w:t>dieselbe</w:t>
            </w:r>
            <w:r>
              <w:t>, weil die v̂-Skala an der Menge hängt</w:t>
            </w:r>
          </w:p>
        </w:tc>
        <w:tc>
          <w:tcPr>
            <w:tcW w:type="dxa" w:w="2880"/>
          </w:tcPr>
          <w:p>
            <w:r/>
            <w:r>
              <w:t>E-31, CLAUDE.md</w:t>
            </w:r>
          </w:p>
        </w:tc>
      </w:tr>
    </w:tbl>
    <w:p/>
    <w:p>
      <w:pPr>
        <w:pStyle w:val="Heading2"/>
      </w:pPr>
      <w:r>
        <w:t>2. Bewertung 1 — der Einstieg (Rolle A, *ob*)</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Parameter</w:t>
            </w:r>
          </w:p>
        </w:tc>
        <w:tc>
          <w:tcPr>
            <w:tcW w:type="dxa" w:w="2880"/>
          </w:tcPr>
          <w:p>
            <w:r>
              <w:rPr>
                <w:b/>
              </w:rPr>
            </w:r>
            <w:r>
              <w:rPr>
                <w:b/>
              </w:rPr>
              <w:t>REGEL0</w:t>
            </w:r>
          </w:p>
        </w:tc>
        <w:tc>
          <w:tcPr>
            <w:tcW w:type="dxa" w:w="2880"/>
          </w:tcPr>
          <w:p>
            <w:r>
              <w:rPr>
                <w:b/>
              </w:rPr>
            </w:r>
            <w:r>
              <w:rPr>
                <w:b/>
              </w:rPr>
              <w:t>Befund</w:t>
            </w:r>
          </w:p>
        </w:tc>
      </w:tr>
      <w:tr>
        <w:tc>
          <w:tcPr>
            <w:tcW w:type="dxa" w:w="2880"/>
          </w:tcPr>
          <w:p>
            <w:r/>
            <w:r>
              <w:t>Beitrag</w:t>
            </w:r>
          </w:p>
        </w:tc>
        <w:tc>
          <w:tcPr>
            <w:tcW w:type="dxa" w:w="2880"/>
          </w:tcPr>
          <w:p>
            <w:r/>
            <w:r>
              <w:rPr>
                <w:b/>
              </w:rPr>
              <w:t>rsi</w:t>
            </w:r>
            <w:r>
              <w:t xml:space="preserve">: rollierendes Kurvenmodell (Form b, 12 Stufen, </w:t>
            </w:r>
            <w:r>
              <w:rPr>
                <w:rFonts w:ascii="Consolas" w:hAnsi="Consolas"/>
                <w:color w:val="882222"/>
                <w:sz w:val="18"/>
              </w:rPr>
              <w:t>rsi_s</w:t>
            </w:r>
            <w:r>
              <w:t xml:space="preserve"> und </w:t>
            </w:r>
            <w:r>
              <w:rPr>
                <w:rFonts w:ascii="Consolas" w:hAnsi="Consolas"/>
                <w:color w:val="882222"/>
                <w:sz w:val="18"/>
              </w:rPr>
              <w:t>rsi_s24</w:t>
            </w:r>
            <w:r>
              <w:t xml:space="preserve">), </w:t>
            </w:r>
            <w:r>
              <w:rPr>
                <w:b/>
              </w:rPr>
              <w:t>monatlich</w:t>
            </w:r>
            <w:r>
              <w:t xml:space="preserve"> neu geschätzt, Training ab 2023-01 bis Monatsbeginn −24 h, nur </w:t>
            </w:r>
            <w:r>
              <w:rPr>
                <w:b/>
              </w:rPr>
              <w:t>reife</w:t>
            </w:r>
            <w:r>
              <w:t xml:space="preserve"> Stunden. ⚠️ Im Betrieb ist das ein Monatstraining am Notebook (Bauaufgabe, Schritt 7)</w:t>
            </w:r>
          </w:p>
        </w:tc>
        <w:tc>
          <w:tcPr>
            <w:tcW w:type="dxa" w:w="2880"/>
          </w:tcPr>
          <w:p>
            <w:r/>
            <w:r>
              <w:t>2.683/2.684, 2.688</w:t>
            </w:r>
          </w:p>
        </w:tc>
      </w:tr>
      <w:tr>
        <w:tc>
          <w:tcPr>
            <w:tcW w:type="dxa" w:w="2880"/>
          </w:tcPr>
          <w:p>
            <w:r/>
            <w:r>
              <w:rPr>
                <w:b/>
              </w:rPr>
              <w:t>eigenes Normal</w:t>
            </w:r>
            <w:r>
              <w:t xml:space="preserve"> (J)</w:t>
            </w:r>
          </w:p>
        </w:tc>
        <w:tc>
          <w:tcPr>
            <w:tcW w:type="dxa" w:w="2880"/>
          </w:tcPr>
          <w:p>
            <w:r/>
            <w:r>
              <w:t xml:space="preserve">aus der vorhandenen Historie ab </w:t>
            </w:r>
            <w:r>
              <w:rPr>
                <w:b/>
              </w:rPr>
              <w:t>240 h</w:t>
            </w:r>
            <w:r>
              <w:t xml:space="preserve">, geschrumpft an Marktmitte und τ² der reifen Assets. </w:t>
            </w:r>
            <w:r>
              <w:rPr>
                <w:b/>
              </w:rPr>
              <w:t>Mindesthistorie der Regel: 10 Tage</w:t>
            </w:r>
          </w:p>
        </w:tc>
        <w:tc>
          <w:tcPr>
            <w:tcW w:type="dxa" w:w="2880"/>
          </w:tcPr>
          <w:p>
            <w:r/>
            <w:r>
              <w:t>2.698</w:t>
            </w:r>
          </w:p>
        </w:tc>
      </w:tr>
      <w:tr>
        <w:tc>
          <w:tcPr>
            <w:tcW w:type="dxa" w:w="2880"/>
          </w:tcPr>
          <w:p>
            <w:r/>
            <w:r>
              <w:t>Dämpfung</w:t>
            </w:r>
          </w:p>
        </w:tc>
        <w:tc>
          <w:tcPr>
            <w:tcW w:type="dxa" w:w="2880"/>
          </w:tcPr>
          <w:p>
            <w:r/>
            <w:r>
              <w:t xml:space="preserve">Kreuzvalidierung über 4 Zeitblöcke, Raster </w:t>
            </w:r>
            <w:r>
              <w:rPr>
                <w:rFonts w:ascii="Consolas" w:hAnsi="Consolas"/>
                <w:color w:val="882222"/>
                <w:sz w:val="18"/>
              </w:rPr>
              <w:t>GITTER_NEU</w:t>
            </w:r>
            <w:r>
              <w:t xml:space="preserve"> (20 … 2.000.000)</w:t>
            </w:r>
          </w:p>
        </w:tc>
        <w:tc>
          <w:tcPr>
            <w:tcW w:type="dxa" w:w="2880"/>
          </w:tcPr>
          <w:p>
            <w:r/>
            <w:r>
              <w:t>M1-1 ⚠️ grob, siehe B</w:t>
            </w:r>
          </w:p>
        </w:tc>
      </w:tr>
      <w:tr>
        <w:tc>
          <w:tcPr>
            <w:tcW w:type="dxa" w:w="2880"/>
          </w:tcPr>
          <w:p>
            <w:r/>
            <w:r>
              <w:t>Vorsprung</w:t>
            </w:r>
          </w:p>
        </w:tc>
        <w:tc>
          <w:tcPr>
            <w:tcW w:type="dxa" w:w="2880"/>
          </w:tcPr>
          <w:p>
            <w:r/>
            <w:r>
              <w:t xml:space="preserve">v̂ = expit(logit(QSh) + Beitrag) − QSh, </w:t>
            </w:r>
            <w:r>
              <w:rPr>
                <w:b/>
              </w:rPr>
              <w:t>QSh</w:t>
            </w:r>
            <w:r>
              <w:t xml:space="preserve"> = geschrumpftes Normal (stündlich). </w:t>
            </w:r>
            <w:r>
              <w:rPr>
                <w:b/>
              </w:rPr>
              <w:t>Fassung 0.1:</w:t>
            </w:r>
            <w:r>
              <w:t xml:space="preserve"> Marktmitte, τ² und Schrumpfung aus dem </w:t>
            </w:r>
            <w:r>
              <w:rPr>
                <w:b/>
              </w:rPr>
              <w:t>Vormonat</w:t>
            </w:r>
            <w:r>
              <w:t xml:space="preserve"> (kausal). ⚠️ τ² ist in 31 von 33 Monaten </w:t>
            </w:r>
            <w:r>
              <w:rPr>
                <w:b/>
              </w:rPr>
              <w:t>null</w:t>
            </w:r>
            <w:r>
              <w:t xml:space="preserve">: QSh ist damit fast immer die </w:t>
            </w:r>
            <w:r>
              <w:rPr>
                <w:b/>
              </w:rPr>
              <w:t>Marktmitte</w:t>
            </w:r>
            <w:r>
              <w:t xml:space="preserve"> des Monats</w:t>
            </w:r>
          </w:p>
        </w:tc>
        <w:tc>
          <w:tcPr>
            <w:tcW w:type="dxa" w:w="2880"/>
          </w:tcPr>
          <w:p>
            <w:r/>
            <w:r>
              <w:t xml:space="preserve">2.684, </w:t>
            </w:r>
            <w:r>
              <w:rPr>
                <w:b/>
              </w:rPr>
              <w:t>2.708</w:t>
            </w:r>
          </w:p>
        </w:tc>
      </w:tr>
      <w:tr>
        <w:tc>
          <w:tcPr>
            <w:tcW w:type="dxa" w:w="2880"/>
          </w:tcPr>
          <w:p>
            <w:r/>
            <w:r>
              <w:rPr>
                <w:b/>
              </w:rPr>
              <w:t>Ereignis</w:t>
            </w:r>
          </w:p>
        </w:tc>
        <w:tc>
          <w:tcPr>
            <w:tcW w:type="dxa" w:w="2880"/>
          </w:tcPr>
          <w:p>
            <w:r/>
            <w:r>
              <w:rPr>
                <w:b/>
              </w:rPr>
              <w:t>Ersteintritt</w:t>
            </w:r>
            <w:r>
              <w:t xml:space="preserve">: erste Stunde mit </w:t>
            </w:r>
            <w:r>
              <w:rPr>
                <w:b/>
              </w:rPr>
              <w:t>v̂ ≥ +0,035</w:t>
            </w:r>
          </w:p>
        </w:tc>
        <w:tc>
          <w:tcPr>
            <w:tcW w:type="dxa" w:w="2880"/>
          </w:tcPr>
          <w:p>
            <w:r/>
            <w:r>
              <w:t>2.687/2.688 (per Regel auf 2024)</w:t>
            </w:r>
          </w:p>
        </w:tc>
      </w:tr>
      <w:tr>
        <w:tc>
          <w:tcPr>
            <w:tcW w:type="dxa" w:w="2880"/>
          </w:tcPr>
          <w:p>
            <w:r/>
            <w:r>
              <w:rPr>
                <w:b/>
              </w:rPr>
              <w:t>Ruhe davor</w:t>
            </w:r>
          </w:p>
        </w:tc>
        <w:tc>
          <w:tcPr>
            <w:tcW w:type="dxa" w:w="2880"/>
          </w:tcPr>
          <w:p>
            <w:r/>
            <w:r>
              <w:rPr>
                <w:b/>
              </w:rPr>
              <w:t>48 h</w:t>
            </w:r>
            <w:r>
              <w:t xml:space="preserve"> unter der Schwelle (≥ 40 gültige Stunden)</w:t>
            </w:r>
          </w:p>
        </w:tc>
        <w:tc>
          <w:tcPr>
            <w:tcW w:type="dxa" w:w="2880"/>
          </w:tcPr>
          <w:p>
            <w:r/>
            <w:r>
              <w:t>2.691/2.692/2.694</w:t>
            </w:r>
          </w:p>
        </w:tc>
      </w:tr>
      <w:tr>
        <w:tc>
          <w:tcPr>
            <w:tcW w:type="dxa" w:w="2880"/>
          </w:tcPr>
          <w:p>
            <w:r/>
            <w:r>
              <w:t>Einstieg</w:t>
            </w:r>
          </w:p>
        </w:tc>
        <w:tc>
          <w:tcPr>
            <w:tcW w:type="dxa" w:w="2880"/>
          </w:tcPr>
          <w:p>
            <w:r/>
            <w:r>
              <w:rPr>
                <w:b/>
              </w:rPr>
              <w:t>1 h</w:t>
            </w:r>
            <w:r>
              <w:t xml:space="preserve"> nach dem Signal, nicht in den ersten 24 h eines Monats</w:t>
            </w:r>
          </w:p>
        </w:tc>
        <w:tc>
          <w:tcPr>
            <w:tcW w:type="dxa" w:w="2880"/>
          </w:tcPr>
          <w:p>
            <w:r/>
            <w:r>
              <w:t>2.688</w:t>
            </w:r>
          </w:p>
        </w:tc>
      </w:tr>
      <w:tr>
        <w:tc>
          <w:tcPr>
            <w:tcW w:type="dxa" w:w="2880"/>
          </w:tcPr>
          <w:p>
            <w:r/>
            <w:r>
              <w:rPr>
                <w:b/>
              </w:rPr>
              <w:t>Prüfzeitpunkt</w:t>
            </w:r>
            <w:r>
              <w:t xml:space="preserve"> (Betrieb, 02.10.)</w:t>
            </w:r>
          </w:p>
        </w:tc>
        <w:tc>
          <w:tcPr>
            <w:tcW w:type="dxa" w:w="2880"/>
          </w:tcPr>
          <w:p>
            <w:r/>
            <w:r>
              <w:rPr>
                <w:b/>
              </w:rPr>
              <w:t>jede volle Stunde</w:t>
            </w:r>
            <w:r>
              <w:t xml:space="preserve"> nach Kerzenschluss (UTC), </w:t>
            </w:r>
            <w:r>
              <w:rPr>
                <w:b/>
              </w:rPr>
              <w:t>alle</w:t>
            </w:r>
            <w:r>
              <w:t xml:space="preserve"> Assets. Eine Änderung der Lage sieht das System also spätestens nach einer Stunde</w:t>
            </w:r>
          </w:p>
        </w:tc>
        <w:tc>
          <w:tcPr>
            <w:tcW w:type="dxa" w:w="2880"/>
          </w:tcPr>
          <w:p>
            <w:r/>
            <w:r>
              <w:t>Nutzer 02.10.</w:t>
            </w:r>
          </w:p>
        </w:tc>
      </w:tr>
      <w:tr>
        <w:tc>
          <w:tcPr>
            <w:tcW w:type="dxa" w:w="2880"/>
          </w:tcPr>
          <w:p>
            <w:r/>
            <w:r>
              <w:rPr>
                <w:b/>
              </w:rPr>
              <w:t>Cooldown</w:t>
            </w:r>
            <w:r>
              <w:t xml:space="preserve"> (Betrieb, 02.10.)</w:t>
            </w:r>
          </w:p>
        </w:tc>
        <w:tc>
          <w:tcPr>
            <w:tcW w:type="dxa" w:w="2880"/>
          </w:tcPr>
          <w:p>
            <w:r/>
            <w:r>
              <w:rPr>
                <w:b/>
              </w:rPr>
              <w:t>kein eigener.</w:t>
            </w:r>
            <w:r>
              <w:t xml:space="preserve"> Die Ruhe 48 h wirkt </w:t>
            </w:r>
            <w:r>
              <w:rPr>
                <w:b/>
              </w:rPr>
              <w:t>je Asset</w:t>
            </w:r>
            <w:r>
              <w:t xml:space="preserve">. Gemessen: Zwei Signale desselben Assets liegen mindestens </w:t>
            </w:r>
            <w:r>
              <w:rPr>
                <w:b/>
              </w:rPr>
              <w:t>49 h</w:t>
            </w:r>
            <w:r>
              <w:t xml:space="preserve"> auseinander, im Median </w:t>
            </w:r>
            <w:r>
              <w:rPr>
                <w:b/>
              </w:rPr>
              <w:t>6,8 Tage</w:t>
            </w:r>
            <w:r>
              <w:t xml:space="preserve">. Damit gibt es höchstens </w:t>
            </w:r>
            <w:r>
              <w:rPr>
                <w:b/>
              </w:rPr>
              <w:t>eine</w:t>
            </w:r>
            <w:r>
              <w:t xml:space="preserve"> Position je Asset (Haltedauer 24 h &lt; Ruhe). Andere Assets können in jeder Stunde signalisieren</w:t>
            </w:r>
          </w:p>
        </w:tc>
        <w:tc>
          <w:tcPr>
            <w:tcW w:type="dxa" w:w="2880"/>
          </w:tcPr>
          <w:p>
            <w:r/>
            <w:r>
              <w:t>gemessen 02.10.</w:t>
            </w:r>
          </w:p>
        </w:tc>
      </w:tr>
      <w:tr>
        <w:tc>
          <w:tcPr>
            <w:tcW w:type="dxa" w:w="2880"/>
          </w:tcPr>
          <w:p>
            <w:r/>
            <w:r>
              <w:t>Zielgröße (Maß)</w:t>
            </w:r>
          </w:p>
        </w:tc>
        <w:tc>
          <w:tcPr>
            <w:tcW w:type="dxa" w:w="2880"/>
          </w:tcPr>
          <w:p>
            <w:r/>
            <w:r>
              <w:t>q5: +5 % vor −5 % binnen 24 h, gegen das geschrumpfte Normal</w:t>
            </w:r>
          </w:p>
        </w:tc>
        <w:tc>
          <w:tcPr>
            <w:tcW w:type="dxa" w:w="2880"/>
          </w:tcPr>
          <w:p>
            <w:r/>
            <w:r>
              <w:t>K4</w:t>
            </w:r>
          </w:p>
        </w:tc>
      </w:tr>
      <w:tr>
        <w:tc>
          <w:tcPr>
            <w:tcW w:type="dxa" w:w="2880"/>
          </w:tcPr>
          <w:p>
            <w:r/>
            <w:r>
              <w:rPr>
                <w:b/>
              </w:rPr>
              <w:t>REGEL1-Kandidat</w:t>
            </w:r>
            <w:r>
              <w:t xml:space="preserve"> (Nutzer 02.10.)</w:t>
            </w:r>
          </w:p>
        </w:tc>
        <w:tc>
          <w:tcPr>
            <w:tcW w:type="dxa" w:w="2880"/>
          </w:tcPr>
          <w:p>
            <w:r/>
            <w:r>
              <w:rPr>
                <w:b/>
              </w:rPr>
              <w:t>Fortsetzung</w:t>
            </w:r>
            <w:r>
              <w:t>: ein eigener Einstiegstyp für Assets, die nach dem Signal stark weiterlaufen. Heute ist ein zweiter Einstieg erst nach der Ruhe möglich</w:t>
            </w:r>
          </w:p>
        </w:tc>
        <w:tc>
          <w:tcPr>
            <w:tcW w:type="dxa" w:w="2880"/>
          </w:tcPr>
          <w:p>
            <w:r/>
            <w:r>
              <w:t>offen</w:t>
            </w:r>
          </w:p>
        </w:tc>
      </w:tr>
      <w:tr>
        <w:tc>
          <w:tcPr>
            <w:tcW w:type="dxa" w:w="2880"/>
          </w:tcPr>
          <w:p>
            <w:r/>
            <w:r>
              <w:rPr>
                <w:b/>
              </w:rPr>
              <w:t>nicht</w:t>
            </w:r>
            <w:r>
              <w:t xml:space="preserve"> Teil von REGEL0</w:t>
            </w:r>
          </w:p>
        </w:tc>
        <w:tc>
          <w:tcPr>
            <w:tcW w:type="dxa" w:w="2880"/>
          </w:tcPr>
          <w:p>
            <w:r/>
            <w:r>
              <w:t>Stärke (ordnet nicht, 2.691) · Wucht als Einstieg (Bewegung, 2.693) · Tempo, Tiefe, Ruhe 72 h (2.695) · Kern-Short (Spur, 2.696) · K_IG-Kontext (Auskunft, 2.697)</w:t>
            </w:r>
          </w:p>
        </w:tc>
        <w:tc>
          <w:tcPr>
            <w:tcW w:type="dxa" w:w="2880"/>
          </w:tcPr>
          <w:p>
            <w:r/>
          </w:p>
        </w:tc>
      </w:tr>
    </w:tbl>
    <w:p/>
    <w:p>
      <w:pPr>
        <w:pStyle w:val="Heading2"/>
      </w:pPr>
      <w:r>
        <w:t>3. Bewertung 2 — der Hebel (Rolle C, *wie viel*)</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Parameter</w:t>
            </w:r>
          </w:p>
        </w:tc>
        <w:tc>
          <w:tcPr>
            <w:tcW w:type="dxa" w:w="2880"/>
          </w:tcPr>
          <w:p>
            <w:r>
              <w:rPr>
                <w:b/>
              </w:rPr>
            </w:r>
            <w:r>
              <w:rPr>
                <w:b/>
              </w:rPr>
              <w:t>REGEL0</w:t>
            </w:r>
          </w:p>
        </w:tc>
        <w:tc>
          <w:tcPr>
            <w:tcW w:type="dxa" w:w="2880"/>
          </w:tcPr>
          <w:p>
            <w:r>
              <w:rPr>
                <w:b/>
              </w:rPr>
            </w:r>
            <w:r>
              <w:rPr>
                <w:b/>
              </w:rPr>
              <w:t>Befund</w:t>
            </w:r>
          </w:p>
        </w:tc>
      </w:tr>
      <w:tr>
        <w:tc>
          <w:tcPr>
            <w:tcW w:type="dxa" w:w="2880"/>
          </w:tcPr>
          <w:p>
            <w:r/>
            <w:r>
              <w:t>Risikomodell</w:t>
            </w:r>
          </w:p>
        </w:tc>
        <w:tc>
          <w:tcPr>
            <w:tcW w:type="dxa" w:w="2880"/>
          </w:tcPr>
          <w:p>
            <w:r/>
            <w:r>
              <w:rPr>
                <w:b/>
              </w:rPr>
              <w:t>ATR zum Einstieg</w:t>
            </w:r>
            <w:r>
              <w:t>, rollierend geschätzt, die Liquidationsgefahr je Stufe</w:t>
            </w:r>
          </w:p>
        </w:tc>
        <w:tc>
          <w:tcPr>
            <w:tcW w:type="dxa" w:w="2880"/>
          </w:tcPr>
          <w:p>
            <w:r/>
            <w:r>
              <w:t>2.667/2.681</w:t>
            </w:r>
          </w:p>
        </w:tc>
      </w:tr>
      <w:tr>
        <w:tc>
          <w:tcPr>
            <w:tcW w:type="dxa" w:w="2880"/>
          </w:tcPr>
          <w:p>
            <w:r/>
            <w:r>
              <w:t>Stufen</w:t>
            </w:r>
          </w:p>
        </w:tc>
        <w:tc>
          <w:tcPr>
            <w:tcW w:type="dxa" w:w="2880"/>
          </w:tcPr>
          <w:p>
            <w:r/>
            <w:r>
              <w:t xml:space="preserve">2x / 3x / 5x. Gewählt wird die </w:t>
            </w:r>
            <w:r>
              <w:rPr>
                <w:b/>
              </w:rPr>
              <w:t>höchste</w:t>
            </w:r>
            <w:r>
              <w:t xml:space="preserve"> Stufe mit geschätzter Liquidationswahrscheinlichkeit binnen H </w:t>
            </w:r>
            <w:r>
              <w:rPr>
                <w:b/>
              </w:rPr>
              <w:t>≤ Grenze</w:t>
            </w:r>
            <w:r>
              <w:t>, sonst kein Handel</w:t>
            </w:r>
          </w:p>
        </w:tc>
        <w:tc>
          <w:tcPr>
            <w:tcW w:type="dxa" w:w="2880"/>
          </w:tcPr>
          <w:p>
            <w:r/>
            <w:r>
              <w:t>K6, 2.681</w:t>
            </w:r>
          </w:p>
        </w:tc>
      </w:tr>
      <w:tr>
        <w:tc>
          <w:tcPr>
            <w:tcW w:type="dxa" w:w="2880"/>
          </w:tcPr>
          <w:p>
            <w:r/>
            <w:r>
              <w:rPr>
                <w:b/>
              </w:rPr>
              <w:t>Grenze</w:t>
            </w:r>
          </w:p>
        </w:tc>
        <w:tc>
          <w:tcPr>
            <w:tcW w:type="dxa" w:w="2880"/>
          </w:tcPr>
          <w:p>
            <w:r/>
            <w:r>
              <w:rPr>
                <w:b/>
              </w:rPr>
              <w:t>2 %</w:t>
            </w:r>
            <w:r>
              <w:t xml:space="preserve"> (per Regel auf 2024)</w:t>
            </w:r>
          </w:p>
        </w:tc>
        <w:tc>
          <w:tcPr>
            <w:tcW w:type="dxa" w:w="2880"/>
          </w:tcPr>
          <w:p>
            <w:r/>
            <w:r>
              <w:t>2.690</w:t>
            </w:r>
          </w:p>
        </w:tc>
      </w:tr>
      <w:tr>
        <w:tc>
          <w:tcPr>
            <w:tcW w:type="dxa" w:w="2880"/>
          </w:tcPr>
          <w:p>
            <w:r/>
            <w:r>
              <w:t>Kurs</w:t>
            </w:r>
          </w:p>
        </w:tc>
        <w:tc>
          <w:tcPr>
            <w:tcW w:type="dxa" w:w="2880"/>
          </w:tcPr>
          <w:p>
            <w:r/>
            <w:r>
              <w:rPr>
                <w:b/>
              </w:rPr>
              <w:t>Markpreis</w:t>
            </w:r>
            <w:r>
              <w:t>, Bitpanda-Liquidationsformel mit m = 0,09</w:t>
            </w:r>
          </w:p>
        </w:tc>
        <w:tc>
          <w:tcPr>
            <w:tcW w:type="dxa" w:w="2880"/>
          </w:tcPr>
          <w:p>
            <w:r/>
            <w:r>
              <w:t>2.679</w:t>
            </w:r>
          </w:p>
        </w:tc>
      </w:tr>
      <w:tr>
        <w:tc>
          <w:tcPr>
            <w:tcW w:type="dxa" w:w="2880"/>
          </w:tcPr>
          <w:p>
            <w:r/>
            <w:r>
              <w:t>Prüfung auf den Einstiegen</w:t>
            </w:r>
          </w:p>
        </w:tc>
        <w:tc>
          <w:tcPr>
            <w:tcW w:type="dxa" w:w="2880"/>
          </w:tcPr>
          <w:p>
            <w:r/>
            <w:r>
              <w:t>vorsichtig, kein Aufschlag</w:t>
            </w:r>
          </w:p>
        </w:tc>
        <w:tc>
          <w:tcPr>
            <w:tcW w:type="dxa" w:w="2880"/>
          </w:tcPr>
          <w:p>
            <w:r/>
            <w:r>
              <w:t>2.689</w:t>
            </w:r>
          </w:p>
        </w:tc>
      </w:tr>
    </w:tbl>
    <w:p/>
    <w:p>
      <w:pPr>
        <w:pStyle w:val="Heading2"/>
      </w:pPr>
      <w:r>
        <w:t>4. Erfolgsmessung (nicht Bewertung) — die Referenz für jede Optimierung</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REGEL0</w:t>
            </w:r>
          </w:p>
        </w:tc>
        <w:tc>
          <w:tcPr>
            <w:tcW w:type="dxa" w:w="2880"/>
          </w:tcPr>
          <w:p>
            <w:r>
              <w:rPr>
                <w:b/>
              </w:rPr>
            </w:r>
            <w:r>
              <w:rPr>
                <w:b/>
              </w:rPr>
              <w:t>Befund</w:t>
            </w:r>
          </w:p>
        </w:tc>
      </w:tr>
      <w:tr>
        <w:tc>
          <w:tcPr>
            <w:tcW w:type="dxa" w:w="2880"/>
          </w:tcPr>
          <w:p>
            <w:r/>
            <w:r>
              <w:t>Geometrie</w:t>
            </w:r>
          </w:p>
        </w:tc>
        <w:tc>
          <w:tcPr>
            <w:tcW w:type="dxa" w:w="2880"/>
          </w:tcPr>
          <w:p>
            <w:r/>
            <w:r>
              <w:rPr>
                <w:b/>
              </w:rPr>
              <w:t>24 h</w:t>
            </w:r>
            <w:r>
              <w:t xml:space="preserve"> halten, </w:t>
            </w:r>
            <w:r>
              <w:rPr>
                <w:b/>
              </w:rPr>
              <w:t>ohne</w:t>
            </w:r>
            <w:r>
              <w:t xml:space="preserve"> Ziel, </w:t>
            </w:r>
            <w:r>
              <w:rPr>
                <w:b/>
              </w:rPr>
              <w:t>ohne</w:t>
            </w:r>
            <w:r>
              <w:t xml:space="preserve"> Stop</w:t>
            </w:r>
          </w:p>
        </w:tc>
        <w:tc>
          <w:tcPr>
            <w:tcW w:type="dxa" w:w="2880"/>
          </w:tcPr>
          <w:p>
            <w:r/>
            <w:r>
              <w:t>2.690 (per Regel auf 2024)</w:t>
            </w:r>
          </w:p>
        </w:tc>
      </w:tr>
      <w:tr>
        <w:tc>
          <w:tcPr>
            <w:tcW w:type="dxa" w:w="2880"/>
          </w:tcPr>
          <w:p>
            <w:r/>
            <w:r>
              <w:t>Kosten</w:t>
            </w:r>
          </w:p>
        </w:tc>
        <w:tc>
          <w:tcPr>
            <w:tcW w:type="dxa" w:w="2880"/>
          </w:tcPr>
          <w:p>
            <w:r/>
            <w:r>
              <w:t xml:space="preserve">0,30 % + 0,18 %/Tag auf den </w:t>
            </w:r>
            <w:r>
              <w:rPr>
                <w:b/>
              </w:rPr>
              <w:t>Positionswert</w:t>
            </w:r>
            <w:r>
              <w:t>, +1 % bei Liquidation (am Bitpanda-Buch geprüft)</w:t>
            </w:r>
          </w:p>
        </w:tc>
        <w:tc>
          <w:tcPr>
            <w:tcW w:type="dxa" w:w="2880"/>
          </w:tcPr>
          <w:p>
            <w:r/>
            <w:r>
              <w:t>2.690</w:t>
            </w:r>
          </w:p>
        </w:tc>
      </w:tr>
      <w:tr>
        <w:tc>
          <w:tcPr>
            <w:tcW w:type="dxa" w:w="2880"/>
          </w:tcPr>
          <w:p>
            <w:r/>
            <w:r>
              <w:t>Konto</w:t>
            </w:r>
          </w:p>
        </w:tc>
        <w:tc>
          <w:tcPr>
            <w:tcW w:type="dxa" w:w="2880"/>
          </w:tcPr>
          <w:p>
            <w:r/>
            <w:r>
              <w:t>f = 1 % je Handel, log-Wachstum</w:t>
            </w:r>
          </w:p>
        </w:tc>
        <w:tc>
          <w:tcPr>
            <w:tcW w:type="dxa" w:w="2880"/>
          </w:tcPr>
          <w:p>
            <w:r/>
            <w:r>
              <w:t>2.690</w:t>
            </w:r>
          </w:p>
        </w:tc>
      </w:tr>
      <w:tr>
        <w:tc>
          <w:tcPr>
            <w:tcW w:type="dxa" w:w="2880"/>
          </w:tcPr>
          <w:p>
            <w:r/>
            <w:r>
              <w:t>Pflichtprüfungen</w:t>
            </w:r>
          </w:p>
        </w:tc>
        <w:tc>
          <w:tcPr>
            <w:tcW w:type="dxa" w:w="2880"/>
          </w:tcPr>
          <w:p>
            <w:r/>
            <w:r>
              <w:t xml:space="preserve">Nullwelt, je Jahr, Spot-Vergleich, mit/ohne 10./11.10.2025, </w:t>
            </w:r>
            <w:r>
              <w:rPr>
                <w:b/>
              </w:rPr>
              <w:t>Spiegel</w:t>
            </w:r>
            <w:r>
              <w:t xml:space="preserve"> bei Potential-Maßen</w:t>
            </w:r>
          </w:p>
        </w:tc>
        <w:tc>
          <w:tcPr>
            <w:tcW w:type="dxa" w:w="2880"/>
          </w:tcPr>
          <w:p>
            <w:r/>
            <w:r>
              <w:t>E-29</w:t>
            </w:r>
          </w:p>
        </w:tc>
      </w:tr>
    </w:tbl>
    <w:p/>
    <w:p>
      <w:pPr>
        <w:pStyle w:val="Heading2"/>
      </w:pPr>
      <w:r>
        <w:t>5. Die Referenzzahlen — REGEL0 muss sie bitgleich treffen (R-R11)</w:t>
      </w:r>
    </w:p>
    <w:p>
      <w:pPr>
        <w:jc w:val="left"/>
      </w:pPr>
      <w:r>
        <w:rPr>
          <w:b/>
        </w:rPr>
        <w:t>✔ GÜLTIG (mit J und BTC, E-37), von der Wache gegen `Basisinfos/BTC_01_10/sim__&lt;m&gt;.txt` geprüft:</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r>
            <w:r>
              <w:rPr>
                <w:b/>
              </w:rPr>
              <w:t>bestand</w:t>
            </w:r>
          </w:p>
        </w:tc>
        <w:tc>
          <w:tcPr>
            <w:tcW w:type="dxa" w:w="1728"/>
          </w:tcPr>
          <w:p>
            <w:r>
              <w:rPr>
                <w:b/>
              </w:rPr>
            </w:r>
            <w:r>
              <w:rPr>
                <w:b/>
              </w:rPr>
              <w:t>unverzerrt:1</w:t>
            </w:r>
          </w:p>
        </w:tc>
        <w:tc>
          <w:tcPr>
            <w:tcW w:type="dxa" w:w="1728"/>
          </w:tcPr>
          <w:p>
            <w:r>
              <w:rPr>
                <w:b/>
              </w:rPr>
            </w:r>
            <w:r>
              <w:rPr>
                <w:b/>
              </w:rPr>
              <w:t>unverzerrt:2</w:t>
            </w:r>
          </w:p>
        </w:tc>
        <w:tc>
          <w:tcPr>
            <w:tcW w:type="dxa" w:w="1728"/>
          </w:tcPr>
          <w:p>
            <w:r>
              <w:rPr>
                <w:b/>
              </w:rPr>
            </w:r>
            <w:r>
              <w:rPr>
                <w:b/>
              </w:rPr>
              <w:t>unverzerrt:3</w:t>
            </w:r>
          </w:p>
        </w:tc>
      </w:tr>
      <w:tr>
        <w:tc>
          <w:tcPr>
            <w:tcW w:type="dxa" w:w="1728"/>
          </w:tcPr>
          <w:p>
            <w:r/>
            <w:r>
              <w:t>Einstiege 2024–26 (Export)</w:t>
            </w:r>
          </w:p>
        </w:tc>
        <w:tc>
          <w:tcPr>
            <w:tcW w:type="dxa" w:w="1728"/>
          </w:tcPr>
          <w:p>
            <w:r/>
            <w:r>
              <w:t>10.000</w:t>
            </w:r>
          </w:p>
        </w:tc>
        <w:tc>
          <w:tcPr>
            <w:tcW w:type="dxa" w:w="1728"/>
          </w:tcPr>
          <w:p>
            <w:r/>
            <w:r>
              <w:t>10.429</w:t>
            </w:r>
          </w:p>
        </w:tc>
        <w:tc>
          <w:tcPr>
            <w:tcW w:type="dxa" w:w="1728"/>
          </w:tcPr>
          <w:p>
            <w:r/>
            <w:r>
              <w:t>9.761</w:t>
            </w:r>
          </w:p>
        </w:tc>
        <w:tc>
          <w:tcPr>
            <w:tcW w:type="dxa" w:w="1728"/>
          </w:tcPr>
          <w:p>
            <w:r/>
            <w:r>
              <w:t>10.049</w:t>
            </w:r>
          </w:p>
        </w:tc>
      </w:tr>
      <w:tr>
        <w:tc>
          <w:tcPr>
            <w:tcW w:type="dxa" w:w="1728"/>
          </w:tcPr>
          <w:p>
            <w:r/>
            <w:r>
              <w:t>Hebelkonto 2025–26 (log)</w:t>
            </w:r>
          </w:p>
        </w:tc>
        <w:tc>
          <w:tcPr>
            <w:tcW w:type="dxa" w:w="1728"/>
          </w:tcPr>
          <w:p>
            <w:r/>
            <w:r>
              <w:t>+0,2708</w:t>
            </w:r>
          </w:p>
        </w:tc>
        <w:tc>
          <w:tcPr>
            <w:tcW w:type="dxa" w:w="1728"/>
          </w:tcPr>
          <w:p>
            <w:r/>
            <w:r>
              <w:t>−0,4887</w:t>
            </w:r>
          </w:p>
        </w:tc>
        <w:tc>
          <w:tcPr>
            <w:tcW w:type="dxa" w:w="1728"/>
          </w:tcPr>
          <w:p>
            <w:r/>
            <w:r>
              <w:t>−0,4592</w:t>
            </w:r>
          </w:p>
        </w:tc>
        <w:tc>
          <w:tcPr>
            <w:tcW w:type="dxa" w:w="1728"/>
          </w:tcPr>
          <w:p>
            <w:r/>
            <w:r>
              <w:t>−0,4065</w:t>
            </w:r>
          </w:p>
        </w:tc>
      </w:tr>
      <w:tr>
        <w:tc>
          <w:tcPr>
            <w:tcW w:type="dxa" w:w="1728"/>
          </w:tcPr>
          <w:p>
            <w:r/>
            <w:r>
              <w:t>Rohvorteil je Handel 2025–26</w:t>
            </w:r>
          </w:p>
        </w:tc>
        <w:tc>
          <w:tcPr>
            <w:tcW w:type="dxa" w:w="1728"/>
          </w:tcPr>
          <w:p>
            <w:r/>
            <w:r>
              <w:t>+0,583 %</w:t>
            </w:r>
          </w:p>
        </w:tc>
        <w:tc>
          <w:tcPr>
            <w:tcW w:type="dxa" w:w="1728"/>
          </w:tcPr>
          <w:p>
            <w:r/>
            <w:r>
              <w:t>+0,325 %</w:t>
            </w:r>
          </w:p>
        </w:tc>
        <w:tc>
          <w:tcPr>
            <w:tcW w:type="dxa" w:w="1728"/>
          </w:tcPr>
          <w:p>
            <w:r/>
            <w:r>
              <w:t>+0,331 %</w:t>
            </w:r>
          </w:p>
        </w:tc>
        <w:tc>
          <w:tcPr>
            <w:tcW w:type="dxa" w:w="1728"/>
          </w:tcPr>
          <w:p>
            <w:r/>
            <w:r>
              <w:t>+0,345 %</w:t>
            </w:r>
          </w:p>
        </w:tc>
      </w:tr>
    </w:tbl>
    <w:p/>
    <w:p>
      <w:pPr>
        <w:jc w:val="left"/>
      </w:pPr>
      <w:r>
        <w:t xml:space="preserve">Aufruf: </w:t>
      </w:r>
      <w:r>
        <w:rPr>
          <w:rFonts w:ascii="Consolas" w:hAnsi="Consolas"/>
          <w:color w:val="882222"/>
          <w:sz w:val="18"/>
        </w:rPr>
        <w:t>messe_losfahren.py --kern --ruhe 48 --junge --mit-btc --export 0.035</w:t>
      </w:r>
      <w:r>
        <w:t xml:space="preserve"> und </w:t>
      </w:r>
      <w:r>
        <w:rPr>
          <w:rFonts w:ascii="Consolas" w:hAnsi="Consolas"/>
          <w:color w:val="882222"/>
          <w:sz w:val="18"/>
        </w:rPr>
        <w:t>messe_k6_hebelstufe.py --kurs mark --mit-btc --einstiege kern48jb_einstiege_&lt;m&gt;.csv --simulation 24,ohne,0.02</w:t>
      </w:r>
      <w:r>
        <w:t>.</w:t>
      </w:r>
    </w:p>
    <w:p>
      <w:pPr>
        <w:jc w:val="left"/>
      </w:pPr>
      <w:r>
        <w:rPr>
          <w:i/>
        </w:rPr>
        <w:t>Ohne BTC (mit J, 2.698), die übrigen Handel sind bitgleich zu oben:</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r>
            <w:r>
              <w:rPr>
                <w:b/>
              </w:rPr>
              <w:t>bestand</w:t>
            </w:r>
          </w:p>
        </w:tc>
        <w:tc>
          <w:tcPr>
            <w:tcW w:type="dxa" w:w="1728"/>
          </w:tcPr>
          <w:p>
            <w:r>
              <w:rPr>
                <w:b/>
              </w:rPr>
            </w:r>
            <w:r>
              <w:rPr>
                <w:b/>
              </w:rPr>
              <w:t>unverzerrt:1</w:t>
            </w:r>
          </w:p>
        </w:tc>
        <w:tc>
          <w:tcPr>
            <w:tcW w:type="dxa" w:w="1728"/>
          </w:tcPr>
          <w:p>
            <w:r>
              <w:rPr>
                <w:b/>
              </w:rPr>
            </w:r>
            <w:r>
              <w:rPr>
                <w:b/>
              </w:rPr>
              <w:t>unverzerrt:2</w:t>
            </w:r>
          </w:p>
        </w:tc>
        <w:tc>
          <w:tcPr>
            <w:tcW w:type="dxa" w:w="1728"/>
          </w:tcPr>
          <w:p>
            <w:r>
              <w:rPr>
                <w:b/>
              </w:rPr>
            </w:r>
            <w:r>
              <w:rPr>
                <w:b/>
              </w:rPr>
              <w:t>unverzerrt:3</w:t>
            </w:r>
          </w:p>
        </w:tc>
      </w:tr>
      <w:tr>
        <w:tc>
          <w:tcPr>
            <w:tcW w:type="dxa" w:w="1728"/>
          </w:tcPr>
          <w:p>
            <w:r/>
            <w:r>
              <w:t>Einstiege 2024–26 (Export)</w:t>
            </w:r>
          </w:p>
        </w:tc>
        <w:tc>
          <w:tcPr>
            <w:tcW w:type="dxa" w:w="1728"/>
          </w:tcPr>
          <w:p>
            <w:r/>
            <w:r>
              <w:t>9.905</w:t>
            </w:r>
          </w:p>
        </w:tc>
        <w:tc>
          <w:tcPr>
            <w:tcW w:type="dxa" w:w="1728"/>
          </w:tcPr>
          <w:p>
            <w:r/>
            <w:r>
              <w:t>10.337</w:t>
            </w:r>
          </w:p>
        </w:tc>
        <w:tc>
          <w:tcPr>
            <w:tcW w:type="dxa" w:w="1728"/>
          </w:tcPr>
          <w:p>
            <w:r/>
            <w:r>
              <w:t>9.670</w:t>
            </w:r>
          </w:p>
        </w:tc>
        <w:tc>
          <w:tcPr>
            <w:tcW w:type="dxa" w:w="1728"/>
          </w:tcPr>
          <w:p>
            <w:r/>
            <w:r>
              <w:t>9.956</w:t>
            </w:r>
          </w:p>
        </w:tc>
      </w:tr>
      <w:tr>
        <w:tc>
          <w:tcPr>
            <w:tcW w:type="dxa" w:w="1728"/>
          </w:tcPr>
          <w:p>
            <w:r/>
            <w:r>
              <w:t>Hebelkonto 2025–26 (log)</w:t>
            </w:r>
          </w:p>
        </w:tc>
        <w:tc>
          <w:tcPr>
            <w:tcW w:type="dxa" w:w="1728"/>
          </w:tcPr>
          <w:p>
            <w:r/>
            <w:r>
              <w:t>+0,2634</w:t>
            </w:r>
          </w:p>
        </w:tc>
        <w:tc>
          <w:tcPr>
            <w:tcW w:type="dxa" w:w="1728"/>
          </w:tcPr>
          <w:p>
            <w:r/>
            <w:r>
              <w:t>−0,4877</w:t>
            </w:r>
          </w:p>
        </w:tc>
        <w:tc>
          <w:tcPr>
            <w:tcW w:type="dxa" w:w="1728"/>
          </w:tcPr>
          <w:p>
            <w:r/>
            <w:r>
              <w:t>−0,4543</w:t>
            </w:r>
          </w:p>
        </w:tc>
        <w:tc>
          <w:tcPr>
            <w:tcW w:type="dxa" w:w="1728"/>
          </w:tcPr>
          <w:p>
            <w:r/>
            <w:r>
              <w:t>−0,4058</w:t>
            </w:r>
          </w:p>
        </w:tc>
      </w:tr>
      <w:tr>
        <w:tc>
          <w:tcPr>
            <w:tcW w:type="dxa" w:w="1728"/>
          </w:tcPr>
          <w:p>
            <w:r/>
            <w:r>
              <w:t>Rohvorteil je Handel 2025–26</w:t>
            </w:r>
          </w:p>
        </w:tc>
        <w:tc>
          <w:tcPr>
            <w:tcW w:type="dxa" w:w="1728"/>
          </w:tcPr>
          <w:p>
            <w:r/>
            <w:r>
              <w:t>+0,583 %</w:t>
            </w:r>
          </w:p>
        </w:tc>
        <w:tc>
          <w:tcPr>
            <w:tcW w:type="dxa" w:w="1728"/>
          </w:tcPr>
          <w:p>
            <w:r/>
            <w:r>
              <w:t>+0,324 %</w:t>
            </w:r>
          </w:p>
        </w:tc>
        <w:tc>
          <w:tcPr>
            <w:tcW w:type="dxa" w:w="1728"/>
          </w:tcPr>
          <w:p>
            <w:r/>
            <w:r>
              <w:t>+0,331 %</w:t>
            </w:r>
          </w:p>
        </w:tc>
        <w:tc>
          <w:tcPr>
            <w:tcW w:type="dxa" w:w="1728"/>
          </w:tcPr>
          <w:p>
            <w:r/>
            <w:r>
              <w:t>+0,343 %</w:t>
            </w:r>
          </w:p>
        </w:tc>
      </w:tr>
    </w:tbl>
    <w:p/>
    <w:p>
      <w:pPr>
        <w:jc w:val="left"/>
      </w:pPr>
      <w:r>
        <w:t xml:space="preserve">Aufruf: </w:t>
      </w:r>
      <w:r>
        <w:rPr>
          <w:rFonts w:ascii="Consolas" w:hAnsi="Consolas"/>
          <w:color w:val="882222"/>
          <w:sz w:val="18"/>
        </w:rPr>
        <w:t>messe_losfahren.py --kern --ruhe 48 --junge --export 0.035</w:t>
      </w:r>
      <w:r>
        <w:t xml:space="preserve"> und </w:t>
      </w:r>
      <w:r>
        <w:rPr>
          <w:rFonts w:ascii="Consolas" w:hAnsi="Consolas"/>
          <w:color w:val="882222"/>
          <w:sz w:val="18"/>
        </w:rPr>
        <w:t>messe_k6_hebelstufe.py --kurs mark --einstiege kern48j_einstiege_&lt;m&gt;.csv --simulation 24,ohne,0.02</w:t>
      </w:r>
      <w:r>
        <w:t>.</w:t>
      </w:r>
    </w:p>
    <w:p>
      <w:pPr>
        <w:jc w:val="left"/>
      </w:pPr>
      <w:r>
        <w:rPr>
          <w:i/>
        </w:rPr>
        <w:t xml:space="preserve">Zum Vergleich — die Zahlen </w:t>
      </w:r>
      <w:r>
        <w:rPr>
          <w:i/>
        </w:rPr>
        <w:t>ohne J</w:t>
      </w:r>
      <w:r>
        <w:rPr>
          <w:i/>
        </w:rPr>
        <w:t xml:space="preserve"> (Stand 30.09., nicht mehr gültig als Referenz):</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r>
            <w:r>
              <w:rPr>
                <w:b/>
              </w:rPr>
              <w:t>bestand</w:t>
            </w:r>
          </w:p>
        </w:tc>
        <w:tc>
          <w:tcPr>
            <w:tcW w:type="dxa" w:w="1728"/>
          </w:tcPr>
          <w:p>
            <w:r>
              <w:rPr>
                <w:b/>
              </w:rPr>
            </w:r>
            <w:r>
              <w:rPr>
                <w:b/>
              </w:rPr>
              <w:t>unverzerrt:1</w:t>
            </w:r>
          </w:p>
        </w:tc>
        <w:tc>
          <w:tcPr>
            <w:tcW w:type="dxa" w:w="1728"/>
          </w:tcPr>
          <w:p>
            <w:r>
              <w:rPr>
                <w:b/>
              </w:rPr>
            </w:r>
            <w:r>
              <w:rPr>
                <w:b/>
              </w:rPr>
              <w:t>unverzerrt:2</w:t>
            </w:r>
          </w:p>
        </w:tc>
        <w:tc>
          <w:tcPr>
            <w:tcW w:type="dxa" w:w="1728"/>
          </w:tcPr>
          <w:p>
            <w:r>
              <w:rPr>
                <w:b/>
              </w:rPr>
            </w:r>
            <w:r>
              <w:rPr>
                <w:b/>
              </w:rPr>
              <w:t>unverzerrt:3</w:t>
            </w:r>
          </w:p>
        </w:tc>
      </w:tr>
      <w:tr>
        <w:tc>
          <w:tcPr>
            <w:tcW w:type="dxa" w:w="1728"/>
          </w:tcPr>
          <w:p>
            <w:r/>
            <w:r>
              <w:t>Einstiege 2024 / 2025–26</w:t>
            </w:r>
          </w:p>
        </w:tc>
        <w:tc>
          <w:tcPr>
            <w:tcW w:type="dxa" w:w="1728"/>
          </w:tcPr>
          <w:p>
            <w:r/>
            <w:r>
              <w:t>1.486 / 6.328</w:t>
            </w:r>
          </w:p>
        </w:tc>
        <w:tc>
          <w:tcPr>
            <w:tcW w:type="dxa" w:w="1728"/>
          </w:tcPr>
          <w:p>
            <w:r/>
            <w:r>
              <w:t>– / 7.121</w:t>
            </w:r>
          </w:p>
        </w:tc>
        <w:tc>
          <w:tcPr>
            <w:tcW w:type="dxa" w:w="1728"/>
          </w:tcPr>
          <w:p>
            <w:r/>
            <w:r>
              <w:t>– / 6.463</w:t>
            </w:r>
          </w:p>
        </w:tc>
        <w:tc>
          <w:tcPr>
            <w:tcW w:type="dxa" w:w="1728"/>
          </w:tcPr>
          <w:p>
            <w:r/>
            <w:r>
              <w:t>– / 6.782</w:t>
            </w:r>
          </w:p>
        </w:tc>
      </w:tr>
      <w:tr>
        <w:tc>
          <w:tcPr>
            <w:tcW w:type="dxa" w:w="1728"/>
          </w:tcPr>
          <w:p>
            <w:r/>
            <w:r>
              <w:t>Chance Dq 2024 / 2025–26</w:t>
            </w:r>
          </w:p>
        </w:tc>
        <w:tc>
          <w:tcPr>
            <w:tcW w:type="dxa" w:w="1728"/>
          </w:tcPr>
          <w:p>
            <w:r/>
            <w:r>
              <w:t>+0,1615 / +0,1039</w:t>
            </w:r>
          </w:p>
        </w:tc>
        <w:tc>
          <w:tcPr>
            <w:tcW w:type="dxa" w:w="1728"/>
          </w:tcPr>
          <w:p>
            <w:r/>
            <w:r>
              <w:t>– / +0,0774</w:t>
            </w:r>
          </w:p>
        </w:tc>
        <w:tc>
          <w:tcPr>
            <w:tcW w:type="dxa" w:w="1728"/>
          </w:tcPr>
          <w:p>
            <w:r/>
            <w:r>
              <w:t>– / +0,0697</w:t>
            </w:r>
          </w:p>
        </w:tc>
        <w:tc>
          <w:tcPr>
            <w:tcW w:type="dxa" w:w="1728"/>
          </w:tcPr>
          <w:p>
            <w:r/>
            <w:r>
              <w:t>– / +0,0781</w:t>
            </w:r>
          </w:p>
        </w:tc>
      </w:tr>
      <w:tr>
        <w:tc>
          <w:tcPr>
            <w:tcW w:type="dxa" w:w="1728"/>
          </w:tcPr>
          <w:p>
            <w:r/>
            <w:r>
              <w:t>Hebelkonto 2025–26 (log)</w:t>
            </w:r>
          </w:p>
        </w:tc>
        <w:tc>
          <w:tcPr>
            <w:tcW w:type="dxa" w:w="1728"/>
          </w:tcPr>
          <w:p>
            <w:r/>
            <w:r>
              <w:t>+0,2038</w:t>
            </w:r>
          </w:p>
        </w:tc>
        <w:tc>
          <w:tcPr>
            <w:tcW w:type="dxa" w:w="1728"/>
          </w:tcPr>
          <w:p>
            <w:r/>
            <w:r>
              <w:t>−0,4662</w:t>
            </w:r>
          </w:p>
        </w:tc>
        <w:tc>
          <w:tcPr>
            <w:tcW w:type="dxa" w:w="1728"/>
          </w:tcPr>
          <w:p>
            <w:r/>
            <w:r>
              <w:t>−0,4166</w:t>
            </w:r>
          </w:p>
        </w:tc>
        <w:tc>
          <w:tcPr>
            <w:tcW w:type="dxa" w:w="1728"/>
          </w:tcPr>
          <w:p>
            <w:r/>
            <w:r>
              <w:t>−0,3824</w:t>
            </w:r>
          </w:p>
        </w:tc>
      </w:tr>
      <w:tr>
        <w:tc>
          <w:tcPr>
            <w:tcW w:type="dxa" w:w="1728"/>
          </w:tcPr>
          <w:p>
            <w:r/>
            <w:r>
              <w:t>Rohvorteil je Handel</w:t>
            </w:r>
          </w:p>
        </w:tc>
        <w:tc>
          <w:tcPr>
            <w:tcW w:type="dxa" w:w="1728"/>
          </w:tcPr>
          <w:p>
            <w:r/>
            <w:r>
              <w:t>+0,573 %</w:t>
            </w:r>
          </w:p>
        </w:tc>
        <w:tc>
          <w:tcPr>
            <w:tcW w:type="dxa" w:w="1728"/>
          </w:tcPr>
          <w:p>
            <w:r/>
            <w:r>
              <w:t>+0,294 %</w:t>
            </w:r>
          </w:p>
        </w:tc>
        <w:tc>
          <w:tcPr>
            <w:tcW w:type="dxa" w:w="1728"/>
          </w:tcPr>
          <w:p>
            <w:r/>
            <w:r>
              <w:t>+0,311 %</w:t>
            </w:r>
          </w:p>
        </w:tc>
        <w:tc>
          <w:tcPr>
            <w:tcW w:type="dxa" w:w="1728"/>
          </w:tcPr>
          <w:p>
            <w:r/>
            <w:r>
              <w:t>+0,309 %</w:t>
            </w:r>
          </w:p>
        </w:tc>
      </w:tr>
    </w:tbl>
    <w:p/>
    <w:p>
      <w:pPr>
        <w:jc w:val="left"/>
      </w:pPr>
      <w:r>
        <w:t xml:space="preserve">(damaliger Aufruf ohne </w:t>
      </w:r>
      <w:r>
        <w:rPr>
          <w:rFonts w:ascii="Consolas" w:hAnsi="Consolas"/>
          <w:color w:val="882222"/>
          <w:sz w:val="18"/>
        </w:rPr>
        <w:t>--junge</w:t>
      </w:r>
      <w:r>
        <w:t xml:space="preserve">, </w:t>
      </w:r>
      <w:r>
        <w:rPr>
          <w:rFonts w:ascii="Consolas" w:hAnsi="Consolas"/>
          <w:color w:val="882222"/>
          <w:sz w:val="18"/>
        </w:rPr>
        <w:t>kern48_einstiege_&lt;m&gt;.csv</w:t>
      </w:r>
      <w:r>
        <w:t>)</w:t>
      </w:r>
    </w:p>
    <w:p>
      <w:pPr>
        <w:pStyle w:val="Heading2"/>
      </w:pPr>
      <w:r>
        <w:t>6. Bekannte Schwächen von REGEL0 — der Optimierungsauftrag</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Schwäche</w:t>
            </w:r>
          </w:p>
        </w:tc>
        <w:tc>
          <w:tcPr>
            <w:tcW w:type="dxa" w:w="2880"/>
          </w:tcPr>
          <w:p>
            <w:r>
              <w:rPr>
                <w:b/>
              </w:rPr>
            </w:r>
            <w:r>
              <w:rPr>
                <w:b/>
              </w:rPr>
              <w:t>Weg</w:t>
            </w:r>
          </w:p>
        </w:tc>
      </w:tr>
      <w:tr>
        <w:tc>
          <w:tcPr>
            <w:tcW w:type="dxa" w:w="2880"/>
          </w:tcPr>
          <w:p>
            <w:r/>
            <w:r>
              <w:t>1</w:t>
            </w:r>
          </w:p>
        </w:tc>
        <w:tc>
          <w:tcPr>
            <w:tcW w:type="dxa" w:w="2880"/>
          </w:tcPr>
          <w:p>
            <w:r/>
            <w:r>
              <w:t xml:space="preserve">Vorteil je Handel (+0,29..+0,31 %) </w:t>
            </w:r>
            <w:r>
              <w:rPr>
                <w:b/>
              </w:rPr>
              <w:t>unter den Kosten</w:t>
            </w:r>
            <w:r>
              <w:t xml:space="preserve"> (0,48 %)</w:t>
            </w:r>
          </w:p>
        </w:tc>
        <w:tc>
          <w:tcPr>
            <w:tcW w:type="dxa" w:w="2880"/>
          </w:tcPr>
          <w:p>
            <w:r/>
            <w:r>
              <w:rPr>
                <w:b/>
              </w:rPr>
              <w:t>A</w:t>
            </w:r>
            <w:r>
              <w:t xml:space="preserve"> Positionsführung (W4): nachgezogener Stop oder Ziel, die Wucht als Bewegungsgröße (Rolle B) · ⛔ </w:t>
            </w:r>
            <w:r>
              <w:rPr>
                <w:b/>
              </w:rPr>
              <w:t>versucht (2.702):</w:t>
            </w:r>
            <w:r>
              <w:t xml:space="preserve"> nachgezogener Stop von Hand nicht bestätigt (0/4). ⭐ 2.703 Teil 0: ohne Kosten 4/4 positiv, die Kosten sind der größte Posten</w:t>
            </w:r>
          </w:p>
        </w:tc>
      </w:tr>
      <w:tr>
        <w:tc>
          <w:tcPr>
            <w:tcW w:type="dxa" w:w="2880"/>
          </w:tcPr>
          <w:p>
            <w:r/>
            <w:r>
              <w:t>2</w:t>
            </w:r>
          </w:p>
        </w:tc>
        <w:tc>
          <w:tcPr>
            <w:tcW w:type="dxa" w:w="2880"/>
          </w:tcPr>
          <w:p>
            <w:r/>
            <w:r>
              <w:t xml:space="preserve">Das Signalangebot </w:t>
            </w:r>
            <w:r>
              <w:rPr>
                <w:b/>
              </w:rPr>
              <w:t>springt</w:t>
            </w:r>
            <w:r>
              <w:t>, weil die Dämpfungswahl im groben Raster kippt</w:t>
            </w:r>
          </w:p>
        </w:tc>
        <w:tc>
          <w:tcPr>
            <w:tcW w:type="dxa" w:w="2880"/>
          </w:tcPr>
          <w:p>
            <w:r/>
            <w:r>
              <w:rPr>
                <w:b/>
              </w:rPr>
              <w:t>B</w:t>
            </w:r>
            <w:r>
              <w:t xml:space="preserve"> Kern stabilisieren (M1-3) · ⛔ </w:t>
            </w:r>
            <w:r>
              <w:rPr>
                <w:b/>
              </w:rPr>
              <w:t>versucht (2.703):</w:t>
            </w:r>
            <w:r>
              <w:t xml:space="preserve"> feinere Dämpfung springt weniger, kostet aber Chance. Das Springen ist kein Verlusttreiber, F0 bleibt (E-39)</w:t>
            </w:r>
          </w:p>
        </w:tc>
      </w:tr>
      <w:tr>
        <w:tc>
          <w:tcPr>
            <w:tcW w:type="dxa" w:w="2880"/>
          </w:tcPr>
          <w:p>
            <w:r/>
            <w:r>
              <w:t>4</w:t>
            </w:r>
          </w:p>
        </w:tc>
        <w:tc>
          <w:tcPr>
            <w:tcW w:type="dxa" w:w="2880"/>
          </w:tcPr>
          <w:p>
            <w:r/>
            <w:r>
              <w:t xml:space="preserve">✔ </w:t>
            </w:r>
            <w:r>
              <w:rPr>
                <w:b/>
              </w:rPr>
              <w:t>BEHOBEN (2.698, J):</w:t>
            </w:r>
            <w:r>
              <w:t xml:space="preserve"> ~~Showstopper~~ </w:t>
            </w:r>
            <w:r>
              <w:rPr>
                <w:b/>
              </w:rPr>
              <w:t>Mindesthistorie 12 Monate</w:t>
            </w:r>
            <w:r>
              <w:t xml:space="preserve"> für das eigene Normal (</w:t>
            </w:r>
            <w:r>
              <w:rPr>
                <w:rFonts w:ascii="Consolas" w:hAnsi="Consolas"/>
                <w:color w:val="882222"/>
                <w:sz w:val="18"/>
              </w:rPr>
              <w:t>JAHR_H = 8760</w:t>
            </w:r>
            <w:r>
              <w:t xml:space="preserve">, im Code </w:t>
            </w:r>
            <w:r>
              <w:rPr>
                <w:rFonts w:ascii="Consolas" w:hAnsi="Consolas"/>
                <w:color w:val="882222"/>
                <w:sz w:val="18"/>
              </w:rPr>
              <w:t>normal()</w:t>
            </w:r>
            <w:r>
              <w:t xml:space="preserve">). Junge Assets bekommen im </w:t>
            </w:r>
            <w:r>
              <w:rPr>
                <w:b/>
              </w:rPr>
              <w:t>ersten Jahr kein Signal</w:t>
            </w:r>
            <w:r>
              <w:t xml:space="preserve">, obwohl rsi, Ruhe und ATR nur Tage brauchen. Auf der Hebel-Liste sind </w:t>
            </w:r>
            <w:r>
              <w:rPr>
                <w:b/>
              </w:rPr>
              <w:t>12 von 28</w:t>
            </w:r>
            <w:r>
              <w:t xml:space="preserve"> Assets jung (TAO, ONDO, RENDER, MORPHO, KAIA, S, W, BIO, TURBO, IO, VIRTUAL, KAITO). Nutzer 30.09.: </w:t>
            </w:r>
            <w:r>
              <w:rPr>
                <w:i/>
              </w:rPr>
              <w:t>„Das System braucht keine Historie, um bei der Prüfung den Einstieg zu bewerten, oder?“</w:t>
            </w:r>
            <w:r>
              <w:t xml:space="preserve"> (vgl. 2.610)</w:t>
            </w:r>
          </w:p>
        </w:tc>
        <w:tc>
          <w:tcPr>
            <w:tcW w:type="dxa" w:w="2880"/>
          </w:tcPr>
          <w:p>
            <w:r/>
            <w:r>
              <w:rPr>
                <w:b/>
              </w:rPr>
              <w:t>J</w:t>
            </w:r>
            <w:r>
              <w:t xml:space="preserve"> junge Assets: das Normal anfangs aus dem </w:t>
            </w:r>
            <w:r>
              <w:rPr>
                <w:b/>
              </w:rPr>
              <w:t>Markt</w:t>
            </w:r>
            <w:r>
              <w:t>, mit wachsender eigener Historie überblendet (die Schrumpfung gibt es schon), gemessen gegen REGEL0</w:t>
            </w:r>
          </w:p>
        </w:tc>
      </w:tr>
      <w:tr>
        <w:tc>
          <w:tcPr>
            <w:tcW w:type="dxa" w:w="2880"/>
          </w:tcPr>
          <w:p>
            <w:r/>
            <w:r>
              <w:t>3</w:t>
            </w:r>
          </w:p>
        </w:tc>
        <w:tc>
          <w:tcPr>
            <w:tcW w:type="dxa" w:w="2880"/>
          </w:tcPr>
          <w:p>
            <w:r/>
            <w:r>
              <w:t xml:space="preserve">im Gegenwind </w:t>
            </w:r>
            <w:r>
              <w:rPr>
                <w:b/>
              </w:rPr>
              <w:t>stumpf</w:t>
            </w:r>
            <w:r>
              <w:t xml:space="preserve"> (Modell flach)</w:t>
            </w:r>
          </w:p>
        </w:tc>
        <w:tc>
          <w:tcPr>
            <w:tcW w:type="dxa" w:w="2880"/>
          </w:tcPr>
          <w:p>
            <w:r/>
            <w:r>
              <w:t>innerhalb von A und B zu lösen, zum Beispiel ob die Stabilisierung das Regime anders abbildet</w:t>
            </w:r>
          </w:p>
        </w:tc>
      </w:tr>
    </w:tbl>
    <w:p/>
    <w:p>
      <w:pPr>
        <w:jc w:val="left"/>
      </w:pPr>
      <w:r>
        <w:t xml:space="preserve">➤ </w:t>
      </w:r>
      <w:r>
        <w:rPr>
          <w:b/>
        </w:rPr>
        <w:t>Ablauf der Optimierung (Vorschlag):</w:t>
      </w:r>
      <w:r>
        <w:t xml:space="preserve"> Jede Änderung wird </w:t>
      </w:r>
      <w:r>
        <w:rPr>
          <w:b/>
        </w:rPr>
        <w:t>einzeln</w:t>
      </w:r>
      <w:r>
        <w:t xml:space="preserve"> gegen REGEL0 gemessen, mit Voranalyse, Wahl 2024 und einmaliger Bestätigung. Was trägt, wird </w:t>
      </w:r>
      <w:r>
        <w:rPr>
          <w:b/>
        </w:rPr>
        <w:t>REGEL1</w:t>
      </w:r>
      <w:r>
        <w:t xml:space="preserve"> usw., und jede Stufe wird mit ihren Referenzzahlen festgeschrieben.</w:t>
      </w:r>
    </w:p>
    <w:p>
      <w:pPr>
        <w:spacing w:before="120"/>
      </w:pPr>
      <w:r>
        <w:rPr>
          <w:color w:val="AAAAAA"/>
        </w:rPr>
        <w:t>────────────────────────────────────────────────────────────</w:t>
      </w:r>
    </w:p>
    <w:p>
      <w:pPr>
        <w:pStyle w:val="Heading2"/>
      </w:pPr>
      <w:r>
        <w:t>7. Zurückgestellt (Nutzer 30.09.: *„aktuell gar nicht als Option für unseren Umbau"*)</w:t>
      </w:r>
    </w:p>
    <w:p>
      <w:pPr>
        <w:jc w:val="left"/>
      </w:pPr>
      <w:r>
        <w:t>C Vorwärtstest ab 2026-09 (die Regel K_IG &lt; 1 bleibt eingefroren, aber kein laufender Prüfauftrag) · D neue Datenquellen · E Börse/Kosten.</w:t>
      </w:r>
    </w:p>
    <w:p>
      <w:pPr>
        <w:spacing w:before="120"/>
      </w:pPr>
      <w:r>
        <w:rPr>
          <w:color w:val="AAAAAA"/>
        </w:rPr>
        <w:t>────────────────────────────────────────────────────────────</w:t>
      </w:r>
    </w:p>
    <w:p>
      <w:pPr>
        <w:pStyle w:val="Heading2"/>
      </w:pPr>
      <w:r>
        <w:t>8. ✔ BEHOBEN (2.698) — war: SHOWSTOPPER vor der Festschreibung, die Mindesthistorie (Nutzer 30.09.)</w:t>
      </w:r>
    </w:p>
    <w:p>
      <w:pPr>
        <w:jc w:val="left"/>
      </w:pPr>
      <w:r>
        <w:rPr>
          <w:b/>
        </w:rPr>
        <w:t>Nutzer:</w:t>
      </w:r>
      <w:r>
        <w:t xml:space="preserve"> </w:t>
      </w:r>
      <w:r>
        <w:rPr>
          <w:i/>
        </w:rPr>
        <w:t>„Die erforderliche Mindesthistorie ist eigentlich ein Showstopper und keine Schwäche, finde ich, und war so nicht geplant und gewünscht, vor allem wenn man unsere Datenlage berücksichtigt."</w:t>
      </w:r>
    </w:p>
    <w:p>
      <w:pPr>
        <w:jc w:val="left"/>
      </w:pPr>
      <w:r>
        <w:t xml:space="preserve">➤ </w:t>
      </w:r>
      <w:r>
        <w:rPr>
          <w:b/>
        </w:rPr>
        <w:t>Folge:</w:t>
      </w:r>
      <w:r>
        <w:t xml:space="preserve"> REGEL0 wird </w:t>
      </w:r>
      <w:r>
        <w:rPr>
          <w:b/>
        </w:rPr>
        <w:t>erst nach der Behebung</w:t>
      </w:r>
      <w:r>
        <w:t xml:space="preserve"> festgeschrieben. Die 12-Monats-Bedingung ist kein </w:t>
      </w:r>
      <w:r>
        <w:rPr>
          <w:i/>
        </w:rPr>
        <w:t>korrekter Parameter</w:t>
      </w:r>
      <w:r>
        <w:t xml:space="preserve"> (E-33), denn sie widerspricht der Grundanforderung </w:t>
      </w:r>
      <w:r>
        <w:rPr>
          <w:i/>
        </w:rPr>
        <w:t>„muss auch bei nur EINEM Asset funktionieren“</w:t>
      </w:r>
      <w:r>
        <w:t xml:space="preserve"> (2.608) und </w:t>
      </w:r>
      <w:r>
        <w:rPr>
          <w:i/>
        </w:rPr>
        <w:t>„10 Tage Historie, nicht Jahre“</w:t>
      </w:r>
      <w:r>
        <w:t xml:space="preserve"> (2.610).</w:t>
      </w:r>
    </w:p>
    <w:p>
      <w:pPr>
        <w:jc w:val="left"/>
      </w:pPr>
      <w:r>
        <w:rPr>
          <w:b/>
        </w:rPr>
        <w:t>Wo sie sitzt (Code):</w:t>
      </w:r>
      <w:r>
        <w:t xml:space="preserve"> </w:t>
      </w:r>
      <w:r>
        <w:rPr>
          <w:rFonts w:ascii="Consolas" w:hAnsi="Consolas"/>
          <w:color w:val="882222"/>
          <w:sz w:val="18"/>
        </w:rPr>
        <w:t>normal()</w:t>
      </w:r>
      <w:r>
        <w:t xml:space="preserve"> verlangt </w:t>
      </w:r>
      <w:r>
        <w:rPr>
          <w:rFonts w:ascii="Consolas" w:hAnsi="Consolas"/>
          <w:color w:val="882222"/>
          <w:sz w:val="18"/>
        </w:rPr>
        <w:t>st - st[0] &gt;= JAHR_H</w:t>
      </w:r>
      <w:r>
        <w:t xml:space="preserve"> (8.760 h) und mehr als 1.000 Stunden. Ohne das gibt es kein eigenes Normal, also kein QSh, kein v̂, kein Signal.</w:t>
      </w:r>
    </w:p>
    <w:p>
      <w:pPr>
        <w:jc w:val="left"/>
      </w:pPr>
      <w:r>
        <w:rPr>
          <w:b/>
        </w:rPr>
        <w:t>Lösungsweg — auf dem Bestehenden, ohne neue Zahl:</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Schrumpfung (besteht)</w:t>
            </w:r>
          </w:p>
        </w:tc>
        <w:tc>
          <w:tcPr>
            <w:tcW w:type="dxa" w:w="4320"/>
          </w:tcPr>
          <w:p>
            <w:r/>
            <w:r>
              <w:t xml:space="preserve">je Monat QSh = Marktmitte + B × (eigenes Normal − Marktmitte), mit B = τ² / (τ² + Rauschen). Je weniger eigene Ereignisse, desto mehr Rauschen und desto näher an der </w:t>
            </w:r>
            <w:r>
              <w:rPr>
                <w:b/>
              </w:rPr>
              <w:t>Marktmitte</w:t>
            </w:r>
          </w:p>
        </w:tc>
      </w:tr>
      <w:tr>
        <w:tc>
          <w:tcPr>
            <w:tcW w:type="dxa" w:w="4320"/>
          </w:tcPr>
          <w:p>
            <w:r/>
            <w:r>
              <w:rPr>
                <w:b/>
              </w:rPr>
              <w:t>Änderung</w:t>
            </w:r>
          </w:p>
        </w:tc>
        <w:tc>
          <w:tcPr>
            <w:tcW w:type="dxa" w:w="4320"/>
          </w:tcPr>
          <w:p>
            <w:r/>
            <w:r>
              <w:t xml:space="preserve">Das eigene Normal wird aus der </w:t>
            </w:r>
            <w:r>
              <w:rPr>
                <w:b/>
              </w:rPr>
              <w:t>vorhandenen</w:t>
            </w:r>
            <w:r>
              <w:t xml:space="preserve"> Historie gerechnet (höchstens 12 Monate). Das Rauschen wird aus der </w:t>
            </w:r>
            <w:r>
              <w:rPr>
                <w:b/>
              </w:rPr>
              <w:t>tatsächlichen</w:t>
            </w:r>
            <w:r>
              <w:t xml:space="preserve"> Zahl eigener Ereignisse bestimmt. Ohne eigene Historie ist QSh = Marktmitte. Ein junges Asset startet so auf dem </w:t>
            </w:r>
            <w:r>
              <w:rPr>
                <w:b/>
              </w:rPr>
              <w:t>Marktnormal</w:t>
            </w:r>
            <w:r>
              <w:t xml:space="preserve"> und wächst mit seiner Historie hinein</w:t>
            </w:r>
          </w:p>
        </w:tc>
      </w:tr>
      <w:tr>
        <w:tc>
          <w:tcPr>
            <w:tcW w:type="dxa" w:w="4320"/>
          </w:tcPr>
          <w:p>
            <w:r/>
            <w:r>
              <w:t>Mindesthistorie danach</w:t>
            </w:r>
          </w:p>
        </w:tc>
        <w:tc>
          <w:tcPr>
            <w:tcW w:type="dxa" w:w="4320"/>
          </w:tcPr>
          <w:p>
            <w:r/>
            <w:r>
              <w:t xml:space="preserve">nur noch, was das </w:t>
            </w:r>
            <w:r>
              <w:rPr>
                <w:b/>
              </w:rPr>
              <w:t>Signal</w:t>
            </w:r>
            <w:r>
              <w:t xml:space="preserve"> braucht: rsi-Monatsabstand (10 Tage), ATR (etwa 14 Tage). Abgeleitet, nicht gewählt</w:t>
            </w:r>
          </w:p>
        </w:tc>
      </w:tr>
      <w:tr>
        <w:tc>
          <w:tcPr>
            <w:tcW w:type="dxa" w:w="4320"/>
          </w:tcPr>
          <w:p>
            <w:r/>
            <w:r>
              <w:rPr>
                <w:b/>
              </w:rPr>
              <w:t>R-R11</w:t>
            </w:r>
          </w:p>
        </w:tc>
        <w:tc>
          <w:tcPr>
            <w:tcW w:type="dxa" w:w="4320"/>
          </w:tcPr>
          <w:p>
            <w:r/>
            <w:r>
              <w:t xml:space="preserve">Marktmitte, τ² und das rsi-Modell werden weiter </w:t>
            </w:r>
            <w:r>
              <w:rPr>
                <w:b/>
              </w:rPr>
              <w:t>nur aus den reifen Assets</w:t>
            </w:r>
            <w:r>
              <w:t xml:space="preserve"> geschätzt. Für Assets mit ≥ 12 Monaten ändert sich damit </w:t>
            </w:r>
            <w:r>
              <w:rPr>
                <w:b/>
              </w:rPr>
              <w:t>nichts</w:t>
            </w:r>
            <w:r>
              <w:t xml:space="preserve">, und die Referenzzahlen der REGEL0 bleiben bitgleich. Junge Assets kommen </w:t>
            </w:r>
            <w:r>
              <w:rPr>
                <w:b/>
              </w:rPr>
              <w:t>zusätzlich</w:t>
            </w:r>
            <w:r>
              <w:t xml:space="preserve"> hinzu</w:t>
            </w:r>
          </w:p>
        </w:tc>
      </w:tr>
      <w:tr>
        <w:tc>
          <w:tcPr>
            <w:tcW w:type="dxa" w:w="4320"/>
          </w:tcPr>
          <w:p>
            <w:r/>
            <w:r>
              <w:t>Messung</w:t>
            </w:r>
          </w:p>
        </w:tc>
        <w:tc>
          <w:tcPr>
            <w:tcW w:type="dxa" w:w="4320"/>
          </w:tcPr>
          <w:p>
            <w:r/>
            <w:r>
              <w:t xml:space="preserve">Kern-Einstiege junger Assets in ihrem ersten Jahr: Chance gegen ihr Normal, Spiegel, Nullwelt, je Jahr, Rohvorteil in der Simulation. </w:t>
            </w:r>
            <w:r>
              <w:rPr>
                <w:b/>
              </w:rPr>
              <w:t>Kriterium:</w:t>
            </w:r>
            <w:r>
              <w:t xml:space="preserve"> nicht schlechter als die reifen Assets (Dq &gt; 0 in beiden Jahren, über der Nullwelt)</w:t>
            </w:r>
          </w:p>
        </w:tc>
      </w:tr>
    </w:tbl>
    <w:p/>
    <w:p>
      <w:pPr>
        <w:spacing w:before="120"/>
      </w:pPr>
      <w:r>
        <w:rPr>
          <w:color w:val="AAAAAA"/>
        </w:rPr>
        <w:t>────────────────────────────────────────────────────────────</w:t>
      </w:r>
    </w:p>
    <w:p>
      <w:pPr>
        <w:pStyle w:val="Heading2"/>
      </w:pPr>
      <w:r>
        <w:t>9. ✔ J ist Teil der REGEL0 (Befund 2.698)</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Parameter</w:t>
            </w:r>
          </w:p>
        </w:tc>
        <w:tc>
          <w:tcPr>
            <w:tcW w:type="dxa" w:w="4320"/>
          </w:tcPr>
          <w:p>
            <w:r>
              <w:rPr>
                <w:b/>
              </w:rPr>
            </w:r>
            <w:r>
              <w:rPr>
                <w:b/>
              </w:rPr>
              <w:t>REGEL0 mit J</w:t>
            </w:r>
          </w:p>
        </w:tc>
      </w:tr>
      <w:tr>
        <w:tc>
          <w:tcPr>
            <w:tcW w:type="dxa" w:w="4320"/>
          </w:tcPr>
          <w:p>
            <w:r/>
            <w:r>
              <w:rPr>
                <w:b/>
              </w:rPr>
              <w:t>eigenes Normal</w:t>
            </w:r>
          </w:p>
        </w:tc>
        <w:tc>
          <w:tcPr>
            <w:tcW w:type="dxa" w:w="4320"/>
          </w:tcPr>
          <w:p>
            <w:r/>
            <w:r>
              <w:t xml:space="preserve">aus der </w:t>
            </w:r>
            <w:r>
              <w:rPr>
                <w:b/>
              </w:rPr>
              <w:t>vorhandenen</w:t>
            </w:r>
            <w:r>
              <w:t xml:space="preserve"> Historie (höchstens 12 Monate), ab </w:t>
            </w:r>
            <w:r>
              <w:rPr>
                <w:b/>
              </w:rPr>
              <w:t>240 h</w:t>
            </w:r>
            <w:r>
              <w:t>. Geschrumpft an derselben Marktmitte und τ², das Rauschen aus Rate × min(365, Tage der Historie). Ohne eigene Historie: Marktmitte</w:t>
            </w:r>
          </w:p>
        </w:tc>
      </w:tr>
      <w:tr>
        <w:tc>
          <w:tcPr>
            <w:tcW w:type="dxa" w:w="4320"/>
          </w:tcPr>
          <w:p>
            <w:r/>
            <w:r>
              <w:t>Training des rsi-Modells, Marktmitte, τ²</w:t>
            </w:r>
          </w:p>
        </w:tc>
        <w:tc>
          <w:tcPr>
            <w:tcW w:type="dxa" w:w="4320"/>
          </w:tcPr>
          <w:p>
            <w:r/>
            <w:r>
              <w:t xml:space="preserve">weiter </w:t>
            </w:r>
            <w:r>
              <w:rPr>
                <w:b/>
              </w:rPr>
              <w:t>nur aus reifen</w:t>
            </w:r>
            <w:r>
              <w:t xml:space="preserve"> Stunden (≥ 12 Monate), damit bitgleich</w:t>
            </w:r>
          </w:p>
        </w:tc>
      </w:tr>
      <w:tr>
        <w:tc>
          <w:tcPr>
            <w:tcW w:type="dxa" w:w="4320"/>
          </w:tcPr>
          <w:p>
            <w:r/>
            <w:r>
              <w:rPr>
                <w:b/>
              </w:rPr>
              <w:t>Mindesthistorie der Regel</w:t>
            </w:r>
          </w:p>
        </w:tc>
        <w:tc>
          <w:tcPr>
            <w:tcW w:type="dxa" w:w="4320"/>
          </w:tcPr>
          <w:p>
            <w:r/>
            <w:r>
              <w:rPr>
                <w:b/>
              </w:rPr>
              <w:t>10 Tage</w:t>
            </w:r>
            <w:r>
              <w:t xml:space="preserve"> (rsi-Monatsabstand, 240 h)</w:t>
            </w:r>
          </w:p>
        </w:tc>
      </w:tr>
      <w:tr>
        <w:tc>
          <w:tcPr>
            <w:tcW w:type="dxa" w:w="4320"/>
          </w:tcPr>
          <w:p>
            <w:r/>
            <w:r>
              <w:t>Wirkung</w:t>
            </w:r>
          </w:p>
        </w:tc>
        <w:tc>
          <w:tcPr>
            <w:tcW w:type="dxa" w:w="4320"/>
          </w:tcPr>
          <w:p>
            <w:r/>
            <w:r>
              <w:t>+18–21 % Einstiege auf 72–74 zusätzlichen Assets, tragen in 4/4 Mengen</w:t>
            </w:r>
          </w:p>
        </w:tc>
      </w:tr>
    </w:tbl>
    <w:p/>
    <w:p>
      <w:pPr>
        <w:jc w:val="left"/>
      </w:pPr>
      <w:r>
        <w:rPr>
          <w:b/>
        </w:rPr>
        <w:t>Referenzzahlen mit J</w:t>
      </w:r>
      <w:r>
        <w:t xml:space="preserve"> (ersetzen Abschnitt 5 nach der Festschreibung):</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r>
            <w:r>
              <w:rPr>
                <w:b/>
              </w:rPr>
              <w:t>bestand</w:t>
            </w:r>
          </w:p>
        </w:tc>
        <w:tc>
          <w:tcPr>
            <w:tcW w:type="dxa" w:w="1728"/>
          </w:tcPr>
          <w:p>
            <w:r>
              <w:rPr>
                <w:b/>
              </w:rPr>
            </w:r>
            <w:r>
              <w:rPr>
                <w:b/>
              </w:rPr>
              <w:t>unverzerrt:1</w:t>
            </w:r>
          </w:p>
        </w:tc>
        <w:tc>
          <w:tcPr>
            <w:tcW w:type="dxa" w:w="1728"/>
          </w:tcPr>
          <w:p>
            <w:r>
              <w:rPr>
                <w:b/>
              </w:rPr>
            </w:r>
            <w:r>
              <w:rPr>
                <w:b/>
              </w:rPr>
              <w:t>unverzerrt:2</w:t>
            </w:r>
          </w:p>
        </w:tc>
        <w:tc>
          <w:tcPr>
            <w:tcW w:type="dxa" w:w="1728"/>
          </w:tcPr>
          <w:p>
            <w:r>
              <w:rPr>
                <w:b/>
              </w:rPr>
            </w:r>
            <w:r>
              <w:rPr>
                <w:b/>
              </w:rPr>
              <w:t>unverzerrt:3</w:t>
            </w:r>
          </w:p>
        </w:tc>
      </w:tr>
      <w:tr>
        <w:tc>
          <w:tcPr>
            <w:tcW w:type="dxa" w:w="1728"/>
          </w:tcPr>
          <w:p>
            <w:r/>
            <w:r>
              <w:t>Einstiege 2024–26</w:t>
            </w:r>
          </w:p>
        </w:tc>
        <w:tc>
          <w:tcPr>
            <w:tcW w:type="dxa" w:w="1728"/>
          </w:tcPr>
          <w:p>
            <w:r/>
            <w:r>
              <w:t>9.905</w:t>
            </w:r>
          </w:p>
        </w:tc>
        <w:tc>
          <w:tcPr>
            <w:tcW w:type="dxa" w:w="1728"/>
          </w:tcPr>
          <w:p>
            <w:r/>
            <w:r>
              <w:t>10.337</w:t>
            </w:r>
          </w:p>
        </w:tc>
        <w:tc>
          <w:tcPr>
            <w:tcW w:type="dxa" w:w="1728"/>
          </w:tcPr>
          <w:p>
            <w:r/>
            <w:r>
              <w:t>9.670</w:t>
            </w:r>
          </w:p>
        </w:tc>
        <w:tc>
          <w:tcPr>
            <w:tcW w:type="dxa" w:w="1728"/>
          </w:tcPr>
          <w:p>
            <w:r/>
            <w:r>
              <w:t>9.956</w:t>
            </w:r>
          </w:p>
        </w:tc>
      </w:tr>
      <w:tr>
        <w:tc>
          <w:tcPr>
            <w:tcW w:type="dxa" w:w="1728"/>
          </w:tcPr>
          <w:p>
            <w:r/>
            <w:r>
              <w:t>Rohvorteil je Handel 2025–26</w:t>
            </w:r>
          </w:p>
        </w:tc>
        <w:tc>
          <w:tcPr>
            <w:tcW w:type="dxa" w:w="1728"/>
          </w:tcPr>
          <w:p>
            <w:r/>
            <w:r>
              <w:t>+0,583 %</w:t>
            </w:r>
          </w:p>
        </w:tc>
        <w:tc>
          <w:tcPr>
            <w:tcW w:type="dxa" w:w="1728"/>
          </w:tcPr>
          <w:p>
            <w:r/>
            <w:r>
              <w:t>+0,324 %</w:t>
            </w:r>
          </w:p>
        </w:tc>
        <w:tc>
          <w:tcPr>
            <w:tcW w:type="dxa" w:w="1728"/>
          </w:tcPr>
          <w:p>
            <w:r/>
            <w:r>
              <w:t>+0,331 %</w:t>
            </w:r>
          </w:p>
        </w:tc>
        <w:tc>
          <w:tcPr>
            <w:tcW w:type="dxa" w:w="1728"/>
          </w:tcPr>
          <w:p>
            <w:r/>
            <w:r>
              <w:t>+0,343 %</w:t>
            </w:r>
          </w:p>
        </w:tc>
      </w:tr>
      <w:tr>
        <w:tc>
          <w:tcPr>
            <w:tcW w:type="dxa" w:w="1728"/>
          </w:tcPr>
          <w:p>
            <w:r/>
            <w:r>
              <w:t>Hebelkonto 2025–26 (log)</w:t>
            </w:r>
          </w:p>
        </w:tc>
        <w:tc>
          <w:tcPr>
            <w:tcW w:type="dxa" w:w="1728"/>
          </w:tcPr>
          <w:p>
            <w:r/>
            <w:r>
              <w:t>+0,2634</w:t>
            </w:r>
          </w:p>
        </w:tc>
        <w:tc>
          <w:tcPr>
            <w:tcW w:type="dxa" w:w="1728"/>
          </w:tcPr>
          <w:p>
            <w:r/>
            <w:r>
              <w:t>−0,4877</w:t>
            </w:r>
          </w:p>
        </w:tc>
        <w:tc>
          <w:tcPr>
            <w:tcW w:type="dxa" w:w="1728"/>
          </w:tcPr>
          <w:p>
            <w:r/>
            <w:r>
              <w:t>−0,4543</w:t>
            </w:r>
          </w:p>
        </w:tc>
        <w:tc>
          <w:tcPr>
            <w:tcW w:type="dxa" w:w="1728"/>
          </w:tcPr>
          <w:p>
            <w:r/>
            <w:r>
              <w:t>−0,4058</w:t>
            </w:r>
          </w:p>
        </w:tc>
      </w:tr>
    </w:tbl>
    <w:p/>
    <w:p>
      <w:pPr>
        <w:jc w:val="left"/>
      </w:pPr>
      <w:r>
        <w:t xml:space="preserve">Aufruf: </w:t>
      </w:r>
      <w:r>
        <w:rPr>
          <w:rFonts w:ascii="Consolas" w:hAnsi="Consolas"/>
          <w:color w:val="882222"/>
          <w:sz w:val="18"/>
        </w:rPr>
        <w:t>messe_losfahren.py --kern --ruhe 48 --junge --export 0.035</w:t>
      </w:r>
      <w:r>
        <w:t xml:space="preserve"> und </w:t>
      </w:r>
      <w:r>
        <w:rPr>
          <w:rFonts w:ascii="Consolas" w:hAnsi="Consolas"/>
          <w:color w:val="882222"/>
          <w:sz w:val="18"/>
        </w:rPr>
        <w:t>messe_k6_hebelstufe.py --kurs mark --einstiege kern48j_einstiege_&lt;m&gt;.csv --simulation 24,ohne,0.02</w:t>
      </w:r>
      <w:r>
        <w:t xml:space="preserve">. ✔ Schritt 2 erledigt (2.699): Die Schwellenwahl auf der vollständigen 2024-Menge ergibt wieder </w:t>
      </w:r>
      <w:r>
        <w:rPr>
          <w:b/>
        </w:rPr>
        <w:t>s = +0,035</w:t>
      </w:r>
      <w:r>
        <w:t xml:space="preserve">, in der REGEL0-Form mit dem Abstand +0,088 gegen +0,066. </w:t>
      </w:r>
      <w:r>
        <w:rPr>
          <w:b/>
        </w:rPr>
        <w:t>Die REGEL0 kann festgeschrieben werden</w:t>
      </w:r>
      <w:r>
        <w:t xml:space="preserve"> (Nutzer-Ja).</w:t>
      </w:r>
    </w:p>
    <w:p>
      <w:pPr>
        <w:spacing w:before="120"/>
      </w:pPr>
      <w:r>
        <w:rPr>
          <w:color w:val="AAAAAA"/>
        </w:rPr>
        <w:t>────────────────────────────────────────────────────────────</w:t>
      </w:r>
    </w:p>
    <w:p>
      <w:pPr>
        <w:pStyle w:val="Heading2"/>
      </w:pPr>
      <w:r>
        <w:t>10b. BTC (2.701) — ✔ AUFGENOMMEN (Nutzer 01.10., E-37)</w:t>
      </w:r>
    </w:p>
    <w:p>
      <w:pPr>
        <w:jc w:val="left"/>
      </w:pPr>
      <w:r>
        <w:t xml:space="preserve">Mit </w:t>
      </w:r>
      <w:r>
        <w:rPr>
          <w:rFonts w:ascii="Consolas" w:hAnsi="Consolas"/>
          <w:color w:val="882222"/>
          <w:sz w:val="18"/>
        </w:rPr>
        <w:t>--mit-btc</w:t>
      </w:r>
      <w:r>
        <w:t xml:space="preserve"> wird BTC zusätzlich ausgewertet, ohne die REGEL0 für die anderen zu ändern (bitgleich). Mit etwa 30 Signalen je Jahr ist BTC </w:t>
      </w:r>
      <w:r>
        <w:rPr>
          <w:b/>
        </w:rPr>
        <w:t>nicht nachweisbar</w:t>
      </w:r>
      <w:r>
        <w:t xml:space="preserve">, aber </w:t>
      </w:r>
      <w:r>
        <w:rPr>
          <w:b/>
        </w:rPr>
        <w:t>unschädlich</w:t>
      </w:r>
      <w:r>
        <w:t xml:space="preserve"> (Konto um null, keine Liquidation). ✔ </w:t>
      </w:r>
      <w:r>
        <w:rPr>
          <w:b/>
        </w:rPr>
        <w:t>Nutzer 01.10.: *„Ja, BTC aufnehmen.“</w:t>
      </w:r>
      <w:r>
        <w:rPr>
          <w:i/>
        </w:rPr>
        <w:t xml:space="preserve"> BTC ist handelbar, mit dem Vermerk </w:t>
      </w:r>
      <w:r>
        <w:t>nicht nachgewiesen, unschädlich*. Die Referenz in Abschnitt 5 gilt jetzt mit BTC.</w:t>
      </w:r>
    </w:p>
    <w:p>
      <w:pPr>
        <w:pStyle w:val="Heading2"/>
      </w:pPr>
      <w:r>
        <w:t>10a. Auskunft — REGEL0 auf der Hebel-Liste des Nutzers (2.700)</w:t>
      </w:r>
    </w:p>
    <w:p>
      <w:pPr>
        <w:jc w:val="left"/>
      </w:pPr>
      <w:r>
        <w:t xml:space="preserve">Auf den 25 gehandelten Assets der Liste: Hebelkonto </w:t>
      </w:r>
      <w:r>
        <w:rPr>
          <w:b/>
        </w:rPr>
        <w:t>+0,2063 (×1,23)</w:t>
      </w:r>
      <w:r>
        <w:t xml:space="preserve">, beide Jahre positiv, Rohvorteil </w:t>
      </w:r>
      <w:r>
        <w:rPr>
          <w:b/>
        </w:rPr>
        <w:t>+0,87 %</w:t>
      </w:r>
      <w:r>
        <w:t xml:space="preserve"> gegen 0,48 % Kosten, Rückgang 0,083. Die Auswahl trägt: Zufallslisten liegen bei +0,59 %. ⚠️ Rückschau-Vorbehalt, die Liste ist die heutige. Das ist </w:t>
      </w:r>
      <w:r>
        <w:rPr>
          <w:b/>
        </w:rPr>
        <w:t>keine</w:t>
      </w:r>
      <w:r>
        <w:t xml:space="preserve"> neue Referenz, die REGEL0-Referenz bleibt Abschnitt 5.</w:t>
      </w:r>
    </w:p>
    <w:p>
      <w:pPr>
        <w:pStyle w:val="Heading2"/>
      </w:pPr>
      <w:r>
        <w:t>10. ✔ FESTSCHREIBUNG (01.10.2026, E-36)</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Prüfung vor der Festschreibung</w:t>
            </w:r>
          </w:p>
        </w:tc>
        <w:tc>
          <w:tcPr>
            <w:tcW w:type="dxa" w:w="4320"/>
          </w:tcPr>
          <w:p>
            <w:r>
              <w:rPr>
                <w:b/>
              </w:rPr>
            </w:r>
            <w:r>
              <w:rPr>
                <w:b/>
              </w:rPr>
              <w:t>Ergebnis</w:t>
            </w:r>
          </w:p>
        </w:tc>
      </w:tr>
      <w:tr>
        <w:tc>
          <w:tcPr>
            <w:tcW w:type="dxa" w:w="4320"/>
          </w:tcPr>
          <w:p>
            <w:r/>
            <w:r>
              <w:t>Showstopper Mindesthistorie</w:t>
            </w:r>
          </w:p>
        </w:tc>
        <w:tc>
          <w:tcPr>
            <w:tcW w:type="dxa" w:w="4320"/>
          </w:tcPr>
          <w:p>
            <w:r/>
            <w:r>
              <w:t>✔ behoben mit J (2.698), 4/4 Mengen</w:t>
            </w:r>
          </w:p>
        </w:tc>
      </w:tr>
      <w:tr>
        <w:tc>
          <w:tcPr>
            <w:tcW w:type="dxa" w:w="4320"/>
          </w:tcPr>
          <w:p>
            <w:r/>
            <w:r>
              <w:t>Schwellenwahl auf der vollständigen 2024-Menge</w:t>
            </w:r>
          </w:p>
        </w:tc>
        <w:tc>
          <w:tcPr>
            <w:tcW w:type="dxa" w:w="4320"/>
          </w:tcPr>
          <w:p>
            <w:r/>
            <w:r>
              <w:t>✔ wieder s = +0,035 (2.699), Abstand +0,088 gegen +0,066</w:t>
            </w:r>
          </w:p>
        </w:tc>
      </w:tr>
      <w:tr>
        <w:tc>
          <w:tcPr>
            <w:tcW w:type="dxa" w:w="4320"/>
          </w:tcPr>
          <w:p>
            <w:r/>
            <w:r>
              <w:t>R-R11 der Referenzzahlen</w:t>
            </w:r>
          </w:p>
        </w:tc>
        <w:tc>
          <w:tcPr>
            <w:tcW w:type="dxa" w:w="4320"/>
          </w:tcPr>
          <w:p>
            <w:r/>
            <w:r>
              <w:t xml:space="preserve">✔ die Zahlen in Abschnitt 5 = Belegdateien (Wache </w:t>
            </w:r>
            <w:r>
              <w:rPr>
                <w:rFonts w:ascii="Consolas" w:hAnsi="Consolas"/>
                <w:color w:val="882222"/>
                <w:sz w:val="18"/>
              </w:rPr>
              <w:t>regel0_gegen_belege</w:t>
            </w:r>
            <w:r>
              <w:t>, 0 Abweichungen), mit Gegenprobe</w:t>
            </w:r>
          </w:p>
        </w:tc>
      </w:tr>
      <w:tr>
        <w:tc>
          <w:tcPr>
            <w:tcW w:type="dxa" w:w="4320"/>
          </w:tcPr>
          <w:p>
            <w:r/>
            <w:r>
              <w:t>Code</w:t>
            </w:r>
          </w:p>
        </w:tc>
        <w:tc>
          <w:tcPr>
            <w:tcW w:type="dxa" w:w="4320"/>
          </w:tcPr>
          <w:p>
            <w:r/>
            <w:r>
              <w:t xml:space="preserve">✔ </w:t>
            </w:r>
            <w:r>
              <w:rPr>
                <w:rFonts w:ascii="Consolas" w:hAnsi="Consolas"/>
                <w:color w:val="882222"/>
                <w:sz w:val="18"/>
              </w:rPr>
              <w:t>hebel_neubau.REGEL0</w:t>
            </w:r>
            <w:r>
              <w:t xml:space="preserve"> mit allen Parametern, Aufruf und Referenz</w:t>
            </w:r>
          </w:p>
        </w:tc>
      </w:tr>
    </w:tbl>
    <w:p/>
    <w:p>
      <w:pPr>
        <w:jc w:val="left"/>
      </w:pPr>
      <w:r>
        <w:t xml:space="preserve">➤ </w:t>
      </w:r>
      <w:r>
        <w:rPr>
          <w:b/>
        </w:rPr>
        <w:t>Ab jetzt:</w:t>
      </w:r>
      <w:r>
        <w:t xml:space="preserve"> Jede Optimierung wird eine </w:t>
      </w:r>
      <w:r>
        <w:rPr>
          <w:b/>
        </w:rPr>
        <w:t>REGEL1 …</w:t>
      </w:r>
      <w:r>
        <w:t xml:space="preserve"> mit Voranalyse, Vorab-Festlegung und der Betriebsprüfung B1–B9 (E-35). Sie reproduziert zuerst REGEL0 (Referenzzahlen Abschnitt 5) und wird nur mit Nutzer-Ja festgeschrieben. Nächste Schritte nach Plan: </w:t>
      </w:r>
      <w:r>
        <w:rPr>
          <w:b/>
        </w:rPr>
        <w:t>4</w:t>
      </w:r>
      <w:r>
        <w:t xml:space="preserve"> Betriebsprüfung am Notebook (Befundaufnahme) · </w:t>
      </w:r>
      <w:r>
        <w:rPr>
          <w:b/>
        </w:rPr>
        <w:t>5</w:t>
      </w:r>
      <w:r>
        <w:t xml:space="preserve"> Messung auf der Hebel-Liste · </w:t>
      </w:r>
      <w:r>
        <w:rPr>
          <w:b/>
        </w:rPr>
        <w:t>6</w:t>
      </w:r>
      <w:r>
        <w:t xml:space="preserve"> REGEL1..n (A, B, R, L, Käuferanteil).</w:t>
      </w:r>
    </w:p>
    <w:p>
      <w:pPr>
        <w:pStyle w:val="Heading2"/>
      </w:pPr>
      <w:r>
        <w:t>11. Die REGEL0 auf der vollständigen Datenbasis (O11, 01.10.2026, E-40) — Befunde 2.705–2.707</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rPr>
                <w:b/>
              </w:rPr>
              <w:t>Geltungsbereich</w:t>
            </w:r>
          </w:p>
        </w:tc>
        <w:tc>
          <w:tcPr>
            <w:tcW w:type="dxa" w:w="4320"/>
          </w:tcPr>
          <w:p>
            <w:r/>
            <w:r>
              <w:t xml:space="preserve">jedes Krypto-Asset, das Binance stündlich führt (Spot oder Futures, je die längere Historie). Messbasis bleiben die </w:t>
            </w:r>
            <w:r>
              <w:rPr>
                <w:b/>
              </w:rPr>
              <w:t>116</w:t>
            </w:r>
            <w:r>
              <w:t xml:space="preserve"> Assets in </w:t>
            </w:r>
            <w:r>
              <w:rPr>
                <w:rFonts w:ascii="Consolas" w:hAnsi="Consolas"/>
                <w:color w:val="882222"/>
                <w:sz w:val="18"/>
              </w:rPr>
              <w:t>data/stundenkurse.db</w:t>
            </w:r>
          </w:p>
        </w:tc>
      </w:tr>
      <w:tr>
        <w:tc>
          <w:tcPr>
            <w:tcW w:type="dxa" w:w="4320"/>
          </w:tcPr>
          <w:p>
            <w:r/>
            <w:r>
              <w:rPr>
                <w:b/>
              </w:rPr>
              <w:t>Neue Assets</w:t>
            </w:r>
          </w:p>
        </w:tc>
        <w:tc>
          <w:tcPr>
            <w:tcW w:type="dxa" w:w="4320"/>
          </w:tcPr>
          <w:p>
            <w:r/>
            <w:r>
              <w:t xml:space="preserve">werden </w:t>
            </w:r>
            <w:r>
              <w:rPr>
                <w:b/>
              </w:rPr>
              <w:t>bewertet, nicht trainiert</w:t>
            </w:r>
            <w:r>
              <w:t xml:space="preserve"> (</w:t>
            </w:r>
            <w:r>
              <w:rPr>
                <w:rFonts w:ascii="Consolas" w:hAnsi="Consolas"/>
                <w:color w:val="882222"/>
                <w:sz w:val="18"/>
              </w:rPr>
              <w:t>--zusatz</w:t>
            </w:r>
            <w:r>
              <w:t xml:space="preserve">): Modell, Marktmitte und ATR-Training kommen aus der Messbasis. Die REGEL0-Referenz oben bleibt </w:t>
            </w:r>
            <w:r>
              <w:rPr>
                <w:b/>
              </w:rPr>
              <w:t>bitgleich</w:t>
            </w:r>
            <w:r>
              <w:t xml:space="preserve"> (R-R11 zeilengleich, Konto der übrigen = Referenz in 4/4)</w:t>
            </w:r>
          </w:p>
        </w:tc>
      </w:tr>
      <w:tr>
        <w:tc>
          <w:tcPr>
            <w:tcW w:type="dxa" w:w="4320"/>
          </w:tcPr>
          <w:p>
            <w:r/>
            <w:r>
              <w:rPr>
                <w:b/>
              </w:rPr>
              <w:t>Nachweis</w:t>
            </w:r>
          </w:p>
        </w:tc>
        <w:tc>
          <w:tcPr>
            <w:tcW w:type="dxa" w:w="4320"/>
          </w:tcPr>
          <w:p>
            <w:r/>
            <w:r>
              <w:t>Die REGEL0 trägt für die 11 neu bewerteten Assets in 4/4 Mengen (2.706), wirtschaftlich wie die breite Menge</w:t>
            </w:r>
          </w:p>
        </w:tc>
      </w:tr>
      <w:tr>
        <w:tc>
          <w:tcPr>
            <w:tcW w:type="dxa" w:w="4320"/>
          </w:tcPr>
          <w:p>
            <w:r/>
            <w:r>
              <w:rPr>
                <w:b/>
              </w:rPr>
              <w:t>Zuordnung</w:t>
            </w:r>
          </w:p>
        </w:tc>
        <w:tc>
          <w:tcPr>
            <w:tcW w:type="dxa" w:w="4320"/>
          </w:tcPr>
          <w:p>
            <w:r/>
            <w:r>
              <w:rPr>
                <w:rFonts w:ascii="Consolas" w:hAnsi="Consolas"/>
                <w:color w:val="882222"/>
                <w:sz w:val="18"/>
              </w:rPr>
              <w:t>Basisinfos/symbol_zuordnung.csv</w:t>
            </w:r>
            <w:r>
              <w:t xml:space="preserve">: nur Ausnahmen (CANTON → CC, CAT → 1000CAT). </w:t>
            </w:r>
            <w:r>
              <w:rPr>
                <w:b/>
              </w:rPr>
              <w:t>Gesperrt</w:t>
            </w:r>
            <w:r>
              <w:t xml:space="preserve"> sind LIT, NEIRO, ONE, QUICK, ZK (anderer Coin unter gleichem Kürzel, 2.707)</w:t>
            </w:r>
          </w:p>
        </w:tc>
      </w:tr>
      <w:tr>
        <w:tc>
          <w:tcPr>
            <w:tcW w:type="dxa" w:w="4320"/>
          </w:tcPr>
          <w:p>
            <w:r/>
            <w:r>
              <w:rPr>
                <w:b/>
              </w:rPr>
              <w:t>Ohne Markpreis</w:t>
            </w:r>
          </w:p>
        </w:tc>
        <w:tc>
          <w:tcPr>
            <w:tcW w:type="dxa" w:w="4320"/>
          </w:tcPr>
          <w:p>
            <w:r/>
            <w:r>
              <w:t xml:space="preserve">126 reine Spot-Assets (z. B. XNO): Sie bekommen Signale, aber </w:t>
            </w:r>
            <w:r>
              <w:rPr>
                <w:b/>
              </w:rPr>
              <w:t>keine</w:t>
            </w:r>
            <w:r>
              <w:t xml:space="preserve"> Hebelstufe</w:t>
            </w:r>
          </w:p>
        </w:tc>
      </w:tr>
      <w:tr>
        <w:tc>
          <w:tcPr>
            <w:tcW w:type="dxa" w:w="4320"/>
          </w:tcPr>
          <w:p>
            <w:r/>
            <w:r>
              <w:rPr>
                <w:b/>
              </w:rPr>
              <w:t>Signalbilanz</w:t>
            </w:r>
          </w:p>
        </w:tc>
        <w:tc>
          <w:tcPr>
            <w:tcW w:type="dxa" w:w="4320"/>
          </w:tcPr>
          <w:p>
            <w:r/>
            <w:r>
              <w:t>25–45 Signale je Asset und Jahr. 40 von 60 Assets aus Watchlist, Bestand und Hebel-Liste bekommen Signale. Ohne Binance bleiben AIOZ, SUPRA, VSN, XDC</w:t>
            </w:r>
          </w:p>
        </w:tc>
      </w:tr>
      <w:tr>
        <w:tc>
          <w:tcPr>
            <w:tcW w:type="dxa" w:w="4320"/>
          </w:tcPr>
          <w:p>
            <w:r/>
            <w:r>
              <w:rPr>
                <w:b/>
              </w:rPr>
              <w:t>Optimierungsversuche</w:t>
            </w:r>
          </w:p>
        </w:tc>
        <w:tc>
          <w:tcPr>
            <w:tcW w:type="dxa" w:w="4320"/>
          </w:tcPr>
          <w:p>
            <w:r/>
            <w:r>
              <w:t xml:space="preserve">A (2.702), B (2.703), L (2.704) haben die REGEL0 </w:t>
            </w:r>
            <w:r>
              <w:rPr>
                <w:b/>
              </w:rPr>
              <w:t>nicht</w:t>
            </w:r>
            <w:r>
              <w:t xml:space="preserve"> verbessert. Sie bleibt unverändert</w:t>
            </w:r>
          </w:p>
        </w:tc>
      </w:tr>
    </w:tbl>
    <w:p/>
    <w:p>
      <w:pPr>
        <w:pStyle w:val="Heading2"/>
      </w:pPr>
      <w:r>
        <w:t>12. Betrieb — Positionsgröße (E-44, 02.10.2026; nicht Teil der Bewertung)</w:t>
      </w:r>
    </w:p>
    <w:p>
      <w:pPr>
        <w:jc w:val="left"/>
      </w:pPr>
      <w:r>
        <w:t xml:space="preserve">Die REGEL0 liefert </w:t>
      </w:r>
      <w:r>
        <w:rPr>
          <w:b/>
        </w:rPr>
        <w:t>Signal</w:t>
      </w:r>
      <w:r>
        <w:t xml:space="preserve"> und </w:t>
      </w:r>
      <w:r>
        <w:rPr>
          <w:b/>
        </w:rPr>
        <w:t>Hebelstufe</w:t>
      </w:r>
      <w:r>
        <w:t xml:space="preserve">. Die </w:t>
      </w:r>
      <w:r>
        <w:rPr>
          <w:b/>
        </w:rPr>
        <w:t>Positionsgröße</w:t>
      </w:r>
      <w:r>
        <w:t xml:space="preserve"> ist eine Betriebsfestlegung, die der Nutzer anpasst. Startwerte stehen in </w:t>
      </w:r>
      <w:r>
        <w:rPr>
          <w:rFonts w:ascii="Consolas" w:hAnsi="Consolas"/>
          <w:color w:val="882222"/>
          <w:sz w:val="18"/>
        </w:rPr>
        <w:t>Basisinfos/regel0_betrieb.yaml</w:t>
      </w:r>
      <w:r>
        <w:t xml:space="preserve">: Positionswert 1.500 € je Trade, Einsatz = Positionswert / Stufe (5x 300 €, 3x 500 €, 2x 750 €), begrenzt auf 300–800 €, Richtwert 4 gleichzeitig </w:t>
      </w:r>
      <w:r>
        <w:rPr>
          <w:b/>
        </w:rPr>
        <w:t>ohne Sperre</w:t>
      </w:r>
      <w:r>
        <w:t xml:space="preserve">. Die Erfolgsmessung oben (Einsatz 1 % des Kontos) bleibt die </w:t>
      </w:r>
      <w:r>
        <w:rPr>
          <w:b/>
        </w:rPr>
        <w:t>Referenz</w:t>
      </w:r>
      <w:r>
        <w:t xml:space="preserve"> für jede REGELn.</w:t>
      </w:r>
    </w:p>
    <w:p>
      <w:pPr>
        <w:pStyle w:val="Heading2"/>
      </w:pPr>
      <w:r>
        <w:t>13. Fassung 0.1 — die Schrumpfung kausal (2.708, 02.10.2026)</w:t>
      </w:r>
    </w:p>
    <w:p>
      <w:pPr>
        <w:jc w:val="left"/>
      </w:pPr>
      <w:r>
        <w:rPr>
          <w:b/>
        </w:rPr>
        <w:t>Anlass (Schritt 7, S7-2, B-1):</w:t>
      </w:r>
      <w:r>
        <w:t xml:space="preserve"> Die Messung nahm Marktmitte, τ² und Schrumpfungsfaktor je Asset aus </w:t>
      </w:r>
      <w:r>
        <w:rPr>
          <w:b/>
        </w:rPr>
        <w:t>allen</w:t>
      </w:r>
      <w:r>
        <w:t xml:space="preserve"> Gitterstunden des </w:t>
      </w:r>
      <w:r>
        <w:rPr>
          <w:b/>
        </w:rPr>
        <w:t>laufenden</w:t>
      </w:r>
      <w:r>
        <w:t xml:space="preserve"> Monats. Eine Stunde am 10. nutzte also Werte vom 11. bis zum 31. Das ist ein Vorgriff, und im Betrieb ist es nicht nachbaubar.</w:t>
      </w:r>
    </w:p>
    <w:p>
      <w:pPr>
        <w:jc w:val="left"/>
      </w:pPr>
      <w:r>
        <w:rPr>
          <w:b/>
        </w:rPr>
        <w:t>Fassung 0.1:</w:t>
      </w:r>
      <w:r>
        <w:t xml:space="preserve"> Diese Größen kommen aus dem </w:t>
      </w:r>
      <w:r>
        <w:rPr>
          <w:b/>
        </w:rPr>
        <w:t>Vormonat</w:t>
      </w:r>
      <w:r>
        <w:t xml:space="preserve">. Ein Asset ohne Vormonat (jung, BTC, neu) nimmt seine Gitterstunden des laufenden Monats </w:t>
      </w:r>
      <w:r>
        <w:rPr>
          <w:b/>
        </w:rPr>
        <w:t>bis zur Stunde t</w:t>
      </w:r>
      <w:r>
        <w:t xml:space="preserve">. Aufruf mit </w:t>
      </w:r>
      <w:r>
        <w:rPr>
          <w:rFonts w:ascii="Consolas" w:hAnsi="Consolas"/>
          <w:color w:val="882222"/>
          <w:sz w:val="18"/>
        </w:rPr>
        <w:t>--normal kausal</w:t>
      </w:r>
      <w:r>
        <w:t xml:space="preserve">, im Code </w:t>
      </w:r>
      <w:r>
        <w:rPr>
          <w:rFonts w:ascii="Consolas" w:hAnsi="Consolas"/>
          <w:color w:val="882222"/>
          <w:sz w:val="18"/>
        </w:rPr>
        <w:t>hebel_neubau.REGEL0["fassung_0_1"]</w:t>
      </w:r>
      <w:r>
        <w:t>.</w:t>
      </w:r>
    </w:p>
    <w:p>
      <w:pPr>
        <w:jc w:val="left"/>
      </w:pPr>
      <w:r>
        <w:rPr>
          <w:b/>
        </w:rPr>
        <w:t>Teil 0</w:t>
      </w:r>
      <w:r>
        <w:t xml:space="preserve"> (Regel vorab, E-45; Beleg </w:t>
      </w:r>
      <w:r>
        <w:rPr>
          <w:rFonts w:ascii="Consolas" w:hAnsi="Consolas"/>
          <w:color w:val="882222"/>
          <w:sz w:val="18"/>
        </w:rPr>
        <w:t>Basisinfos/Teil0_02_10/ergebnis_teil0.txt</w:t>
      </w:r>
      <w:r>
        <w:t>):</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Menge</w:t>
            </w:r>
          </w:p>
        </w:tc>
        <w:tc>
          <w:tcPr>
            <w:tcW w:type="dxa" w:w="2160"/>
          </w:tcPr>
          <w:p>
            <w:r>
              <w:rPr>
                <w:b/>
              </w:rPr>
            </w:r>
            <w:r>
              <w:rPr>
                <w:b/>
              </w:rPr>
              <w:t>Einstiege gleich</w:t>
            </w:r>
          </w:p>
        </w:tc>
        <w:tc>
          <w:tcPr>
            <w:tcW w:type="dxa" w:w="2160"/>
          </w:tcPr>
          <w:p>
            <w:r>
              <w:rPr>
                <w:b/>
              </w:rPr>
            </w:r>
            <w:r>
              <w:rPr>
                <w:b/>
              </w:rPr>
              <w:t>Rohvorteil je Handel</w:t>
            </w:r>
          </w:p>
        </w:tc>
        <w:tc>
          <w:tcPr>
            <w:tcW w:type="dxa" w:w="2160"/>
          </w:tcPr>
          <w:p>
            <w:r>
              <w:rPr>
                <w:b/>
              </w:rPr>
            </w:r>
            <w:r>
              <w:rPr>
                <w:b/>
              </w:rPr>
              <w:t>Konto</w:t>
            </w:r>
          </w:p>
        </w:tc>
      </w:tr>
      <w:tr>
        <w:tc>
          <w:tcPr>
            <w:tcW w:type="dxa" w:w="2160"/>
          </w:tcPr>
          <w:p>
            <w:r/>
            <w:r>
              <w:t>bestand</w:t>
            </w:r>
          </w:p>
        </w:tc>
        <w:tc>
          <w:tcPr>
            <w:tcW w:type="dxa" w:w="2160"/>
          </w:tcPr>
          <w:p>
            <w:r/>
            <w:r>
              <w:rPr>
                <w:b/>
              </w:rPr>
              <w:t>bitgleich</w:t>
            </w:r>
            <w:r>
              <w:t xml:space="preserve"> (10.000)</w:t>
            </w:r>
          </w:p>
        </w:tc>
        <w:tc>
          <w:tcPr>
            <w:tcW w:type="dxa" w:w="2160"/>
          </w:tcPr>
          <w:p>
            <w:r/>
            <w:r>
              <w:t>unverändert +0,583 %</w:t>
            </w:r>
          </w:p>
        </w:tc>
        <w:tc>
          <w:tcPr>
            <w:tcW w:type="dxa" w:w="2160"/>
          </w:tcPr>
          <w:p>
            <w:r/>
            <w:r>
              <w:t>unverändert</w:t>
            </w:r>
          </w:p>
        </w:tc>
      </w:tr>
      <w:tr>
        <w:tc>
          <w:tcPr>
            <w:tcW w:type="dxa" w:w="2160"/>
          </w:tcPr>
          <w:p>
            <w:r/>
            <w:r>
              <w:t>unverzerrt:1 · :2</w:t>
            </w:r>
          </w:p>
        </w:tc>
        <w:tc>
          <w:tcPr>
            <w:tcW w:type="dxa" w:w="2160"/>
          </w:tcPr>
          <w:p>
            <w:r/>
            <w:r>
              <w:rPr>
                <w:b/>
              </w:rPr>
              <w:t>bitgleich</w:t>
            </w:r>
          </w:p>
        </w:tc>
        <w:tc>
          <w:tcPr>
            <w:tcW w:type="dxa" w:w="2160"/>
          </w:tcPr>
          <w:p>
            <w:r/>
            <w:r>
              <w:t>unverändert</w:t>
            </w:r>
          </w:p>
        </w:tc>
        <w:tc>
          <w:tcPr>
            <w:tcW w:type="dxa" w:w="2160"/>
          </w:tcPr>
          <w:p>
            <w:r/>
            <w:r>
              <w:t>unverändert</w:t>
            </w:r>
          </w:p>
        </w:tc>
      </w:tr>
      <w:tr>
        <w:tc>
          <w:tcPr>
            <w:tcW w:type="dxa" w:w="2160"/>
          </w:tcPr>
          <w:p>
            <w:r/>
            <w:r>
              <w:t>unverzerrt:3</w:t>
            </w:r>
          </w:p>
        </w:tc>
        <w:tc>
          <w:tcPr>
            <w:tcW w:type="dxa" w:w="2160"/>
          </w:tcPr>
          <w:p>
            <w:r/>
            <w:r>
              <w:t xml:space="preserve">98,7 % (161 Abweichungen, </w:t>
            </w:r>
            <w:r>
              <w:rPr>
                <w:b/>
              </w:rPr>
              <w:t>alle im Januar 2026</w:t>
            </w:r>
            <w:r>
              <w:t>, 85 Assets)</w:t>
            </w:r>
          </w:p>
        </w:tc>
        <w:tc>
          <w:tcPr>
            <w:tcW w:type="dxa" w:w="2160"/>
          </w:tcPr>
          <w:p>
            <w:r/>
            <w:r>
              <w:rPr>
                <w:b/>
              </w:rPr>
              <w:t>+0,350 %</w:t>
            </w:r>
            <w:r>
              <w:t xml:space="preserve"> statt +0,345 %</w:t>
            </w:r>
          </w:p>
        </w:tc>
        <w:tc>
          <w:tcPr>
            <w:tcW w:type="dxa" w:w="2160"/>
          </w:tcPr>
          <w:p>
            <w:r/>
            <w:r>
              <w:t>−0,384 statt −0,407</w:t>
            </w:r>
          </w:p>
        </w:tc>
      </w:tr>
      <w:tr>
        <w:tc>
          <w:tcPr>
            <w:tcW w:type="dxa" w:w="2160"/>
          </w:tcPr>
          <w:p>
            <w:r/>
            <w:r>
              <w:rPr>
                <w:b/>
              </w:rPr>
              <w:t>Betriebsreferenz</w:t>
            </w:r>
            <w:r>
              <w:t xml:space="preserve"> (mit den Zusatz-Assets deiner Listen, 127 Assets)</w:t>
            </w:r>
          </w:p>
        </w:tc>
        <w:tc>
          <w:tcPr>
            <w:tcW w:type="dxa" w:w="2160"/>
          </w:tcPr>
          <w:p>
            <w:r/>
            <w:r>
              <w:rPr>
                <w:b/>
              </w:rPr>
              <w:t>bitgleich</w:t>
            </w:r>
            <w:r>
              <w:t xml:space="preserve"> (10.732)</w:t>
            </w:r>
          </w:p>
        </w:tc>
        <w:tc>
          <w:tcPr>
            <w:tcW w:type="dxa" w:w="2160"/>
          </w:tcPr>
          <w:p>
            <w:r/>
            <w:r>
              <w:t>—</w:t>
            </w:r>
          </w:p>
        </w:tc>
        <w:tc>
          <w:tcPr>
            <w:tcW w:type="dxa" w:w="2160"/>
          </w:tcPr>
          <w:p>
            <w:r/>
            <w:r>
              <w:t>—</w:t>
            </w:r>
          </w:p>
        </w:tc>
      </w:tr>
    </w:tbl>
    <w:p/>
    <w:p>
      <w:pPr>
        <w:jc w:val="left"/>
      </w:pPr>
      <w:r>
        <w:t xml:space="preserve">→ 4 von 4 Mengen erfüllen die Regel. </w:t>
      </w:r>
      <w:r>
        <w:rPr>
          <w:b/>
        </w:rPr>
        <w:t>Fassung 0.1 gilt</w:t>
      </w:r>
      <w:r>
        <w:t xml:space="preserve">, und der Betrieb rechnet sie. Die Referenzzahlen in Abschnitt 5 gelten für bestand, unverzerrt:1 und :2 unverändert. unverzerrt:3 hat in Fassung 0.1 die Referenz 9.958 Einstiege, Konto −0,3840, Rohvorteil +0,350 %. Die Signalbilanz je Asset ist </w:t>
      </w:r>
      <w:r>
        <w:rPr>
          <w:b/>
        </w:rPr>
        <w:t>unverändert</w:t>
      </w:r>
      <w:r>
        <w:t>.</w:t>
      </w:r>
    </w:p>
    <w:p>
      <w:pPr>
        <w:jc w:val="left"/>
      </w:pPr>
      <w:r>
        <w:rPr>
          <w:b/>
        </w:rPr>
        <w:t>Warum so klein:</w:t>
      </w:r>
      <w:r>
        <w:t xml:space="preserve"> v̂ ist der Vorsprung </w:t>
      </w:r>
      <w:r>
        <w:rPr>
          <w:b/>
        </w:rPr>
        <w:t>gegen</w:t>
      </w:r>
      <w:r>
        <w:t xml:space="preserve"> das Normal. Eine Verschiebung des Normals hebt sich bei q um 0,47 fast vollständig auf: |ΔQSh| im Median 0,005,</w:t>
      </w:r>
    </w:p>
    <w:p>
      <w:pPr>
        <w:jc w:val="left"/>
      </w:pPr>
      <w:r>
        <w:t>|Δv̂| im Median 0,0000075.</w:t>
      </w:r>
    </w:p>
    <w:p>
      <w:pPr>
        <w:jc w:val="left"/>
      </w:pPr>
      <w:r>
        <w:t xml:space="preserve">⭐⭐ </w:t>
      </w:r>
      <w:r>
        <w:rPr>
          <w:b/>
        </w:rPr>
        <w:t>Nebenbefund:</w:t>
      </w:r>
      <w:r>
        <w:t xml:space="preserve"> τ² ist in </w:t>
      </w:r>
      <w:r>
        <w:rPr>
          <w:b/>
        </w:rPr>
        <w:t>31 von 33 Monaten null</w:t>
      </w:r>
      <w:r>
        <w:t xml:space="preserve">, in bestand wie in unverzerrt:3 und in beiden Fassungen. Das geschrumpfte Normal ist damit in der Bewertung fast immer die </w:t>
      </w:r>
      <w:r>
        <w:rPr>
          <w:b/>
        </w:rPr>
        <w:t>Marktmitte</w:t>
      </w:r>
      <w:r>
        <w:t xml:space="preserve"> des Monats. Das eigene Normal eines Assets wirkt nur noch über den Offset im </w:t>
      </w:r>
      <w:r>
        <w:rPr>
          <w:b/>
        </w:rPr>
        <w:t>Training</w:t>
      </w:r>
      <w:r>
        <w:t>. Das passt zu 2.683 (</w:t>
      </w:r>
      <w:r>
        <w:rPr>
          <w:i/>
        </w:rPr>
        <w:t>das Normal ist meist Rauschen</w:t>
      </w:r>
      <w:r>
        <w:t xml:space="preserve">). Die Beschreibung </w:t>
      </w:r>
      <w:r>
        <w:rPr>
          <w:i/>
        </w:rPr>
        <w:t>Vorsprung gegen die eigene Phase</w:t>
      </w:r>
      <w:r>
        <w:t xml:space="preserve"> trifft für die Bewertung also nicht zu: Es ist ein Vorsprung gegen die </w:t>
      </w:r>
      <w:r>
        <w:rPr>
          <w:b/>
        </w:rPr>
        <w:t>Marktmitte</w:t>
      </w:r>
      <w:r>
        <w:t>.</w:t>
      </w:r>
    </w:p>
    <w:p>
      <w:pPr>
        <w:jc w:val="left"/>
      </w:pPr>
      <w:r>
        <w:t xml:space="preserve">⚠️ Offen und </w:t>
      </w:r>
      <w:r>
        <w:rPr>
          <w:b/>
        </w:rPr>
        <w:t>nicht geklärt:</w:t>
      </w:r>
      <w:r>
        <w:t xml:space="preserve"> Warum in unverzerrt:3 gerade der Januar 2026 die Schwelle anders sieht (674 Stunden).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