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 xml:space="preserve">Hebel: nur Long, max. </w:t>
            </w:r>
            <w:r>
              <w:rPr>
                <w:b/>
              </w:rPr>
              <w:t>3x</w:t>
            </w:r>
            <w:r>
              <w:t>, Liquidationspreis muss ausgewiesen werden</w:t>
            </w:r>
          </w:p>
        </w:tc>
        <w:tc>
          <w:tcPr>
            <w:tcW w:type="dxa" w:w="2268"/>
          </w:tcPr>
          <w:p>
            <w:r>
              <w:t>konfiguriert</w:t>
            </w:r>
          </w:p>
        </w:tc>
        <w:tc>
          <w:tcPr>
            <w:tcW w:type="dxa" w:w="2324"/>
          </w:tcPr>
          <w:p>
            <w:r>
              <w:rPr>
                <w:b/>
              </w:rPr>
              <w:t>DEAKTIVIERT</w:t>
            </w:r>
            <w:r>
              <w:t xml:space="preserve"> (Strategie S-6 aus) — eigenes, noch zu führendes Thema</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 Details siehe Abschnitt 7.</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beteiligt ist</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Bitpanda-Sync), ist bewusst manuell — alles, was </w:t>
      </w:r>
      <w:r>
        <w:rPr>
          <w:b/>
        </w:rPr>
        <w:t>kostenlose öffentliche Marktdaten</w:t>
      </w:r>
      <w:r>
        <w:t xml:space="preserve"> sind (Preise, Historie), läuft automatisch im Hintergrund. Der Marktscan ist der einzige Fall, der teilweise automatisch UND optional KI-gestützt läuft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w:t>
            </w:r>
          </w:p>
        </w:tc>
        <w:tc>
          <w:tcPr>
            <w:tcW w:type="dxa" w:w="2551"/>
          </w:tcPr>
          <w:p>
            <w:r>
              <w:t xml:space="preserve">aktiv, aber noch </w:t>
            </w:r>
            <w:r>
              <w:rPr>
                <w:b/>
              </w:rPr>
              <w:t>keine echte Mehrfach-Tranchen-Unterstützung im Signal-Schema</w:t>
            </w:r>
            <w:r>
              <w:t xml:space="preserve"> (offener Punkt)</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pBdr>
          <w:bottom w:val="single" w:sz="6" w:space="1" w:color="BFBFBF"/>
        </w:pBdr>
        <w:spacing w:before="40" w:after="200"/>
      </w:pPr>
    </w:p>
    <w:p>
      <w:pPr>
        <w:pStyle w:val="Heading1"/>
      </w:pPr>
      <w:r>
        <w:t>9.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Bdr>
          <w:bottom w:val="single" w:sz="6" w:space="1" w:color="BFBFBF"/>
        </w:pBdr>
        <w:spacing w:before="40" w:after="200"/>
      </w:pPr>
    </w:p>
    <w:p>
      <w:pPr>
        <w:pStyle w:val="Heading1"/>
      </w:pPr>
      <w:r>
        <w:t>10.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(3x, aktuell ohnehin deaktiviert)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