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Zusätzlich wurde die Formel von reinem Prozentsatz auf </w:t>
      </w:r>
      <w:r>
        <w:rPr>
          <w:b/>
        </w:rPr>
        <w:t>Hybrid</w:t>
      </w:r>
      <w:r>
        <w:t xml:space="preserve"> umgestellt: erforderlich ist das </w:t>
      </w:r>
      <w:r>
        <w:rPr>
          <w:i/>
        </w:rPr>
        <w:t>Größere</w:t>
      </w:r>
      <w:r>
        <w:t xml:space="preserv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Krypto-Bestände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und Nicht-Krypto-Assets wie Aktien/ETF/Rohstoffe ohnehin nicht auf Bitpanda gelistet sind) — der Sync ist rein manuell ausgelöst, kein Hintergrund-Job.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pBdr>
          <w:bottom w:val="single" w:sz="6" w:space="1" w:color="BFBFBF"/>
        </w:pBdr>
        <w:spacing w:before="40" w:after="200"/>
      </w:pPr>
    </w:p>
    <w:p>
      <w:pPr>
        <w:pStyle w:val="Heading1"/>
      </w:pPr>
      <w:r>
        <w:t>3. Regime-Steuerung — wie sich die Regeln je nach Marktlage anpassen (RG-1 bis RG-11)</w:t>
      </w:r>
    </w:p>
    <w:p>
      <w:pPr>
        <w:spacing w:after="160"/>
      </w:pPr>
      <w:r>
        <w:t xml:space="preserve">Grundidee: Die </w:t>
      </w:r>
      <w:r>
        <w:rPr>
          <w:i/>
        </w:rPr>
        <w:t>Struktur</w:t>
      </w:r>
      <w:r>
        <w:t xml:space="preserve">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w:t>
            </w:r>
          </w:p>
        </w:tc>
        <w:tc>
          <w:tcPr>
            <w:tcW w:type="dxa" w:w="2551"/>
          </w:tcPr>
          <w:p>
            <w:r>
              <w:t xml:space="preserve">aktiv, aber noch </w:t>
            </w:r>
            <w:r>
              <w:rPr>
                <w:b/>
              </w:rPr>
              <w:t>keine echte Mehrfach-Tranchen-Unterstützung im Signal-Schema</w:t>
            </w:r>
            <w:r>
              <w:t xml:space="preserve"> (offener Punkt)</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pBdr>
          <w:bottom w:val="single" w:sz="6" w:space="1" w:color="BFBFBF"/>
        </w:pBdr>
        <w:spacing w:before="40" w:after="200"/>
      </w:pPr>
    </w:p>
    <w:p>
      <w:pPr>
        <w:pStyle w:val="Heading1"/>
      </w:pPr>
      <w:r>
        <w:t>7.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w:t>
      </w:r>
    </w:p>
    <w:p>
      <w:pPr>
        <w:pStyle w:val="ListBullet"/>
        <w:spacing w:after="80"/>
      </w:pPr>
      <w:r>
        <w:rPr>
          <w:rFonts w:ascii="Consolas" w:hAnsi="Consolas"/>
          <w:sz w:val="20"/>
        </w:rPr>
        <w:t>agent/krypto/pipeline.py</w:t>
      </w:r>
      <w:r>
        <w:t xml:space="preserve"> — Reihenfolge R-5.0 bis R-5.11 (Orchestrierung)</w:t>
      </w:r>
    </w:p>
    <w:p>
      <w:pPr>
        <w:pBdr>
          <w:bottom w:val="single" w:sz="6" w:space="1" w:color="BFBFBF"/>
        </w:pBdr>
        <w:spacing w:before="40" w:after="200"/>
      </w:pPr>
    </w:p>
    <w:p>
      <w:pPr>
        <w:pStyle w:val="Heading1"/>
      </w:pPr>
      <w:r>
        <w:t>8.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