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jc w:val="left"/>
      </w:pPr>
      <w:r>
        <w:t>Diese zehn Punkte werden IMMER kurz durchgegangen, auch wenn der Anlass für den Export etwas anderes war - Auffälligkeiten ausserhalb der eigentlichen Fragestellung nicht ignorieren (siehe z.B. den ISOC/X136-Ticker-Fund, der nebenbei beim Durchgehen von Punkt 6 auffiel).</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pStyle w:val="Heading3"/>
      </w:pPr>
      <w:r>
        <w:t>2.5.7 Indikator-Befunde: Basislinie je Bucket ist PFLICHT</w:t>
      </w:r>
    </w:p>
    <w:p>
      <w:pPr>
        <w:jc w:val="left"/>
      </w:pPr>
      <w:r>
        <w:t>Ein Befund der Form "bei hohem X laufen unsere Signale besser" ist erst dann ein Regelkandidat, wenn die MECHANISCHE BASISLINIE JE X-BUCKET danebensteht - also: wie oft trifft ein Zufallseinstieg das Ziel bei diesem Indikatorniveau? Ohne diesen Vergleich misst man Marktphasen und haelt sie fuer Signalqualitaet.</w:t>
      </w:r>
    </w:p>
    <w:p>
      <w:pPr>
        <w:jc w:val="left"/>
      </w:pPr>
      <w:r>
        <w:t xml:space="preserve">Werkzeug: </w:t>
      </w:r>
      <w:r>
        <w:rPr>
          <w:rFonts w:ascii="Consolas" w:hAnsi="Consolas"/>
          <w:color w:val="882222"/>
          <w:sz w:val="18"/>
        </w:rPr>
        <w:t>agent/krypto/statistik.py::basislinie_je_indikator_bucket()</w:t>
      </w:r>
      <w:r>
        <w:t>.</w:t>
      </w:r>
    </w:p>
    <w:p>
      <w:pPr>
        <w:jc w:val="left"/>
      </w:pPr>
      <w:r>
        <w:rPr>
          <w:b/>
        </w:rPr>
        <w:t>Lehrbeispiel ADX (02.08.), warum das keine Formalie ist:</w:t>
      </w:r>
      <w:r>
        <w:t xml:space="preserve"> der Befund sah durch ALLE uebrigen Pruefungen gut aus - monoton steigende Trefferquote, plausible Theorie, Literaturdeckung, scheinbar an einem zweiten Datensatz repliziert. Er fiel erst hier: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ADX</w:t>
            </w:r>
          </w:p>
        </w:tc>
        <w:tc>
          <w:tcPr>
            <w:tcW w:type="dxa" w:w="2880"/>
          </w:tcPr>
          <w:p>
            <w:r>
              <w:rPr>
                <w:b/>
              </w:rPr>
            </w:r>
            <w:r>
              <w:rPr>
                <w:b/>
              </w:rPr>
              <w:t>Zufallseinstieg (n=1.298)</w:t>
            </w:r>
          </w:p>
        </w:tc>
        <w:tc>
          <w:tcPr>
            <w:tcW w:type="dxa" w:w="2880"/>
          </w:tcPr>
          <w:p>
            <w:r>
              <w:rPr>
                <w:b/>
              </w:rPr>
            </w:r>
            <w:r>
              <w:rPr>
                <w:b/>
              </w:rPr>
              <w:t>Signale (n=74)</w:t>
            </w:r>
          </w:p>
        </w:tc>
      </w:tr>
      <w:tr>
        <w:tc>
          <w:tcPr>
            <w:tcW w:type="dxa" w:w="2880"/>
          </w:tcPr>
          <w:p>
            <w:r/>
            <w:r>
              <w:t>unter 15</w:t>
            </w:r>
          </w:p>
        </w:tc>
        <w:tc>
          <w:tcPr>
            <w:tcW w:type="dxa" w:w="2880"/>
          </w:tcPr>
          <w:p>
            <w:r/>
            <w:r>
              <w:t>19,9%</w:t>
            </w:r>
          </w:p>
        </w:tc>
        <w:tc>
          <w:tcPr>
            <w:tcW w:type="dxa" w:w="2880"/>
          </w:tcPr>
          <w:p>
            <w:r/>
            <w:r>
              <w:t>8,8%</w:t>
            </w:r>
          </w:p>
        </w:tc>
      </w:tr>
      <w:tr>
        <w:tc>
          <w:tcPr>
            <w:tcW w:type="dxa" w:w="2880"/>
          </w:tcPr>
          <w:p>
            <w:r/>
            <w:r>
              <w:t>15-20</w:t>
            </w:r>
          </w:p>
        </w:tc>
        <w:tc>
          <w:tcPr>
            <w:tcW w:type="dxa" w:w="2880"/>
          </w:tcPr>
          <w:p>
            <w:r/>
            <w:r>
              <w:t>25,6%</w:t>
            </w:r>
          </w:p>
        </w:tc>
        <w:tc>
          <w:tcPr>
            <w:tcW w:type="dxa" w:w="2880"/>
          </w:tcPr>
          <w:p>
            <w:r/>
            <w:r>
              <w:t>18,5%</w:t>
            </w:r>
          </w:p>
        </w:tc>
      </w:tr>
      <w:tr>
        <w:tc>
          <w:tcPr>
            <w:tcW w:type="dxa" w:w="2880"/>
          </w:tcPr>
          <w:p>
            <w:r/>
            <w:r>
              <w:t>20-25</w:t>
            </w:r>
          </w:p>
        </w:tc>
        <w:tc>
          <w:tcPr>
            <w:tcW w:type="dxa" w:w="2880"/>
          </w:tcPr>
          <w:p>
            <w:r/>
            <w:r>
              <w:t>30,2%</w:t>
            </w:r>
          </w:p>
        </w:tc>
        <w:tc>
          <w:tcPr>
            <w:tcW w:type="dxa" w:w="2880"/>
          </w:tcPr>
          <w:p>
            <w:r/>
            <w:r>
              <w:t>23,1%</w:t>
            </w:r>
          </w:p>
        </w:tc>
      </w:tr>
      <w:tr>
        <w:tc>
          <w:tcPr>
            <w:tcW w:type="dxa" w:w="2880"/>
          </w:tcPr>
          <w:p>
            <w:r/>
            <w:r>
              <w:t>ab 25</w:t>
            </w:r>
          </w:p>
        </w:tc>
        <w:tc>
          <w:tcPr>
            <w:tcW w:type="dxa" w:w="2880"/>
          </w:tcPr>
          <w:p>
            <w:r/>
            <w:r>
              <w:t>31,1%</w:t>
            </w:r>
          </w:p>
        </w:tc>
        <w:tc>
          <w:tcPr>
            <w:tcW w:type="dxa" w:w="2880"/>
          </w:tcPr>
          <w:p>
            <w:r/>
            <w:r>
              <w:t>-</w:t>
            </w:r>
          </w:p>
        </w:tc>
      </w:tr>
    </w:tbl>
    <w:p/>
    <w:p>
      <w:pPr>
        <w:jc w:val="left"/>
      </w:pPr>
      <w:r>
        <w:t>Der Zufallseinstieg wird in Trendphasen um 11,1 Prozentpunkte besser. Genau dieser Anstieg war als "Signalqualitaet" gelesen worden. Ein ADX-Gate haette nur in Phasen gefiltert, in denen ohnehin alles besser laeuft - und selbst der beste Bucket hat einen Erwartungswert von -0,068 R.</w:t>
      </w:r>
    </w:p>
    <w:p>
      <w:pPr>
        <w:jc w:val="left"/>
      </w:pPr>
      <w:r>
        <w:t>Zuvor waren schon zwei andere Pruefungen faellig gewesen: die spektakulaeren oberen Werte des Ausgangsbefunds ("69,2%", "100%") stammten aus Buckets mit n=1, und die Aussage haing an der Bucket-Wahl (Grenze 20: +13,6pp, Grenze 22: +8,8pp, Grenze 25: +35,1pp bei n=2).</w:t>
      </w:r>
    </w:p>
    <w:p>
      <w:pPr>
        <w:jc w:val="left"/>
      </w:pPr>
      <w:r>
        <w:rPr>
          <w:b/>
        </w:rPr>
        <w:t>Zweitens: Simulation schlaegt Warten.</w:t>
      </w:r>
      <w:r>
        <w:t xml:space="preserve"> Die Frage war zunaechst auf "in einigen Wochen mit mehr Signalen entscheiden" vertagt. Die Basislinie beantwortete sie sofort mit 3.385 Tagesbalken statt 76 Signalen - besser, als die Datenlage nach vier Wochen Warten gewesen waere. Wo eine mechanische Simulation moeglich ist, ist Abwarten die schlechtere Option.</w:t>
      </w:r>
    </w:p>
    <w:p>
      <w:pPr>
        <w:jc w:val="left"/>
      </w:pPr>
      <w:r>
        <w:rPr>
          <w:b/>
        </w:rPr>
        <w:t>Drittens - und hier zeigte sich die Regel selbst als unvollstaendig:</w:t>
      </w:r>
      <w:r>
        <w:t xml:space="preserve"> aus derselben Auswertung schien hervorzugehen, dass die Signale in JEDEM ADX-Bucket unter dem Zufallseinstieg liegen. Bei sauberer Nachmessung loeste sich das auf. Daraus die entscheidende Ergaenzung:</w:t>
      </w:r>
    </w:p>
    <w:p>
      <w:pPr>
        <w:jc w:val="left"/>
      </w:pPr>
      <w:r>
        <w:rPr>
          <w:b/>
        </w:rPr>
        <w:t>Die Basislinie muss MATCHED sein - in Parametern UND Richtung.</w:t>
      </w:r>
    </w:p>
    <w:p>
      <w:pPr>
        <w:jc w:val="left"/>
      </w:pPr>
      <w:r>
        <w:t>Die erste Messung verglich Signale gegen eine Basislinie mit 6,7% Stop und CRV 2,0. Die Signale selbst fahren aber 3,2% Median-Stop und CRV 3,50 - das ist eine voellig andere Strategie, mit Break-even bei 22% statt 33%. Der "Abstand" war der Unterschied zwischen zwei Strategien, nicht zwischen Signal und Zufall.</w:t>
      </w:r>
    </w:p>
    <w:p>
      <w:pPr>
        <w:jc w:val="left"/>
      </w:pPr>
      <w:r>
        <w:t>Richtungsgetrennt und mit den Parametern der jeweiligen Signalgruppe gerechnet: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Richtung</w:t>
            </w:r>
          </w:p>
        </w:tc>
        <w:tc>
          <w:tcPr>
            <w:tcW w:type="dxa" w:w="2160"/>
          </w:tcPr>
          <w:p>
            <w:r>
              <w:rPr>
                <w:b/>
              </w:rPr>
            </w:r>
            <w:r>
              <w:rPr>
                <w:b/>
              </w:rPr>
              <w:t>Signale</w:t>
            </w:r>
          </w:p>
        </w:tc>
        <w:tc>
          <w:tcPr>
            <w:tcW w:type="dxa" w:w="2160"/>
          </w:tcPr>
          <w:p>
            <w:r>
              <w:rPr>
                <w:b/>
              </w:rPr>
            </w:r>
            <w:r>
              <w:rPr>
                <w:b/>
              </w:rPr>
              <w:t>Zufall (matched)</w:t>
            </w:r>
          </w:p>
        </w:tc>
        <w:tc>
          <w:tcPr>
            <w:tcW w:type="dxa" w:w="2160"/>
          </w:tcPr>
          <w:p>
            <w:r>
              <w:rPr>
                <w:b/>
              </w:rPr>
            </w:r>
            <w:r>
              <w:rPr>
                <w:b/>
              </w:rPr>
              <w:t>Differenz</w:t>
            </w:r>
          </w:p>
        </w:tc>
      </w:tr>
      <w:tr>
        <w:tc>
          <w:tcPr>
            <w:tcW w:type="dxa" w:w="2160"/>
          </w:tcPr>
          <w:p>
            <w:r/>
            <w:r>
              <w:t>LONG (n=55)</w:t>
            </w:r>
          </w:p>
        </w:tc>
        <w:tc>
          <w:tcPr>
            <w:tcW w:type="dxa" w:w="2160"/>
          </w:tcPr>
          <w:p>
            <w:r/>
            <w:r>
              <w:t>16,4% [9-28%]</w:t>
            </w:r>
          </w:p>
        </w:tc>
        <w:tc>
          <w:tcPr>
            <w:tcW w:type="dxa" w:w="2160"/>
          </w:tcPr>
          <w:p>
            <w:r/>
            <w:r>
              <w:t>16,0% [15-17%]</w:t>
            </w:r>
          </w:p>
        </w:tc>
        <w:tc>
          <w:tcPr>
            <w:tcW w:type="dxa" w:w="2160"/>
          </w:tcPr>
          <w:p>
            <w:r/>
            <w:r>
              <w:t>+0,3pp</w:t>
            </w:r>
          </w:p>
        </w:tc>
      </w:tr>
      <w:tr>
        <w:tc>
          <w:tcPr>
            <w:tcW w:type="dxa" w:w="2160"/>
          </w:tcPr>
          <w:p>
            <w:r/>
            <w:r>
              <w:t>SHORT (n=14)</w:t>
            </w:r>
          </w:p>
        </w:tc>
        <w:tc>
          <w:tcPr>
            <w:tcW w:type="dxa" w:w="2160"/>
          </w:tcPr>
          <w:p>
            <w:r/>
            <w:r>
              <w:t>14,3% [4-40%]</w:t>
            </w:r>
          </w:p>
        </w:tc>
        <w:tc>
          <w:tcPr>
            <w:tcW w:type="dxa" w:w="2160"/>
          </w:tcPr>
          <w:p>
            <w:r/>
            <w:r>
              <w:t>21,3% [20-23%]</w:t>
            </w:r>
          </w:p>
        </w:tc>
        <w:tc>
          <w:tcPr>
            <w:tcW w:type="dxa" w:w="2160"/>
          </w:tcPr>
          <w:p>
            <w:r/>
            <w:r>
              <w:t>-7,0pp, Intervalle ueberlappen</w:t>
            </w:r>
          </w:p>
        </w:tc>
      </w:tr>
    </w:tbl>
    <w:p/>
    <w:p>
      <w:pPr>
        <w:jc w:val="left"/>
      </w:pPr>
      <w:r>
        <w:t>Der Abstand ist null. Die Signale sind bei LONG genauso gut wie ein Zufallseinstieg - nicht schlechter, aber auch nicht besser; beide liegen unter dem Break-even von 22%. SHORT bleibt mit n=14 unbeurteilbar.</w:t>
      </w:r>
    </w:p>
    <w:p>
      <w:pPr>
        <w:jc w:val="left"/>
      </w:pPr>
      <w:r>
        <w:rPr>
          <w:b/>
        </w:rPr>
        <w:t>Checkliste fuer jeden Basislinien-Vergleich:</w:t>
      </w:r>
      <w:r>
        <w:t xml:space="preserve"> gleiche Richtung, gleicher Stop-Abstand, gleiches CRV, gleicher Zeitraum. Fehlt eine dieser vier Bedingungen, misst man etwas anderes als Signalqualitaet - und zwar mit Zahlen, die ueberzeugend aussehen.</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jc w:val="left"/>
      </w:pPr>
      <w:r>
        <w:rPr>
          <w:b/>
        </w:rPr>
        <w:t>Vorgelagerte Regel - erst im eigenen Code, dann extern:</w:t>
      </w:r>
      <w:r>
        <w:t xml:space="preserve"> die Break-even-Formel </w:t>
      </w:r>
      <w:r>
        <w:rPr>
          <w:rFonts w:ascii="Consolas" w:hAnsi="Consolas"/>
          <w:color w:val="882222"/>
          <w:sz w:val="18"/>
        </w:rPr>
        <w:t>1/(1+CRV)</w:t>
      </w:r>
      <w:r>
        <w:t xml:space="preserve"> wurde am 02.08. per Web-Recherche "gefunden", obwohl sie seit 2026-07-29 in </w:t>
      </w:r>
      <w:r>
        <w:rPr>
          <w:rFonts w:ascii="Consolas" w:hAnsi="Consolas"/>
          <w:color w:val="882222"/>
          <w:sz w:val="18"/>
        </w:rPr>
        <w:t>backward_tracking.py::compute_baseline_ vergleich()</w:t>
      </w:r>
      <w:r>
        <w:t xml:space="preserve"> implementiert und im Docstring erklaert war ("bei CRV_MINIMUM=2.0 liegt Break-even bei 33,3%"), inklusive exaktem Binomialtest. Vor jeder externen Recherche also zuerst die eigene Codebasis und die Basisinfos- Dokumente durchsuchen - sonst wird Vorhandenes teuer nachgebaut oder, schlimmer, in einer zweiten Variante dupliziert.</w:t>
      </w:r>
    </w:p>
    <w:p>
      <w:pPr>
        <w:jc w:val="left"/>
      </w:pPr>
      <w:r>
        <w:rPr>
          <w:b/>
        </w:rPr>
        <w:t>Quellen mitfuehren (Nutzer-Vorgabe 02.08.):</w:t>
      </w:r>
      <w:r>
        <w:t xml:space="preserve"> Rechercheergebnisse ohne Quellenangabe sind spaeter nicht nachpruefbar und nicht widerlegbar - die Recherche vom 29.07. steht in </w:t>
      </w:r>
      <w:r>
        <w:rPr>
          <w:rFonts w:ascii="Consolas" w:hAnsi="Consolas"/>
          <w:color w:val="882222"/>
          <w:sz w:val="18"/>
        </w:rPr>
        <w:t>reference_externe_recherche_konfidenz_crv_risikofaktoren_29_07</w:t>
      </w:r>
      <w:r>
        <w:t xml:space="preserve"> (Memory) ohne eine einzige URL und ist damit nur noch "haben wir mal gelesen". Deshalb ab sofort: jede externe Quelle, auf die sich eine Entscheidung stuetzt, mit Link und Zugriffsdatum festhalten - hier im Dokument, wenn sie eine Regel begruendet, sonst in der zugehoerigen Memory.</w:t>
      </w:r>
    </w:p>
    <w:p>
      <w:pPr>
        <w:jc w:val="left"/>
      </w:pPr>
      <w:r>
        <w:t>Quellen der Recherchen vom 02.08.:</w:t>
      </w:r>
    </w:p>
    <w:p>
      <w:pPr>
        <w:pStyle w:val="ListBullet"/>
      </w:pPr>
      <w:r>
        <w:t>Break-even-Trefferquote je Chance-Risiko-Verhaeltnis (</w:t>
      </w:r>
      <w:r>
        <w:rPr>
          <w:rFonts w:ascii="Consolas" w:hAnsi="Consolas"/>
          <w:color w:val="882222"/>
          <w:sz w:val="18"/>
        </w:rPr>
        <w:t>1/(1+CRV)</w:t>
      </w:r>
      <w:r>
        <w:t>; bei CRV 2,0 = 33,3%), Zusammenhang Trefferquote/CRV und Expectancy-Formel:</w:t>
      </w:r>
    </w:p>
    <w:p>
      <w:pPr>
        <w:pStyle w:val="ListBullet2"/>
      </w:pPr>
      <w:r>
        <w:t>https://traderssecondbrain.com/guides/win-rate-vs-risk-reward</w:t>
      </w:r>
    </w:p>
    <w:p>
      <w:pPr>
        <w:pStyle w:val="ListBullet2"/>
      </w:pPr>
      <w:r>
        <w:t>https://www.luxalgo.com/blog/win-rate-and-riskreward-connection-explained/</w:t>
      </w:r>
    </w:p>
    <w:p>
      <w:pPr>
        <w:pStyle w:val="ListBullet2"/>
      </w:pPr>
      <w:r>
        <w:t>https://fxnx.com/en/blog/the-1-2-risk-reward-rule-why-it-s-the-minimum-for-forex</w:t>
      </w:r>
    </w:p>
    <w:p>
      <w:pPr>
        <w:pStyle w:val="ListBullet"/>
      </w:pPr>
      <w:r>
        <w:t xml:space="preserve">ADX-Schwellen (20/25/30) als Trendstaerke-Indikator, Einstiegs-Timing sowie die hier entscheidende Warnung, dass diese Schwellen </w:t>
      </w:r>
      <w:r>
        <w:rPr>
          <w:b/>
        </w:rPr>
        <w:t>marktabhaengig und nicht absolut</w:t>
      </w:r>
      <w:r>
        <w:t xml:space="preserve"> sind und ADX durch Doppelglaettung traege ist und nahe der Schwelle flackert:</w:t>
      </w:r>
    </w:p>
    <w:p>
      <w:pPr>
        <w:pStyle w:val="ListBullet2"/>
      </w:pPr>
      <w:r>
        <w:t>https://blog.traderspost.io/article/adx-indicator-trading-systems</w:t>
      </w:r>
    </w:p>
    <w:p>
      <w:pPr>
        <w:pStyle w:val="ListBullet2"/>
      </w:pPr>
      <w:r>
        <w:t>https://fxnx.com/en/blog/adx-indicator-strategy-the-gatekeeper-to-profitable-trends</w:t>
      </w:r>
    </w:p>
    <w:p>
      <w:pPr>
        <w:pStyle w:val="ListBullet2"/>
      </w:pPr>
      <w:r>
        <w:t>https://capital.com/en-int/learn/technical-analysis/average-directional-index</w:t>
      </w:r>
    </w:p>
    <w:p>
      <w:pPr>
        <w:jc w:val="left"/>
      </w:pPr>
      <w:r>
        <w:t xml:space="preserve">Einordnung der Quellenguete: es handelt sich um Trading-Fachportale, nicht um begutachtete Literatur. Fuer mathematische Identitaeten (Break-even-Formel) unkritisch - die ist herleitbar und wurde hier auch unabhaengig nachgerechnet. Fuer die ADX-Aussagen dienten sie als </w:t>
      </w:r>
      <w:r>
        <w:rPr>
          <w:b/>
        </w:rPr>
        <w:t>Plausibilitaets- und Warnhinweis</w:t>
      </w:r>
      <w:r>
        <w:t>, nicht als Beleg; der Beleg kam aus den eigenen Daten (Sensitivitaetspruefung plus Replikation an einem zweiten Datensatz).</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