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beteiligt ist</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Bitpanda-Sync), ist bewusst manuell — alles, was </w:t>
      </w:r>
      <w:r>
        <w:rPr>
          <w:b/>
        </w:rPr>
        <w:t>kostenlose öffentliche Marktdaten</w:t>
      </w:r>
      <w:r>
        <w:t xml:space="preserve"> sind (Preise, Historie), läuft automatisch im Hintergrund. Der Marktscan ist der einzige Fall, der teilweise automatisch UND optional KI-gestützt läuft (siehe oben).</w:t>
      </w:r>
    </w:p>
    <w:p>
      <w:pPr>
        <w:pBdr>
          <w:bottom w:val="single" w:sz="6" w:space="1" w:color="BFBFBF"/>
        </w:pBdr>
        <w:spacing w:before="40" w:after="200"/>
      </w:pPr>
    </w:p>
    <w:p>
      <w:pPr>
        <w:pStyle w:val="Heading1"/>
      </w:pPr>
      <w:r>
        <w:t>7.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8.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Bestands-Abgleiche (Abschnitt 6)</w:t>
      </w:r>
    </w:p>
    <w:p>
      <w:pPr>
        <w:pBdr>
          <w:bottom w:val="single" w:sz="6" w:space="1" w:color="BFBFBF"/>
        </w:pBdr>
        <w:spacing w:before="40" w:after="200"/>
      </w:pPr>
    </w:p>
    <w:p>
      <w:pPr>
        <w:pStyle w:val="Heading1"/>
      </w:pPr>
      <w:r>
        <w:t>9.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