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Kategorie-Taxonomie — Basisinformationen für Release 2 (Schwerpunkte/Thesen-Verwaltung)</w:t>
      </w:r>
    </w:p>
    <w:p>
      <w:pPr>
        <w:jc w:val="left"/>
      </w:pPr>
      <w:r>
        <w:rPr>
          <w:b/>
        </w:rPr>
        <w:t>Zweck dieses Dokuments:</w:t>
      </w:r>
      <w:r>
        <w:t xml:space="preserve"> Diskussionsgrundlage für den Aufbau der Schwerpunkte/Thesen-Verwaltung (Release 2, Punkt #332-#334). Enthält die vollständige Kategorie-Taxonomie aus </w:t>
      </w:r>
      <w:r>
        <w:rPr>
          <w:rFonts w:ascii="Consolas" w:hAnsi="Consolas"/>
          <w:color w:val="882222"/>
          <w:sz w:val="18"/>
        </w:rPr>
        <w:t>Basisinfos/kategorien.yaml</w:t>
      </w:r>
      <w:r>
        <w:t>, eine fachliche Einordnung pro Hauptgruppe (Thesen-Tauglichkeit, typische Makro-Treiber), eine Übersicht, welche der im Projekt bereits angebundenen Datenquellen für welche Hauptgruppe relevante Signale liefern, sowie einen Vorschlag für das Datenmodell einer "These" als Ausgangspunkt für die gemeinsame GUI-Konzeption.</w:t>
      </w:r>
    </w:p>
    <w:p>
      <w:pPr>
        <w:jc w:val="left"/>
      </w:pPr>
      <w:r>
        <w:rPr>
          <w:b/>
        </w:rPr>
        <w:t>Wichtiger Hinweis zur Einordnung:</w:t>
      </w:r>
      <w:r>
        <w:t xml:space="preserve"> Die "fachliche Einordnung" unten ist eine qualitative, allgemein anerkannte Makro-/Asset-Klassen-Logik (Lehrbuch- Zusammenhänge: was tendenziell von welchem Umfeld profitiert) — </w:t>
      </w:r>
      <w:r>
        <w:rPr>
          <w:b/>
        </w:rPr>
        <w:t>kein</w:t>
      </w:r>
      <w:r>
        <w:t xml:space="preserve"> Backtesting-Ergebnis, keine Garantie, keine personalisierte Anlageberatung. Sie soll nur als strukturierter Ausgangspunkt dienen, den du (ggf. mit KI-Unterstützung über Punkt #333) im Betrieb selbst laufend hinterfragst und anpasst.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Vollständige Taxonomie (10 Hauptgruppen, 72 Unterkategorien)</w:t>
      </w:r>
    </w:p>
    <w:p>
      <w:pPr>
        <w:jc w:val="left"/>
      </w:pPr>
      <w:r>
        <w:t xml:space="preserve">Quelle: </w:t>
      </w:r>
      <w:r>
        <w:rPr>
          <w:rFonts w:ascii="Consolas" w:hAnsi="Consolas"/>
          <w:color w:val="882222"/>
          <w:sz w:val="18"/>
        </w:rPr>
        <w:t>Basisinfos/kategorien.yaml</w:t>
      </w:r>
      <w:r>
        <w:t>, systematisch aus Bitpandas realem ETF/ETC/Edelmetall-Katalog hergeleitet (211 Produkte, Stand 2026-07-19). Krypto ist bewusst nicht Teil dieser Taxonomie (eigene Anlageklasse, andere Struktur in der Watchlist).</w:t>
      </w:r>
    </w:p>
    <w:p>
      <w:pPr>
        <w:pStyle w:val="Heading3"/>
      </w:pPr>
      <w:r>
        <w:t>1.1 Edelmetalle</w:t>
      </w:r>
    </w:p>
    <w:p>
      <w:pPr>
        <w:jc w:val="left"/>
      </w:pPr>
      <w:r>
        <w:t>Gold · Silber · Platin &amp; Palladium · Diversifiziert</w:t>
      </w:r>
    </w:p>
    <w:p>
      <w:pPr>
        <w:pStyle w:val="Heading3"/>
      </w:pPr>
      <w:r>
        <w:t>1.2 Industriemetalle</w:t>
      </w:r>
    </w:p>
    <w:p>
      <w:pPr>
        <w:jc w:val="left"/>
      </w:pPr>
      <w:r>
        <w:t>Kupfer · Seltene Erden &amp; strategische Metalle · Aluminium · Nickel · Zink · Blei · Zinn · Diversifiziert</w:t>
      </w:r>
    </w:p>
    <w:p>
      <w:pPr>
        <w:pStyle w:val="Heading3"/>
      </w:pPr>
      <w:r>
        <w:t>1.3 Energie</w:t>
      </w:r>
    </w:p>
    <w:p>
      <w:pPr>
        <w:jc w:val="left"/>
      </w:pPr>
      <w:r>
        <w:t>Rohöl · Erdgas · Benzin &amp; Heizöl · Diversifiziert (Energie-Rohstoffe) · Erneuerbare &amp; Clean Energy · Uran / Kernenergie · Batterietechnologie · Energieversorger (Aktien) · Energie-Förderer (Aktien)</w:t>
      </w:r>
    </w:p>
    <w:p>
      <w:pPr>
        <w:pStyle w:val="Heading3"/>
      </w:pPr>
      <w:r>
        <w:t>1.4 Agrarrohstoffe &amp; Nahrungsmittel</w:t>
      </w:r>
    </w:p>
    <w:p>
      <w:pPr>
        <w:jc w:val="left"/>
      </w:pPr>
      <w:r>
        <w:t>Getreide · Ölsaaten · Genussmittel · Vieh · Diversifiziert · Forstwirtschaft · Wasser · Nahrungsmittel der Zukunft (Aktien)</w:t>
      </w:r>
    </w:p>
    <w:p>
      <w:pPr>
        <w:pStyle w:val="Heading3"/>
      </w:pPr>
      <w:r>
        <w:t>1.5 Technologie &amp; KI</w:t>
      </w:r>
    </w:p>
    <w:p>
      <w:pPr>
        <w:jc w:val="left"/>
      </w:pPr>
      <w:r>
        <w:t>Künstliche Intelligenz · Cybersicherheit · Halbleiter · Robotik &amp; Automatisierung · Internet der Dinge · Blockchain (Aktien) · Fintech · 5G/Mobilfunk · Digitalwirtschaft · Metaverse · Gaming &amp; eSports · Internet-Infrastruktur · Breite Technologie-Indizes · Smart Cities · Telemedizin · E-Commerce · Biotech · Zukunft der Mobilität</w:t>
      </w:r>
    </w:p>
    <w:p>
      <w:pPr>
        <w:pStyle w:val="Heading3"/>
      </w:pPr>
      <w:r>
        <w:t>1.6 Absicherung / Hedge</w:t>
      </w:r>
    </w:p>
    <w:p>
      <w:pPr>
        <w:jc w:val="left"/>
      </w:pPr>
      <w:r>
        <w:t>Aktienmarkt-Short (breit) · Sektor-Short</w:t>
      </w:r>
    </w:p>
    <w:p>
      <w:pPr>
        <w:pStyle w:val="Heading3"/>
      </w:pPr>
      <w:r>
        <w:t>1.7 Aktien — Regionen &amp; Länder</w:t>
      </w:r>
    </w:p>
    <w:p>
      <w:pPr>
        <w:jc w:val="left"/>
      </w:pPr>
      <w:r>
        <w:t>Global/Entwickelte Welt · Emerging Markets (breit) · Europa (breit) · Nordamerika (breit) · USA (breit) · Asien-Pazifik (breit) · Einzelne Länder/Märkte (42 Einzelmärkte, u. a. China, Indien, Japan, Brasilien, Türkei, Vietnam)</w:t>
      </w:r>
    </w:p>
    <w:p>
      <w:pPr>
        <w:pStyle w:val="Heading3"/>
      </w:pPr>
      <w:r>
        <w:t>1.8 Aktien — Sektoren</w:t>
      </w:r>
    </w:p>
    <w:p>
      <w:pPr>
        <w:jc w:val="left"/>
      </w:pPr>
      <w:r>
        <w:t>Finanzen · Gesundheit · Konsum (zyklisch) · Konsum (Basiskonsumgüter) · Industrie · Kommunikationsdienste · Grundstoffe · Immobilien</w:t>
      </w:r>
    </w:p>
    <w:p>
      <w:pPr>
        <w:pStyle w:val="Heading3"/>
      </w:pPr>
      <w:r>
        <w:t>1.9 Anleihen &amp; Geldmarkt</w:t>
      </w:r>
    </w:p>
    <w:p>
      <w:pPr>
        <w:jc w:val="left"/>
      </w:pPr>
      <w:r>
        <w:t>Staatsanleihen · Unternehmensanleihen · Hochzinsanleihen · Inflationsgeschützt · Geldmarkt · Sonstige (Green Bonds, MBS, Aggregate)</w:t>
      </w:r>
    </w:p>
    <w:p>
      <w:pPr>
        <w:pStyle w:val="Heading3"/>
      </w:pPr>
      <w:r>
        <w:t>1.10 Sonstige</w:t>
      </w:r>
    </w:p>
    <w:p>
      <w:pPr>
        <w:jc w:val="left"/>
      </w:pPr>
      <w:r>
        <w:t>Faktor-/Strategie-ETFs (Dividende, Momentum, Value, Quality, Size) · Nischenthemen (Luxus, Tourismus, Private Equity, Carbon, Ageing Population)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Fachliche Einordnung pro Hauptgruppe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Hauptgruppe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Thesen-Tauglichkeit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Typischer Makro-Treiber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Beispiel-These (analog deinen eigenen)</w:t>
            </w:r>
          </w:p>
        </w:tc>
      </w:tr>
      <w:tr>
        <w:tc>
          <w:tcPr>
            <w:tcW w:type="dxa" w:w="2160"/>
          </w:tcPr>
          <w:p>
            <w:r/>
            <w:r>
              <w:t>Edelmetalle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Hoch</w:t>
            </w:r>
          </w:p>
        </w:tc>
        <w:tc>
          <w:tcPr>
            <w:tcW w:type="dxa" w:w="2160"/>
          </w:tcPr>
          <w:p>
            <w:r/>
            <w:r>
              <w:t>Fallende Realzinsen, lockere Geldpolitik, Inflationsangst, geopolitische Unsicherheit</w:t>
            </w:r>
          </w:p>
        </w:tc>
        <w:tc>
          <w:tcPr>
            <w:tcW w:type="dxa" w:w="2160"/>
          </w:tcPr>
          <w:p>
            <w:r/>
            <w:r>
              <w:t>"Geld wird günstiger" → Gold/Silber übergewichten</w:t>
            </w:r>
          </w:p>
        </w:tc>
      </w:tr>
      <w:tr>
        <w:tc>
          <w:tcPr>
            <w:tcW w:type="dxa" w:w="2160"/>
          </w:tcPr>
          <w:p>
            <w:r/>
            <w:r>
              <w:t>Industriemetalle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Hoch</w:t>
            </w:r>
          </w:p>
        </w:tc>
        <w:tc>
          <w:tcPr>
            <w:tcW w:type="dxa" w:w="2160"/>
          </w:tcPr>
          <w:p>
            <w:r/>
            <w:r>
              <w:t>Infrastruktur-/Elektrifizierungs-Investitionszyklen (Rechenzentren, E-Mobilität, Netzausbau), China-Konjunktur</w:t>
            </w:r>
          </w:p>
        </w:tc>
        <w:tc>
          <w:tcPr>
            <w:tcW w:type="dxa" w:w="2160"/>
          </w:tcPr>
          <w:p>
            <w:r/>
            <w:r>
              <w:t>"Rechenzentren werden gebaut" → Kupfer übergewichten</w:t>
            </w:r>
          </w:p>
        </w:tc>
      </w:tr>
      <w:tr>
        <w:tc>
          <w:tcPr>
            <w:tcW w:type="dxa" w:w="2160"/>
          </w:tcPr>
          <w:p>
            <w:r/>
            <w:r>
              <w:t>Energie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Hoch</w:t>
            </w:r>
          </w:p>
        </w:tc>
        <w:tc>
          <w:tcPr>
            <w:tcW w:type="dxa" w:w="2160"/>
          </w:tcPr>
          <w:p>
            <w:r/>
            <w:r>
              <w:t>Angebotsverknappung, geopolitische Lieferrisiken, strukturell steigende Nachfrage (KI-Rechenzentren, E-Mobilität-Übergang)</w:t>
            </w:r>
          </w:p>
        </w:tc>
        <w:tc>
          <w:tcPr>
            <w:tcW w:type="dxa" w:w="2160"/>
          </w:tcPr>
          <w:p>
            <w:r/>
            <w:r>
              <w:t>"Alles wird teurer, besonders Energie" → Energie übergewichten</w:t>
            </w:r>
          </w:p>
        </w:tc>
      </w:tr>
      <w:tr>
        <w:tc>
          <w:tcPr>
            <w:tcW w:type="dxa" w:w="2160"/>
          </w:tcPr>
          <w:p>
            <w:r/>
            <w:r>
              <w:t>Technologie &amp; KI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Hoch</w:t>
            </w:r>
            <w:r>
              <w:t>, aber granular</w:t>
            </w:r>
          </w:p>
        </w:tc>
        <w:tc>
          <w:tcPr>
            <w:tcW w:type="dxa" w:w="2160"/>
          </w:tcPr>
          <w:p>
            <w:r/>
            <w:r>
              <w:t>Zins-/Liquiditätsumfeld (Growth-Bewertung reagiert stark auf Zinsen), Innovationszyklen</w:t>
            </w:r>
          </w:p>
        </w:tc>
        <w:tc>
          <w:tcPr>
            <w:tcW w:type="dxa" w:w="2160"/>
          </w:tcPr>
          <w:p>
            <w:r/>
            <w:r>
              <w:t>Eher Unterkategorie- als Hauptgruppen-Ebene sinnvoll (z. B. gezielt "Halbleiter", nicht "ganz Technologie")</w:t>
            </w:r>
          </w:p>
        </w:tc>
      </w:tr>
      <w:tr>
        <w:tc>
          <w:tcPr>
            <w:tcW w:type="dxa" w:w="2160"/>
          </w:tcPr>
          <w:p>
            <w:r/>
            <w:r>
              <w:t>Aktien — Sektoren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Hoch</w:t>
            </w:r>
          </w:p>
        </w:tc>
        <w:tc>
          <w:tcPr>
            <w:tcW w:type="dxa" w:w="2160"/>
          </w:tcPr>
          <w:p>
            <w:r/>
            <w:r>
              <w:t>Klassische Sektor-Rotation über den Konjunkturzyklus (zyklisch vs. defensiv)</w:t>
            </w:r>
          </w:p>
        </w:tc>
        <w:tc>
          <w:tcPr>
            <w:tcW w:type="dxa" w:w="2160"/>
          </w:tcPr>
          <w:p>
            <w:r/>
            <w:r>
              <w:t xml:space="preserve">Deckt sich mit der bereits bestehenden Sektor-Rotations-Logik in </w:t>
            </w:r>
            <w:r>
              <w:rPr>
                <w:rFonts w:ascii="Consolas" w:hAnsi="Consolas"/>
                <w:color w:val="882222"/>
                <w:sz w:val="18"/>
              </w:rPr>
              <w:t>agent/themen_etf/analyst.py</w:t>
            </w:r>
          </w:p>
        </w:tc>
      </w:tr>
      <w:tr>
        <w:tc>
          <w:tcPr>
            <w:tcW w:type="dxa" w:w="2160"/>
          </w:tcPr>
          <w:p>
            <w:r/>
            <w:r>
              <w:t>Agrarrohstoffe &amp; Nahrungsmittel</w:t>
            </w:r>
          </w:p>
        </w:tc>
        <w:tc>
          <w:tcPr>
            <w:tcW w:type="dxa" w:w="2160"/>
          </w:tcPr>
          <w:p>
            <w:r/>
            <w:r>
              <w:t>Mittel</w:t>
            </w:r>
          </w:p>
        </w:tc>
        <w:tc>
          <w:tcPr>
            <w:tcW w:type="dxa" w:w="2160"/>
          </w:tcPr>
          <w:p>
            <w:r/>
            <w:r>
              <w:t>Wetterextreme, Inflations-Hedge, geopolitische Exportbeschränkungen</w:t>
            </w:r>
          </w:p>
        </w:tc>
        <w:tc>
          <w:tcPr>
            <w:tcW w:type="dxa" w:w="2160"/>
          </w:tcPr>
          <w:p>
            <w:r/>
            <w:r>
              <w:t>Eher episodisch/reaktiv als dauerhafte Schwerpunkt-These</w:t>
            </w:r>
          </w:p>
        </w:tc>
      </w:tr>
      <w:tr>
        <w:tc>
          <w:tcPr>
            <w:tcW w:type="dxa" w:w="2160"/>
          </w:tcPr>
          <w:p>
            <w:r/>
            <w:r>
              <w:t>Anleihen &amp; Geldmarkt</w:t>
            </w:r>
          </w:p>
        </w:tc>
        <w:tc>
          <w:tcPr>
            <w:tcW w:type="dxa" w:w="2160"/>
          </w:tcPr>
          <w:p>
            <w:r/>
            <w:r>
              <w:t>Mittel</w:t>
            </w:r>
          </w:p>
        </w:tc>
        <w:tc>
          <w:tcPr>
            <w:tcW w:type="dxa" w:w="2160"/>
          </w:tcPr>
          <w:p>
            <w:r/>
            <w:r>
              <w:t>Leitzinserwartung, Rezessionsrisiko (Flucht in Staatsanleihen)</w:t>
            </w:r>
          </w:p>
        </w:tc>
        <w:tc>
          <w:tcPr>
            <w:tcW w:type="dxa" w:w="2160"/>
          </w:tcPr>
          <w:p>
            <w:r/>
            <w:r>
              <w:t>Eher Cash-Reserve-/Defensiv-Entscheidung als "Übergewichten"-These</w:t>
            </w:r>
          </w:p>
        </w:tc>
      </w:tr>
      <w:tr>
        <w:tc>
          <w:tcPr>
            <w:tcW w:type="dxa" w:w="2160"/>
          </w:tcPr>
          <w:p>
            <w:r/>
            <w:r>
              <w:t>Aktien — Regionen &amp; Länder</w:t>
            </w:r>
          </w:p>
        </w:tc>
        <w:tc>
          <w:tcPr>
            <w:tcW w:type="dxa" w:w="2160"/>
          </w:tcPr>
          <w:p>
            <w:r/>
            <w:r>
              <w:t>Mittel</w:t>
            </w:r>
          </w:p>
        </w:tc>
        <w:tc>
          <w:tcPr>
            <w:tcW w:type="dxa" w:w="2160"/>
          </w:tcPr>
          <w:p>
            <w:r/>
            <w:r>
              <w:t>Relative Wachstumsdifferenzen, Währungseffekte, regionale Geldpolitik</w:t>
            </w:r>
          </w:p>
        </w:tc>
        <w:tc>
          <w:tcPr>
            <w:tcW w:type="dxa" w:w="2160"/>
          </w:tcPr>
          <w:p>
            <w:r/>
            <w:r>
              <w:t>Breiter/unschärfer als sektorale Thesen, aber sinnvoll für "diese Region meiden/übergewichten"</w:t>
            </w:r>
          </w:p>
        </w:tc>
      </w:tr>
      <w:tr>
        <w:tc>
          <w:tcPr>
            <w:tcW w:type="dxa" w:w="2160"/>
          </w:tcPr>
          <w:p>
            <w:r/>
            <w:r>
              <w:t>Absicherung / Hedge</w:t>
            </w:r>
          </w:p>
        </w:tc>
        <w:tc>
          <w:tcPr>
            <w:tcW w:type="dxa" w:w="2160"/>
          </w:tcPr>
          <w:p>
            <w:r/>
            <w:r>
              <w:t>Eigene Rolle</w:t>
            </w:r>
          </w:p>
        </w:tc>
        <w:tc>
          <w:tcPr>
            <w:tcW w:type="dxa" w:w="2160"/>
          </w:tcPr>
          <w:p>
            <w:r/>
            <w:r>
              <w:t>Reagiert auf bestehendes Portfolio-Exposure, nicht auf eine eigene Makro-These</w:t>
            </w:r>
          </w:p>
        </w:tc>
        <w:tc>
          <w:tcPr>
            <w:tcW w:type="dxa" w:w="2160"/>
          </w:tcPr>
          <w:p>
            <w:r/>
            <w:r>
              <w:t>Wird eher situativ (Bärenmarkt-Overlay, bereits im System) als thesenbasiert aktiviert</w:t>
            </w:r>
          </w:p>
        </w:tc>
      </w:tr>
      <w:tr>
        <w:tc>
          <w:tcPr>
            <w:tcW w:type="dxa" w:w="2160"/>
          </w:tcPr>
          <w:p>
            <w:r/>
            <w:r>
              <w:t>Sonstige</w:t>
            </w:r>
          </w:p>
        </w:tc>
        <w:tc>
          <w:tcPr>
            <w:tcW w:type="dxa" w:w="2160"/>
          </w:tcPr>
          <w:p>
            <w:r/>
            <w:r>
              <w:t>Niedrig</w:t>
            </w:r>
          </w:p>
        </w:tc>
        <w:tc>
          <w:tcPr>
            <w:tcW w:type="dxa" w:w="2160"/>
          </w:tcPr>
          <w:p>
            <w:r/>
            <w:r>
              <w:t>Sammelkategorie ohne einheitlichen Treiber</w:t>
            </w:r>
          </w:p>
        </w:tc>
        <w:tc>
          <w:tcPr>
            <w:tcW w:type="dxa" w:w="2160"/>
          </w:tcPr>
          <w:p>
            <w:r/>
            <w:r>
              <w:t>Für Thesen-Zuordnung eher ungeeignet, Unterkategorien ggf. einzeln betrachten</w:t>
            </w:r>
          </w:p>
        </w:tc>
      </w:tr>
    </w:tbl>
    <w:p/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Datenquellen-Mapping</w:t>
      </w:r>
    </w:p>
    <w:p>
      <w:pPr>
        <w:jc w:val="left"/>
      </w:pPr>
      <w:r>
        <w:t xml:space="preserve">Das Projekt hat aktuell 24 echte, live angebundene Datenquellen (siehe </w:t>
      </w:r>
      <w:r>
        <w:rPr>
          <w:rFonts w:ascii="Consolas" w:hAnsi="Consolas"/>
          <w:color w:val="882222"/>
          <w:sz w:val="18"/>
        </w:rPr>
        <w:t>remote/server.py::API_HEALTH_GROUPS</w:t>
      </w:r>
      <w:r>
        <w:t>). Relevanz pro Hauptgruppe: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Hauptgruppe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Relevante bereits vorhandene Datenquellen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Was sie liefern</w:t>
            </w:r>
          </w:p>
        </w:tc>
      </w:tr>
      <w:tr>
        <w:tc>
          <w:tcPr>
            <w:tcW w:type="dxa" w:w="2880"/>
          </w:tcPr>
          <w:p>
            <w:r/>
            <w:r>
              <w:t>Edelmetalle</w:t>
            </w:r>
          </w:p>
        </w:tc>
        <w:tc>
          <w:tcPr>
            <w:tcW w:type="dxa" w:w="2880"/>
          </w:tcPr>
          <w:p>
            <w:r/>
            <w:r>
              <w:t>FRED, Fear &amp; Greed, EZB/PBoC/BoJ-Zinsdaten</w:t>
            </w:r>
          </w:p>
        </w:tc>
        <w:tc>
          <w:tcPr>
            <w:tcW w:type="dxa" w:w="2880"/>
          </w:tcPr>
          <w:p>
            <w:r/>
            <w:r>
              <w:t>Realzins-Niveau, globale Geldpolitik, Risk-off-Stimmung</w:t>
            </w:r>
          </w:p>
        </w:tc>
      </w:tr>
      <w:tr>
        <w:tc>
          <w:tcPr>
            <w:tcW w:type="dxa" w:w="2880"/>
          </w:tcPr>
          <w:p>
            <w:r/>
            <w:r>
              <w:t>Industriemetalle</w:t>
            </w:r>
          </w:p>
        </w:tc>
        <w:tc>
          <w:tcPr>
            <w:tcW w:type="dxa" w:w="2880"/>
          </w:tcPr>
          <w:p>
            <w:r/>
            <w:r>
              <w:t>CFTC COT, China M2</w:t>
            </w:r>
          </w:p>
        </w:tc>
        <w:tc>
          <w:tcPr>
            <w:tcW w:type="dxa" w:w="2880"/>
          </w:tcPr>
          <w:p>
            <w:r/>
            <w:r>
              <w:t>Managed-Money-Positionierung in Futures, chinesische Liquidität (China treibt Industriemetall-Nachfrage strukturell)</w:t>
            </w:r>
          </w:p>
        </w:tc>
      </w:tr>
      <w:tr>
        <w:tc>
          <w:tcPr>
            <w:tcW w:type="dxa" w:w="2880"/>
          </w:tcPr>
          <w:p>
            <w:r/>
            <w:r>
              <w:t>Energie</w:t>
            </w:r>
          </w:p>
        </w:tc>
        <w:tc>
          <w:tcPr>
            <w:tcW w:type="dxa" w:w="2880"/>
          </w:tcPr>
          <w:p>
            <w:r/>
            <w:r>
              <w:t>EIA, CFTC COT</w:t>
            </w:r>
          </w:p>
        </w:tc>
        <w:tc>
          <w:tcPr>
            <w:tcW w:type="dxa" w:w="2880"/>
          </w:tcPr>
          <w:p>
            <w:r/>
            <w:r>
              <w:t>US-Lagerbestände/Förderdaten (Erdgas bereits live integriert), Positionierung in Öl/Gas-Futures</w:t>
            </w:r>
          </w:p>
        </w:tc>
      </w:tr>
      <w:tr>
        <w:tc>
          <w:tcPr>
            <w:tcW w:type="dxa" w:w="2880"/>
          </w:tcPr>
          <w:p>
            <w:r/>
            <w:r>
              <w:t>Agrarrohstoffe</w:t>
            </w:r>
          </w:p>
        </w:tc>
        <w:tc>
          <w:tcPr>
            <w:tcW w:type="dxa" w:w="2880"/>
          </w:tcPr>
          <w:p>
            <w:r/>
            <w:r>
              <w:t>CFTC COT</w:t>
            </w:r>
          </w:p>
        </w:tc>
        <w:tc>
          <w:tcPr>
            <w:tcW w:type="dxa" w:w="2880"/>
          </w:tcPr>
          <w:p>
            <w:r/>
            <w:r>
              <w:t>Positionierung in Agrar-Futures</w:t>
            </w:r>
          </w:p>
        </w:tc>
      </w:tr>
      <w:tr>
        <w:tc>
          <w:tcPr>
            <w:tcW w:type="dxa" w:w="2880"/>
          </w:tcPr>
          <w:p>
            <w:r/>
            <w:r>
              <w:t>Technologie &amp; KI</w:t>
            </w:r>
          </w:p>
        </w:tc>
        <w:tc>
          <w:tcPr>
            <w:tcW w:type="dxa" w:w="2880"/>
          </w:tcPr>
          <w:p>
            <w:r/>
            <w:r>
              <w:t>Finnhub, SEC EDGAR, yfinance-Fundamentaldaten</w:t>
            </w:r>
          </w:p>
        </w:tc>
        <w:tc>
          <w:tcPr>
            <w:tcW w:type="dxa" w:w="2880"/>
          </w:tcPr>
          <w:p>
            <w:r/>
            <w:r>
              <w:t>Analysten-Kursziele/-Trends, Insider-Trading als Sentiment-Signal, Bewertungskennzahlen</w:t>
            </w:r>
          </w:p>
        </w:tc>
      </w:tr>
      <w:tr>
        <w:tc>
          <w:tcPr>
            <w:tcW w:type="dxa" w:w="2880"/>
          </w:tcPr>
          <w:p>
            <w:r/>
            <w:r>
              <w:t>Aktien — Sektoren</w:t>
            </w:r>
          </w:p>
        </w:tc>
        <w:tc>
          <w:tcPr>
            <w:tcW w:type="dxa" w:w="2880"/>
          </w:tcPr>
          <w:p>
            <w:r/>
            <w:r>
              <w:t>Finnhub, SEC EDGAR, FINRA</w:t>
            </w:r>
          </w:p>
        </w:tc>
        <w:tc>
          <w:tcPr>
            <w:tcW w:type="dxa" w:w="2880"/>
          </w:tcPr>
          <w:p>
            <w:r/>
            <w:r>
              <w:t>Analysten-Sentiment, Insider-Aktivität, Short-Interest</w:t>
            </w:r>
          </w:p>
        </w:tc>
      </w:tr>
      <w:tr>
        <w:tc>
          <w:tcPr>
            <w:tcW w:type="dxa" w:w="2880"/>
          </w:tcPr>
          <w:p>
            <w:r/>
            <w:r>
              <w:t>Aktien — Regionen</w:t>
            </w:r>
          </w:p>
        </w:tc>
        <w:tc>
          <w:tcPr>
            <w:tcW w:type="dxa" w:w="2880"/>
          </w:tcPr>
          <w:p>
            <w:r/>
            <w:r>
              <w:t>FRED, EZB, PBoC, BoJ, China M2</w:t>
            </w:r>
          </w:p>
        </w:tc>
        <w:tc>
          <w:tcPr>
            <w:tcW w:type="dxa" w:w="2880"/>
          </w:tcPr>
          <w:p>
            <w:r/>
            <w:r>
              <w:t>Jeweilige Zentralbankpolitik als Regionaltreiber</w:t>
            </w:r>
          </w:p>
        </w:tc>
      </w:tr>
      <w:tr>
        <w:tc>
          <w:tcPr>
            <w:tcW w:type="dxa" w:w="2880"/>
          </w:tcPr>
          <w:p>
            <w:r/>
            <w:r>
              <w:t>Anleihen &amp; Geldmarkt</w:t>
            </w:r>
          </w:p>
        </w:tc>
        <w:tc>
          <w:tcPr>
            <w:tcW w:type="dxa" w:w="2880"/>
          </w:tcPr>
          <w:p>
            <w:r/>
            <w:r>
              <w:t>FRED (Leitzinsen), EZB, BoJ, PBoC</w:t>
            </w:r>
          </w:p>
        </w:tc>
        <w:tc>
          <w:tcPr>
            <w:tcW w:type="dxa" w:w="2880"/>
          </w:tcPr>
          <w:p>
            <w:r/>
            <w:r>
              <w:t>Zinsniveau/-erwartung</w:t>
            </w:r>
          </w:p>
        </w:tc>
      </w:tr>
      <w:tr>
        <w:tc>
          <w:tcPr>
            <w:tcW w:type="dxa" w:w="2880"/>
          </w:tcPr>
          <w:p>
            <w:r/>
            <w:r>
              <w:t>Absicherung</w:t>
            </w:r>
          </w:p>
        </w:tc>
        <w:tc>
          <w:tcPr>
            <w:tcW w:type="dxa" w:w="2880"/>
          </w:tcPr>
          <w:p>
            <w:r/>
            <w:r>
              <w:t>Fear &amp; Greed, bereits bestehender Aktien-Bärenmarkt-/VIX-Indikator</w:t>
            </w:r>
          </w:p>
        </w:tc>
        <w:tc>
          <w:tcPr>
            <w:tcW w:type="dxa" w:w="2880"/>
          </w:tcPr>
          <w:p>
            <w:r/>
            <w:r>
              <w:t>Risikoregime-Einschätzung</w:t>
            </w:r>
          </w:p>
        </w:tc>
      </w:tr>
      <w:tr>
        <w:tc>
          <w:tcPr>
            <w:tcW w:type="dxa" w:w="2880"/>
          </w:tcPr>
          <w:p>
            <w:r/>
            <w:r>
              <w:t>Sonstige</w:t>
            </w:r>
          </w:p>
        </w:tc>
        <w:tc>
          <w:tcPr>
            <w:tcW w:type="dxa" w:w="2880"/>
          </w:tcPr>
          <w:p>
            <w:r/>
            <w:r>
              <w:t>Keine spezifische Zuordnung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jc w:val="left"/>
      </w:pPr>
      <w:r>
        <w:rPr>
          <w:b/>
        </w:rPr>
        <w:t>Wichtig, ehrlich eingeordnet:</w:t>
      </w:r>
      <w:r>
        <w:t xml:space="preserve"> Diese Datenquellen liefern heute schon FAKTEN für die Signal-Pipelines der einzelnen Assets (z. B. fließt CFTC COT bereits in </w:t>
      </w:r>
      <w:r>
        <w:rPr>
          <w:rFonts w:ascii="Consolas" w:hAnsi="Consolas"/>
          <w:color w:val="882222"/>
          <w:sz w:val="18"/>
        </w:rPr>
        <w:t>agent/rohstoff/analyst.py</w:t>
      </w:r>
      <w:r>
        <w:t xml:space="preserve"> ein) — es gibt aber noch KEINE Aggregation auf Hauptgruppen-Ebene ("wie steht die gesamte Kategorie Energie gerade da"). Das wäre die eigentliche neue Arbeit für Punkt #333 (KI-Vorschläge-Job), nicht Teil der heutigen Konzeption zu #332.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Diskussionsvorschlag: Datenmodell einer "These" (für #332)</w:t>
      </w:r>
    </w:p>
    <w:p>
      <w:pPr>
        <w:jc w:val="left"/>
      </w:pPr>
      <w:r>
        <w:t>Aktualisierter Stand nach gemeinsamer Besprechung (siehe Abschnitt 5 für die Entscheidungen):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Beschreibung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hauptgruppe</w:t>
            </w:r>
            <w:r>
              <w:t xml:space="preserve"> / </w:t>
            </w:r>
            <w:r>
              <w:rPr>
                <w:rFonts w:ascii="Consolas" w:hAnsi="Consolas"/>
                <w:color w:val="882222"/>
                <w:sz w:val="18"/>
              </w:rPr>
              <w:t>unterkategorie</w:t>
            </w:r>
          </w:p>
        </w:tc>
        <w:tc>
          <w:tcPr>
            <w:tcW w:type="dxa" w:w="4320"/>
          </w:tcPr>
          <w:p>
            <w:r/>
            <w:r>
              <w:t xml:space="preserve">Bezug auf </w:t>
            </w:r>
            <w:r>
              <w:rPr>
                <w:rFonts w:ascii="Consolas" w:hAnsi="Consolas"/>
                <w:color w:val="882222"/>
                <w:sz w:val="18"/>
              </w:rPr>
              <w:t>kategorien.yaml</w:t>
            </w:r>
            <w:r>
              <w:t>-IDs (Unterkategorie optional — eine These kann sich auf die ganze Hauptgruppe ODER gezielt auf eine Unterkategorie beziehen, z. B. nur "Halbleiter" statt "ganz Technologie"). Die GUI zeigt bei einer Hauptgruppen-These immer live an, welche Unterkategorien darunter konsolidiert werden.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richtung</w:t>
            </w:r>
          </w:p>
        </w:tc>
        <w:tc>
          <w:tcPr>
            <w:tcW w:type="dxa" w:w="4320"/>
          </w:tcPr>
          <w:p>
            <w:r/>
            <w:r>
              <w:t>Übergewichten / Neutral / Meiden — bei Hauptgruppe "Absicherung" stattdessen Aktiv/Inaktiv (siehe Abschnitt 8, eigene Logik)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staerke</w:t>
            </w:r>
          </w:p>
        </w:tc>
        <w:tc>
          <w:tcPr>
            <w:tcW w:type="dxa" w:w="4320"/>
          </w:tcPr>
          <w:p>
            <w:r/>
            <w:r>
              <w:t>z. B. 1-5 oder Prozent-Zielgewichtung — wirkt sich in Stufe 1 NUR auf Hervorhebung/Sortierung aus, nicht auf das Scoring (siehe Abschnitt 5, Entscheidung zu #334)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begruendung</w:t>
            </w:r>
          </w:p>
        </w:tc>
        <w:tc>
          <w:tcPr>
            <w:tcW w:type="dxa" w:w="4320"/>
          </w:tcPr>
          <w:p>
            <w:r/>
            <w:r>
              <w:t>Freitext (deine eigene Einschätzung, z. B. "Rechenzentren werden gebaut")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pruef_mechanismus</w:t>
            </w:r>
          </w:p>
        </w:tc>
        <w:tc>
          <w:tcPr>
            <w:tcW w:type="dxa" w:w="4320"/>
          </w:tcPr>
          <w:p>
            <w:r/>
            <w:r>
              <w:t xml:space="preserve">NEU (siehe Abschnitt 7): strukturierter Verweis, welcher objektive Datencheck für diese Hauptgruppe anwendbar ist (M2/Fed, Zinskurve, Dollar-Index, COT-Positionierung, oder "kein automatischer Check") — ersetzt das ursprünglich vorgeschlagene freie </w:t>
            </w:r>
            <w:r>
              <w:rPr>
                <w:rFonts w:ascii="Consolas" w:hAnsi="Consolas"/>
                <w:color w:val="882222"/>
                <w:sz w:val="18"/>
              </w:rPr>
              <w:t>unterstuetzender_fakt</w:t>
            </w:r>
            <w:r>
              <w:t>-Feld, da der Check je Hauptgruppe unterschiedlich 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gesetzt_am</w:t>
            </w:r>
          </w:p>
        </w:tc>
        <w:tc>
          <w:tcPr>
            <w:tcW w:type="dxa" w:w="4320"/>
          </w:tcPr>
          <w:p>
            <w:r/>
            <w:r>
              <w:t>Datum der Erstellung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review_am</w:t>
            </w:r>
          </w:p>
        </w:tc>
        <w:tc>
          <w:tcPr>
            <w:tcW w:type="dxa" w:w="4320"/>
          </w:tcPr>
          <w:p>
            <w:r/>
            <w:r>
              <w:t xml:space="preserve">Wiedervorlage-Datum — Thesen sollen nicht "für immer" gelten, sondern regelmäßig neu bewertet werden. Die GUI schlägt einen Wert vor, abgeleitet vom Zeithorizont des </w:t>
            </w:r>
            <w:r>
              <w:rPr>
                <w:rFonts w:ascii="Consolas" w:hAnsi="Consolas"/>
                <w:color w:val="882222"/>
                <w:sz w:val="18"/>
              </w:rPr>
              <w:t>pruef_mechanismus</w:t>
            </w:r>
            <w:r>
              <w:t xml:space="preserve"> (siehe Abschnitt 7, letzte Spalte) — inkl. Klartext-Begründung ("Vorschlag: 4 Wochen, weil COT-Daten wöchentlich aktualisiert werden"), keine stille Vorbelegung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Aktiv / Erledigt / Verworfen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quelle</w:t>
            </w:r>
          </w:p>
        </w:tc>
        <w:tc>
          <w:tcPr>
            <w:tcW w:type="dxa" w:w="4320"/>
          </w:tcPr>
          <w:p>
            <w:r/>
            <w:r>
              <w:t>Manuell (von dir gesetzt) / KI-Vorschlag (Punkt #333, nach deiner Bestätigung)</w:t>
            </w:r>
          </w:p>
        </w:tc>
      </w:tr>
    </w:tbl>
    <w:p/>
    <w:p>
      <w:pPr>
        <w:jc w:val="left"/>
      </w:pPr>
      <w:r>
        <w:t xml:space="preserve">Wo das technisch lebt: vermutlich eine neue DB-Tabelle (nicht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), da es sich um sich ändernde, app-verwaltete Daten handelt, keine statische Konfiguration — analog zu </w:t>
      </w:r>
      <w:r>
        <w:rPr>
          <w:rFonts w:ascii="Consolas" w:hAnsi="Consolas"/>
          <w:color w:val="882222"/>
          <w:sz w:val="18"/>
        </w:rPr>
        <w:t>asset_hebel_settings</w:t>
      </w:r>
      <w:r>
        <w:t xml:space="preserve"> oder </w:t>
      </w:r>
      <w:r>
        <w:rPr>
          <w:rFonts w:ascii="Consolas" w:hAnsi="Consolas"/>
          <w:color w:val="882222"/>
          <w:sz w:val="18"/>
        </w:rPr>
        <w:t>makro_analog_ergebnis</w:t>
      </w:r>
      <w:r>
        <w:t>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Entscheidungen (Stand nach gemeinsamer Besprechung)</w:t>
      </w:r>
    </w:p>
    <w:p>
      <w:pPr>
        <w:pStyle w:val="ListNumber"/>
      </w:pPr>
      <w:r>
        <w:rPr>
          <w:b/>
        </w:rPr>
        <w:t>Granularität:</w:t>
      </w:r>
      <w:r>
        <w:t xml:space="preserve"> beide Ebenen erlaubt (Hauptgruppe ODER Unterkategorie). GUI zeigt bei einer Hauptgruppen-These transparent, was darunter konsolidiert wird.</w:t>
      </w:r>
    </w:p>
    <w:p>
      <w:pPr>
        <w:pStyle w:val="ListNumber"/>
      </w:pPr>
      <w:r>
        <w:rPr>
          <w:b/>
        </w:rPr>
        <w:t>Einfluss auf Marktscan/Screener (#334), zweistufig:</w:t>
      </w:r>
    </w:p>
    <w:p>
      <w:pPr>
        <w:pStyle w:val="ListBullet2"/>
      </w:pPr>
      <w:r>
        <w:rPr>
          <w:b/>
        </w:rPr>
        <w:t>Stufe 1 (jetzt):</w:t>
      </w:r>
      <w:r>
        <w:t xml:space="preserve"> nur Hervorhebung/Sortierung, KEINE Scoring-Gewichtung — Risiko-/Qualitäts-Gates (Retail-Konsens-Deckel, Regime-Konflikt etc.) bleiben immer unabhängig von jeder These. Hintergrund: eine aggressive Gewichtung würde bei trendgetriebenen Themen (Beispiel Technologie &amp; KI) prozyklisch verstärken statt vorlaufend zu warnen — direkter Widerspruch zur bestehenden antizyklischen Risikogate-Philosophie im Projekt.</w:t>
      </w:r>
    </w:p>
    <w:p>
      <w:pPr>
        <w:pStyle w:val="ListBullet2"/>
      </w:pPr>
      <w:r>
        <w:rPr>
          <w:b/>
        </w:rPr>
        <w:t>Zusatz, TEIL DER ERSTEN UMSETZUNGSRUNDE (nicht erst Stufe 2):</w:t>
      </w:r>
      <w:r>
        <w:t xml:space="preserve"> neuer objektiver Fakt </w:t>
      </w:r>
      <w:r>
        <w:rPr>
          <w:rFonts w:ascii="Consolas" w:hAnsi="Consolas"/>
          <w:color w:val="882222"/>
          <w:sz w:val="18"/>
        </w:rPr>
        <w:t>these_abgleich</w:t>
      </w:r>
      <w:r>
        <w:t xml:space="preserve"> je Signal — prüft die aktive These NICHT gegen sich selbst (Beliebtheit), sondern gegen unabhängige, bereits im Projekt vorhandene Daten (siehe Abschnitt 7), Text landet im Signal-Reasoning. Kann eine hypebasierte These sogar als "objektiv nicht gestützt" kennzeichnen.</w:t>
      </w:r>
    </w:p>
    <w:p>
      <w:pPr>
        <w:pStyle w:val="ListBullet2"/>
      </w:pPr>
      <w:r>
        <w:rPr>
          <w:b/>
        </w:rPr>
        <w:t>Stufe 2 (später, vorsichtig):</w:t>
      </w:r>
      <w:r>
        <w:t xml:space="preserve"> echte Scoring-Gewichtung NUR für strukturelle/langsame Kategorien (Edelmetalle, Industriemetalle, Energie, Anleihen), NIE für Technologie &amp; KI oder andere sentimentgetriebene Kategorien.</w:t>
      </w:r>
    </w:p>
    <w:p>
      <w:pPr>
        <w:pStyle w:val="ListNumber"/>
      </w:pPr>
      <w:r>
        <w:rPr>
          <w:b/>
        </w:rPr>
        <w:t>Richtgröße:</w:t>
      </w:r>
      <w:r>
        <w:t xml:space="preserve"> 3-6 gleichzeitig aktive Thesen, weich in der GUI angezeigt, kein Hard-Limit im Code.</w:t>
      </w:r>
    </w:p>
    <w:p>
      <w:pPr>
        <w:pStyle w:val="ListNumber"/>
      </w:pPr>
      <w:r>
        <w:rPr>
          <w:b/>
        </w:rPr>
        <w:t>KI-Vorschläge-Job (#333):</w:t>
      </w:r>
      <w:r>
        <w:t xml:space="preserve"> täglich (Muster wie </w:t>
      </w:r>
      <w:r>
        <w:rPr>
          <w:rFonts w:ascii="Consolas" w:hAnsi="Consolas"/>
          <w:color w:val="882222"/>
          <w:sz w:val="18"/>
        </w:rPr>
        <w:t>makro_analog_job</w:t>
      </w:r>
      <w:r>
        <w:t>, 06:30 Uhr). Rhythmus-Optimierung als Punkt für später vorgemerkt.</w:t>
      </w:r>
    </w:p>
    <w:p>
      <w:pPr>
        <w:pStyle w:val="ListNumber"/>
      </w:pPr>
      <w:r>
        <w:rPr>
          <w:b/>
        </w:rPr>
        <w:t>Haltedauer/Zeithorizont wird berücksichtigt:</w:t>
      </w:r>
      <w:r>
        <w:t xml:space="preserve"> die Prüf-Mechanismen aus Abschnitt 7 haben unterschiedliche natürliche Zeithorizonte (COT-Positionierung wöchentlich aktualisiert → kürzerer Horizont sinnvoll; M2-/Liquiditätsregime monatlich, Zinskurve/Dollar-Index brauchen mehrere Monate Verlauf, um aussagekräftig zu sein → längerer Horizont). Der </w:t>
      </w:r>
      <w:r>
        <w:rPr>
          <w:rFonts w:ascii="Consolas" w:hAnsi="Consolas"/>
          <w:color w:val="882222"/>
          <w:sz w:val="18"/>
        </w:rPr>
        <w:t>review_am</w:t>
      </w:r>
      <w:r>
        <w:t xml:space="preserve">-Vorschlag in der GUI orientiert sich daran (siehe Abschnitt 7, neue Spalte). Zusätzlich prüft </w:t>
      </w:r>
      <w:r>
        <w:rPr>
          <w:rFonts w:ascii="Consolas" w:hAnsi="Consolas"/>
          <w:color w:val="882222"/>
          <w:sz w:val="18"/>
        </w:rPr>
        <w:t>these_abgleich</w:t>
      </w:r>
      <w:r>
        <w:t xml:space="preserve"> einen möglichen Mismatch zwischen dem Zeithorizont der These und der Haltedauer-Empfehlung des konkreten Signals (bestehendes Feld </w:t>
      </w:r>
      <w:r>
        <w:rPr>
          <w:rFonts w:ascii="Consolas" w:hAnsi="Consolas"/>
          <w:color w:val="882222"/>
          <w:sz w:val="18"/>
        </w:rPr>
        <w:t>holding_duration</w:t>
      </w:r>
      <w:r>
        <w:t>/</w:t>
      </w:r>
      <w:r>
        <w:rPr>
          <w:rFonts w:ascii="Consolas" w:hAnsi="Consolas"/>
          <w:color w:val="882222"/>
          <w:sz w:val="18"/>
        </w:rPr>
        <w:t>halte_kriterium_bucket</w:t>
      </w:r>
      <w:r>
        <w:t>).</w:t>
      </w:r>
    </w:p>
    <w:p>
      <w:pPr>
        <w:pStyle w:val="ListNumber"/>
      </w:pPr>
      <w:r>
        <w:rPr>
          <w:b/>
        </w:rPr>
        <w:t>Gehaltene Assets erhalten Priorität in der Stufe-1-Hervorhebung:</w:t>
      </w:r>
      <w:r>
        <w:t xml:space="preserve"> innerhalb einer Kategorie mit aktiver These werden zuerst bereits gehaltene Assets (</w:t>
      </w:r>
      <w:r>
        <w:rPr>
          <w:rFonts w:ascii="Consolas" w:hAnsi="Consolas"/>
          <w:color w:val="882222"/>
          <w:sz w:val="18"/>
        </w:rPr>
        <w:t>wird_aktuell_gehalten</w:t>
      </w:r>
      <w:r>
        <w:t>, live aus den Holdings abgeleitet) angezeigt, danach neue Watchlist-/Screener-Kandidaten, danach alles Übrige. Begründung: bei einem gehaltenen Asset steht eine echte Entscheidung an (nachkaufen/halten/reduzieren), bei einem neuen Kandidaten nur "einen Blick wert" — unterschiedliche Dringlichkeit.</w:t>
      </w:r>
    </w:p>
    <w:p>
      <w:pPr>
        <w:pStyle w:val="ListNumber"/>
      </w:pPr>
      <w:r>
        <w:rPr>
          <w:b/>
        </w:rPr>
        <w:t>Transparenz-Prinzip (durchgängig, ausdrücklicher Nutzer-Wunsch):</w:t>
      </w:r>
      <w:r>
        <w:t xml:space="preserve"> jede automatische Wirkung einer These — Sortierung, Hervorhebung, Review-Datum-Vorschlag, </w:t>
      </w:r>
      <w:r>
        <w:rPr>
          <w:rFonts w:ascii="Consolas" w:hAnsi="Consolas"/>
          <w:color w:val="882222"/>
          <w:sz w:val="18"/>
        </w:rPr>
        <w:t>these_abgleich</w:t>
      </w:r>
      <w:r>
        <w:t xml:space="preserve">-Text — muss ihre konkrete Begründung sichtbar mitliefern, mit minimalem Interpretationsaufwand für den Nutzer. Keine stille Umsortierung ohne erkennbaren Grund, kein Badge ohne Klartext-Erklärung dahinter. Gilt für alle offenen Punkte aus Abschnitt 9 (Diversifikations-Tabelle-Markierung, Screener-Hervorhebung) genauso wie für </w:t>
      </w:r>
      <w:r>
        <w:rPr>
          <w:rFonts w:ascii="Consolas" w:hAnsi="Consolas"/>
          <w:color w:val="882222"/>
          <w:sz w:val="18"/>
        </w:rPr>
        <w:t>these_abgleich</w:t>
      </w:r>
      <w:r>
        <w:t xml:space="preserve"> selbst.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Acht Kandidaten-Thesen mit Mechanik ("wann funktioniert das grundsätzlich")</w:t>
      </w:r>
    </w:p>
    <w:p>
      <w:pPr>
        <w:jc w:val="left"/>
      </w:pPr>
      <w:r>
        <w:t xml:space="preserve">Alle acht mit echten Live-Daten unterlegt (Abruf 2026-07-19 über die im Projekt bereits eingebundenen Quellen). </w:t>
      </w:r>
      <w:r>
        <w:rPr>
          <w:b/>
        </w:rPr>
        <w:t>Ausdrücklich keine Kaufempfehlung</w:t>
      </w:r>
      <w:r>
        <w:t xml:space="preserve"> — Mechanik + aktuelle Datenlage, Richtung/Stärke entscheidest du.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Mechanik — wann funktioniert das grundsätzlich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Aktuelle Datenlage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Energie (Hauptgruppe)</w:t>
            </w:r>
          </w:p>
        </w:tc>
        <w:tc>
          <w:tcPr>
            <w:tcW w:type="dxa" w:w="2160"/>
          </w:tcPr>
          <w:p>
            <w:r/>
            <w:r>
              <w:t>Profitiert von Angebotsverknappung/geopolitischen Lieferrisiken/strukturell steigender Nachfrage</w:t>
            </w:r>
          </w:p>
        </w:tc>
        <w:tc>
          <w:tcPr>
            <w:tcW w:type="dxa" w:w="2160"/>
          </w:tcPr>
          <w:p>
            <w:r/>
            <w:r>
              <w:t>WTI 83,49 $ / Brent 90,20 $ (deutlich erhöht). Erdgas-Speicher baut saisonal weiter auf (3.024 Bcf, +41 letzte Woche), ABER Managed-Money bei Erdgas ist netto SHORT (-105.709 Kontrakte) — gemischtes Bild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Edelmetalle</w:t>
            </w:r>
          </w:p>
        </w:tc>
        <w:tc>
          <w:tcPr>
            <w:tcW w:type="dxa" w:w="2160"/>
          </w:tcPr>
          <w:p>
            <w:r/>
            <w:r>
              <w:t>Profitiert von fallenden Realzinsen, lockerer Geldpolitik, Inflationsangst</w:t>
            </w:r>
          </w:p>
        </w:tc>
        <w:tc>
          <w:tcPr>
            <w:tcW w:type="dxa" w:w="2160"/>
          </w:tcPr>
          <w:p>
            <w:r/>
            <w:r>
              <w:t>Gold 4.025 $ / Silber 57 $ — Liquiditätsumfeld stützt fundamental (US-M2 +3,1%/6 Monate, Fed Funds nur 3,63%), ABER Positionierung bei Gold schon sehr gedrängt (35,7% des Open Interest Managed-Money-Long) — Rücksetzer-Risiko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Industriemetalle/Kupfer</w:t>
            </w:r>
          </w:p>
        </w:tc>
        <w:tc>
          <w:tcPr>
            <w:tcW w:type="dxa" w:w="2160"/>
          </w:tcPr>
          <w:p>
            <w:r/>
            <w:r>
              <w:t>Profitiert von Infrastruktur-/Elektrifizierungs-Investitionszyklen (Rechenzentren, E-Mobilität, Netzausbau)</w:t>
            </w:r>
          </w:p>
        </w:tc>
        <w:tc>
          <w:tcPr>
            <w:tcW w:type="dxa" w:w="2160"/>
          </w:tcPr>
          <w:p>
            <w:r/>
            <w:r>
              <w:t>Kupfer 6,30 $, Managed-Money moderat netto long (29,8%) — noch Spielraum, nicht annähernd so gedrängt wie Gold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Erneuerbare &amp; Clean Energy</w:t>
            </w:r>
          </w:p>
        </w:tc>
        <w:tc>
          <w:tcPr>
            <w:tcW w:type="dxa" w:w="2160"/>
          </w:tcPr>
          <w:p>
            <w:r/>
            <w:r>
              <w:t>Profitiert als Substitutionseffekt bei dauerhaft hohen fossilen Energiepreisen</w:t>
            </w:r>
          </w:p>
        </w:tc>
        <w:tc>
          <w:tcPr>
            <w:tcW w:type="dxa" w:w="2160"/>
          </w:tcPr>
          <w:p>
            <w:r/>
            <w:r>
              <w:t>Keine direkte Live-Kennzahl im Projekt abrufbar (siehe Lücken, Abschnitt 8)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Anleihen &amp; Geldmarkt (Inflationsgeschützt/Staatsanleihen)</w:t>
            </w:r>
          </w:p>
        </w:tc>
        <w:tc>
          <w:tcPr>
            <w:tcW w:type="dxa" w:w="2160"/>
          </w:tcPr>
          <w:p>
            <w:r/>
            <w:r>
              <w:t>TIPS: profitieren, wenn Inflation stärker steigt als eingepreist. Nominale Staatsanleihen: profitieren, wenn Zinsen fallen sollen (Konjunkturabschwächung)</w:t>
            </w:r>
          </w:p>
        </w:tc>
        <w:tc>
          <w:tcPr>
            <w:tcW w:type="dxa" w:w="2160"/>
          </w:tcPr>
          <w:p>
            <w:r/>
            <w:r>
              <w:t>Fed Funds 3,63%, 10-Jahres-Rendite 4,54% — spürbarer positiver Realzins-Abstand, Fed erkennbar im lockeren Modus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Aktien-Sektoren/Finanzen</w:t>
            </w:r>
          </w:p>
        </w:tc>
        <w:tc>
          <w:tcPr>
            <w:tcW w:type="dxa" w:w="2160"/>
          </w:tcPr>
          <w:p>
            <w:r/>
            <w:r>
              <w:t>Profitiert von steiler Zinskurve (lange Zinsen deutlich über kurzen, bessere Zinsmarge für Banken)</w:t>
            </w:r>
          </w:p>
        </w:tc>
        <w:tc>
          <w:tcPr>
            <w:tcW w:type="dxa" w:w="2160"/>
          </w:tcPr>
          <w:p>
            <w:r/>
            <w:r>
              <w:t>10J-Rendite 4,54% vs. 3-Monats-Zins 3,71% = +0,83 Prozentpunkte — Kurve aktuell NICHT invertiert, leicht positiv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Aktien-Regionen/Emerging Markets</w:t>
            </w:r>
          </w:p>
        </w:tc>
        <w:tc>
          <w:tcPr>
            <w:tcW w:type="dxa" w:w="2160"/>
          </w:tcPr>
          <w:p>
            <w:r/>
            <w:r>
              <w:t>Profitiert von schwachem US-Dollar (billigere Dollar-Schulden) und lockerer Fed</w:t>
            </w:r>
          </w:p>
        </w:tc>
        <w:tc>
          <w:tcPr>
            <w:tcW w:type="dxa" w:w="2160"/>
          </w:tcPr>
          <w:p>
            <w:r/>
            <w:r>
              <w:t xml:space="preserve">Dollar-Index (DXY) aktuell 100,69 — </w:t>
            </w:r>
            <w:r>
              <w:rPr>
                <w:b/>
              </w:rPr>
              <w:t>Trend seit Jahresbeginn 2026 klar AUFWÄRTS</w:t>
            </w:r>
            <w:r>
              <w:t xml:space="preserve"> (von 96,99 im Januar auf Höchststand 101,19 im Juni, im Juli leicht abgeschwächt auf 100,69). Das ist ein Gegenwind für diese These, kein Rückenwind — trotz lockerer Fed hat der Dollar sich seit Jahresbeginn eher gefestigt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Absicherung/Hedge</w:t>
            </w:r>
          </w:p>
        </w:tc>
        <w:tc>
          <w:tcPr>
            <w:tcW w:type="dxa" w:w="2160"/>
          </w:tcPr>
          <w:p>
            <w:r/>
            <w:r>
              <w:t>Fundamental andere Logik: keine Richtungswette, sondern Portfolio-Versicherung — "funktioniert", wenn sie in einem Abschwung Kapital schützt, kostet in ruhigen Phasen bewusst etwas</w:t>
            </w:r>
          </w:p>
        </w:tc>
        <w:tc>
          <w:tcPr>
            <w:tcW w:type="dxa" w:w="2160"/>
          </w:tcPr>
          <w:p>
            <w:r/>
            <w:r>
              <w:t>Aktivierung sollte sich an Bewertungs-/Spätzyklus-Signalen orientieren (bestehender Aktien-Bärenmarkt-/VIX-Indikator im System), nicht an einer klassischen Makro-These</w:t>
            </w:r>
          </w:p>
        </w:tc>
      </w:tr>
    </w:tbl>
    <w:p/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Objektive Prüf-Mechanismen pro Hauptgruppe (Grundlage für `these_abgleich`)</w:t>
      </w:r>
    </w:p>
    <w:p>
      <w:pPr>
        <w:jc w:val="left"/>
      </w:pPr>
      <w:r>
        <w:t xml:space="preserve">Nicht jede Hauptgruppe hat denselben zugrundeliegenden Mechanismus — der </w:t>
      </w:r>
      <w:r>
        <w:rPr>
          <w:rFonts w:ascii="Consolas" w:hAnsi="Consolas"/>
          <w:color w:val="882222"/>
          <w:sz w:val="18"/>
        </w:rPr>
        <w:t>these_abgleich</w:t>
      </w:r>
      <w:r>
        <w:t>-Fakt muss deshalb wissen, WELCHEN Check er für welche Hauptgruppe anwenden soll: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Hauptgruppe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Anwendbarer Prüf-Mechanismus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Datenquelle (bereits im Projekt)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 xml:space="preserve">Typischer Zeithorizont / </w:t>
            </w:r>
            <w:r>
              <w:rPr>
                <w:rFonts w:ascii="Consolas" w:hAnsi="Consolas"/>
                <w:b/>
                <w:color w:val="882222"/>
                <w:sz w:val="18"/>
              </w:rPr>
              <w:t>review_am</w:t>
            </w:r>
            <w:r>
              <w:rPr>
                <w:b/>
              </w:rPr>
              <w:t>-Vorschlag</w:t>
            </w:r>
          </w:p>
        </w:tc>
      </w:tr>
      <w:tr>
        <w:tc>
          <w:tcPr>
            <w:tcW w:type="dxa" w:w="2160"/>
          </w:tcPr>
          <w:p>
            <w:r/>
            <w:r>
              <w:t>Edelmetalle</w:t>
            </w:r>
          </w:p>
        </w:tc>
        <w:tc>
          <w:tcPr>
            <w:tcW w:type="dxa" w:w="2160"/>
          </w:tcPr>
          <w:p>
            <w:r/>
            <w:r>
              <w:t>M2-/Liquiditätsregime (Fed-Funds-Richtung + M2-Trend)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agent/krypto/regime.py::_liquidity_regime()</w:t>
            </w:r>
            <w:r>
              <w:t>, bereits fertig</w:t>
            </w:r>
          </w:p>
        </w:tc>
        <w:tc>
          <w:tcPr>
            <w:tcW w:type="dxa" w:w="2160"/>
          </w:tcPr>
          <w:p>
            <w:r/>
            <w:r>
              <w:t>Lang (M2 monatlich) — Vorschlag: 3 Monate</w:t>
            </w:r>
          </w:p>
        </w:tc>
      </w:tr>
      <w:tr>
        <w:tc>
          <w:tcPr>
            <w:tcW w:type="dxa" w:w="2160"/>
          </w:tcPr>
          <w:p>
            <w:r/>
            <w:r>
              <w:t>Industriemetalle</w:t>
            </w:r>
          </w:p>
        </w:tc>
        <w:tc>
          <w:tcPr>
            <w:tcW w:type="dxa" w:w="2160"/>
          </w:tcPr>
          <w:p>
            <w:r/>
            <w:r>
              <w:t>CFTC-COT-Positionierung (Managed-Money-Netto)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api/cftc_cot.py</w:t>
            </w:r>
            <w:r>
              <w:t>, bereits fertig für Kupfer</w:t>
            </w:r>
          </w:p>
        </w:tc>
        <w:tc>
          <w:tcPr>
            <w:tcW w:type="dxa" w:w="2160"/>
          </w:tcPr>
          <w:p>
            <w:r/>
            <w:r>
              <w:t>Kurz-mittel (COT wöchentlich) — Vorschlag: 4 Wochen</w:t>
            </w:r>
          </w:p>
        </w:tc>
      </w:tr>
      <w:tr>
        <w:tc>
          <w:tcPr>
            <w:tcW w:type="dxa" w:w="2160"/>
          </w:tcPr>
          <w:p>
            <w:r/>
            <w:r>
              <w:t>Energie</w:t>
            </w:r>
          </w:p>
        </w:tc>
        <w:tc>
          <w:tcPr>
            <w:tcW w:type="dxa" w:w="2160"/>
          </w:tcPr>
          <w:p>
            <w:r/>
            <w:r>
              <w:t>CFTC-COT-Positionierung (Erdgas) + EIA-Lagerbestände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api/cftc_cot.py</w:t>
            </w:r>
            <w:r>
              <w:t xml:space="preserve"> (nur Erdgas!), </w:t>
            </w:r>
            <w:r>
              <w:rPr>
                <w:rFonts w:ascii="Consolas" w:hAnsi="Consolas"/>
                <w:color w:val="882222"/>
                <w:sz w:val="18"/>
              </w:rPr>
              <w:t>api/eia.py</w:t>
            </w:r>
            <w:r>
              <w:t xml:space="preserve"> — Rohöl-Positionierung fehlt (siehe Abschnitt 8)</w:t>
            </w:r>
          </w:p>
        </w:tc>
        <w:tc>
          <w:tcPr>
            <w:tcW w:type="dxa" w:w="2160"/>
          </w:tcPr>
          <w:p>
            <w:r/>
            <w:r>
              <w:t>Kurz-mittel (COT/EIA wöchentlich) — Vorschlag: 4 Wochen</w:t>
            </w:r>
          </w:p>
        </w:tc>
      </w:tr>
      <w:tr>
        <w:tc>
          <w:tcPr>
            <w:tcW w:type="dxa" w:w="2160"/>
          </w:tcPr>
          <w:p>
            <w:r/>
            <w:r>
              <w:t>Anleihen &amp; Geldmarkt</w:t>
            </w:r>
          </w:p>
        </w:tc>
        <w:tc>
          <w:tcPr>
            <w:tcW w:type="dxa" w:w="2160"/>
          </w:tcPr>
          <w:p>
            <w:r/>
            <w:r>
              <w:t>Zinsniveau/-richtung (Fed Funds, ggf. Zinskurve)</w:t>
            </w:r>
          </w:p>
        </w:tc>
        <w:tc>
          <w:tcPr>
            <w:tcW w:type="dxa" w:w="2160"/>
          </w:tcPr>
          <w:p>
            <w:r/>
            <w:r>
              <w:t xml:space="preserve">FRED über </w:t>
            </w:r>
            <w:r>
              <w:rPr>
                <w:rFonts w:ascii="Consolas" w:hAnsi="Consolas"/>
                <w:color w:val="882222"/>
                <w:sz w:val="18"/>
              </w:rPr>
              <w:t>api/macro.py</w:t>
            </w:r>
            <w:r>
              <w:t>, Zinskurve (10J vs. kurz) noch NICHT als eigene Funktion vorhanden</w:t>
            </w:r>
          </w:p>
        </w:tc>
        <w:tc>
          <w:tcPr>
            <w:tcW w:type="dxa" w:w="2160"/>
          </w:tcPr>
          <w:p>
            <w:r/>
            <w:r>
              <w:t>Lang (Zinsentscheide selten) — Vorschlag: 3 Monate</w:t>
            </w:r>
          </w:p>
        </w:tc>
      </w:tr>
      <w:tr>
        <w:tc>
          <w:tcPr>
            <w:tcW w:type="dxa" w:w="2160"/>
          </w:tcPr>
          <w:p>
            <w:r/>
            <w:r>
              <w:t>Aktien-Sektoren/Finanzen</w:t>
            </w:r>
          </w:p>
        </w:tc>
        <w:tc>
          <w:tcPr>
            <w:tcW w:type="dxa" w:w="2160"/>
          </w:tcPr>
          <w:p>
            <w:r/>
            <w:r>
              <w:t>Zinskurven-Steilheit (10J minus kurzfristig)</w:t>
            </w:r>
          </w:p>
        </w:tc>
        <w:tc>
          <w:tcPr>
            <w:tcW w:type="dxa" w:w="2160"/>
          </w:tcPr>
          <w:p>
            <w:r/>
            <w:r>
              <w:t>NEU zu bauen (siehe Abschnitt 8)</w:t>
            </w:r>
          </w:p>
        </w:tc>
        <w:tc>
          <w:tcPr>
            <w:tcW w:type="dxa" w:w="2160"/>
          </w:tcPr>
          <w:p>
            <w:r/>
            <w:r>
              <w:t>Mittel-lang (braucht mehrere Monate Verlauf) — Vorschlag: 2-3 Monate</w:t>
            </w:r>
          </w:p>
        </w:tc>
      </w:tr>
      <w:tr>
        <w:tc>
          <w:tcPr>
            <w:tcW w:type="dxa" w:w="2160"/>
          </w:tcPr>
          <w:p>
            <w:r/>
            <w:r>
              <w:t>Aktien-Regionen/Emerging Markets</w:t>
            </w:r>
          </w:p>
        </w:tc>
        <w:tc>
          <w:tcPr>
            <w:tcW w:type="dxa" w:w="2160"/>
          </w:tcPr>
          <w:p>
            <w:r/>
            <w:r>
              <w:t>Dollar-Index-Trend + Fed-Richtung</w:t>
            </w:r>
          </w:p>
        </w:tc>
        <w:tc>
          <w:tcPr>
            <w:tcW w:type="dxa" w:w="2160"/>
          </w:tcPr>
          <w:p>
            <w:r/>
            <w:r>
              <w:t>NEU zu bauen (siehe Abschnitt 8)</w:t>
            </w:r>
          </w:p>
        </w:tc>
        <w:tc>
          <w:tcPr>
            <w:tcW w:type="dxa" w:w="2160"/>
          </w:tcPr>
          <w:p>
            <w:r/>
            <w:r>
              <w:t>Mittel-lang (Trend erst über Monate aussagekräftig — siehe DXY-Fund Abschnitt 6) — Vorschlag: 2-3 Monate</w:t>
            </w:r>
          </w:p>
        </w:tc>
      </w:tr>
      <w:tr>
        <w:tc>
          <w:tcPr>
            <w:tcW w:type="dxa" w:w="2160"/>
          </w:tcPr>
          <w:p>
            <w:r/>
            <w:r>
              <w:t>Technologie &amp; KI, Aktien-Sektoren (übrige), Agrarrohstoffe, Sonstige</w:t>
            </w:r>
          </w:p>
        </w:tc>
        <w:tc>
          <w:tcPr>
            <w:tcW w:type="dxa" w:w="2160"/>
          </w:tcPr>
          <w:p>
            <w:r/>
            <w:r>
              <w:t xml:space="preserve">Kein etablierter automatischer Check — bleibt bei reiner Hervorhebung ohne </w:t>
            </w:r>
            <w:r>
              <w:rPr>
                <w:rFonts w:ascii="Consolas" w:hAnsi="Consolas"/>
                <w:color w:val="882222"/>
                <w:sz w:val="18"/>
              </w:rPr>
              <w:t>these_abgleich</w:t>
            </w:r>
            <w:r>
              <w:t>-Text, oder rein qualitativ (Finnhub-Analysten-Trend als Annäherung)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Kein Vorschlag ableitbar — manuell setzen</w:t>
            </w:r>
          </w:p>
        </w:tc>
      </w:tr>
      <w:tr>
        <w:tc>
          <w:tcPr>
            <w:tcW w:type="dxa" w:w="2160"/>
          </w:tcPr>
          <w:p>
            <w:r/>
            <w:r>
              <w:t>Absicherung</w:t>
            </w:r>
          </w:p>
        </w:tc>
        <w:tc>
          <w:tcPr>
            <w:tcW w:type="dxa" w:w="2160"/>
          </w:tcPr>
          <w:p>
            <w:r/>
            <w:r>
              <w:t>Kein Makro-Check — orientiert sich am bestehenden Aktien-Bärenmarkt-/VIX-Indikator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agent/krypto/regime.py</w:t>
            </w:r>
            <w:r>
              <w:t xml:space="preserve"> (Bärenmarkt-Overlay)</w:t>
            </w:r>
          </w:p>
        </w:tc>
        <w:tc>
          <w:tcPr>
            <w:tcW w:type="dxa" w:w="2160"/>
          </w:tcPr>
          <w:p>
            <w:r/>
            <w:r>
              <w:t>Situativ, kein festes Intervall — Aktivierung/Deaktivierung statt Review</w:t>
            </w:r>
          </w:p>
        </w:tc>
      </w:tr>
    </w:tbl>
    <w:p/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Detailprüfung: gefundene Lücken (auf Nutzer-Wunsch geprüft)</w:t>
      </w:r>
    </w:p>
    <w:p>
      <w:pPr>
        <w:pStyle w:val="ListNumber"/>
      </w:pPr>
      <w:r>
        <w:rPr>
          <w:b/>
        </w:rPr>
        <w:t>CFTC-COT deckt kein Rohöl ab</w:t>
      </w:r>
      <w:r>
        <w:t xml:space="preserve"> — </w:t>
      </w:r>
      <w:r>
        <w:rPr>
          <w:rFonts w:ascii="Consolas" w:hAnsi="Consolas"/>
          <w:color w:val="882222"/>
          <w:sz w:val="18"/>
        </w:rPr>
        <w:t>COT_MARKET_NAMES</w:t>
      </w:r>
      <w:r>
        <w:t xml:space="preserve"> in </w:t>
      </w:r>
      <w:r>
        <w:rPr>
          <w:rFonts w:ascii="Consolas" w:hAnsi="Consolas"/>
          <w:color w:val="882222"/>
          <w:sz w:val="18"/>
        </w:rPr>
        <w:t>api/cftc_cot.py</w:t>
      </w:r>
      <w:r>
        <w:t xml:space="preserve"> hat aktuell nur Gold/Silber/Kupfer/Erdgas. Für eine sauber gestützte Energie-These (Punkt 1) fehlt die Positionierungs-Perspektive für WTI/Brent. Kleiner, klar umrissener Nachrüst-Punkt.</w:t>
      </w:r>
    </w:p>
    <w:p>
      <w:pPr>
        <w:pStyle w:val="ListNumber"/>
      </w:pPr>
      <w:r>
        <w:rPr>
          <w:b/>
        </w:rPr>
        <w:t>Dollar-Index (DXY) und Zinskurve (10J vs. kurzfristig) sind NICHT als eigene, health-überwachte Datenquellen im Projekt vorhanden</w:t>
      </w:r>
      <w:r>
        <w:t xml:space="preserve"> — die Werte oben wurden ad-hoc direkt über yfinance abgefragt, nicht über eine projekteigene, mit </w:t>
      </w:r>
      <w:r>
        <w:rPr>
          <w:rFonts w:ascii="Consolas" w:hAnsi="Consolas"/>
          <w:color w:val="882222"/>
          <w:sz w:val="18"/>
        </w:rPr>
        <w:t>@track_api_health</w:t>
      </w:r>
      <w:r>
        <w:t xml:space="preserve"> abgesicherte Funktion. Für einen verlässlichen </w:t>
      </w:r>
      <w:r>
        <w:rPr>
          <w:rFonts w:ascii="Consolas" w:hAnsi="Consolas"/>
          <w:color w:val="882222"/>
          <w:sz w:val="18"/>
        </w:rPr>
        <w:t>these_abgleich</w:t>
      </w:r>
      <w:r>
        <w:t>-Fakt (Punkte 6 und 7) müssten dafür zwei kleine neue Funktionen gebaut werden (Muster wie bestehende yfinance-Anbindungen).</w:t>
      </w:r>
    </w:p>
    <w:p>
      <w:pPr>
        <w:pStyle w:val="ListNumber"/>
      </w:pPr>
      <w:r>
        <w:rPr>
          <w:b/>
        </w:rPr>
        <w:t>Absicherung passt nicht sauber ins Standard-Datenmodell</w:t>
      </w:r>
      <w:r>
        <w:t xml:space="preserve"> — das Feld </w:t>
      </w:r>
      <w:r>
        <w:rPr>
          <w:rFonts w:ascii="Consolas" w:hAnsi="Consolas"/>
          <w:color w:val="882222"/>
          <w:sz w:val="18"/>
        </w:rPr>
        <w:t>richtung</w:t>
      </w:r>
      <w:r>
        <w:t xml:space="preserve"> (Übergewichten/Neutral/Meiden) ergibt bei einer Versicherungs-Logik wenig Sinn. Vorschlag: eigene, einfachere GUI-Darstellung für diese Hauptgruppe (Aktiv/Inaktiv statt Übergewichten/Meiden) — noch zu entscheiden.</w:t>
      </w:r>
    </w:p>
    <w:p>
      <w:pPr>
        <w:pStyle w:val="ListNumber"/>
      </w:pPr>
      <w:r>
        <w:rPr>
          <w:b/>
        </w:rPr>
        <w:t>Krypto ist komplett außen vor</w:t>
      </w:r>
      <w:r>
        <w:t xml:space="preserve"> — </w:t>
      </w:r>
      <w:r>
        <w:rPr>
          <w:rFonts w:ascii="Consolas" w:hAnsi="Consolas"/>
          <w:color w:val="882222"/>
          <w:sz w:val="18"/>
        </w:rPr>
        <w:t>kategorien.yaml</w:t>
      </w:r>
      <w:r>
        <w:t xml:space="preserve"> deckt bewusst keine Kryptowerte ab (siehe Datei-Kopfkommentar), das gilt automatisch auch für die gesamte Thesen-Verwaltung. Der </w:t>
      </w:r>
      <w:r>
        <w:rPr>
          <w:rFonts w:ascii="Consolas" w:hAnsi="Consolas"/>
          <w:color w:val="882222"/>
          <w:sz w:val="18"/>
        </w:rPr>
        <w:t>these_abgleich</w:t>
      </w:r>
      <w:r>
        <w:t>-Fakt erscheint deshalb NUR bei Aktien-/Rohstoff-/ETF-/Hedge-/Themen-ETF- Signalen, nie bei Krypto-Signalen. Sollte in der GUI/Doku klar so kommuniziert werden, damit es nicht wie ein Bug wirkt ("warum sehe ich bei BTC keinen These-Abgleich").</w:t>
      </w:r>
    </w:p>
    <w:p>
      <w:pPr>
        <w:pStyle w:val="ListNumber"/>
      </w:pPr>
      <w:r>
        <w:rPr>
          <w:b/>
        </w:rPr>
        <w:t>Kein automatisches Verhalten bei Ablauf von `review_am`</w:t>
      </w:r>
      <w:r>
        <w:t xml:space="preserve"> — aktuell nur ein Datumsfeld ohne definierte Folge. Offene Frage: soll beim Überschreiten automatisch eine Erinnerung erscheinen (GUI-Badge, E-Mail), oder bleibt das rein manuell (du schaust selbst nach)?</w:t>
      </w:r>
    </w:p>
    <w:p>
      <w:pPr>
        <w:pStyle w:val="ListNumber"/>
      </w:pPr>
      <w:r>
        <w:rPr>
          <w:b/>
        </w:rPr>
        <w:t>Keine Verbindung zur Diversifikations-Tabelle (Portfolio-Tab) vorgesehen</w:t>
      </w:r>
      <w:r>
        <w:t xml:space="preserve"> — aktuell zeigt die Tabelle nur Ist-Gewichtung nach Hauptgruppe. Eine visuelle Markierung "hier ist eine aktive These" direkt in dieser Übersicht wäre naheliegend, ist aber noch nicht Teil des Konzepts.</w:t>
      </w:r>
    </w:p>
    <w:p>
      <w:pPr>
        <w:pStyle w:val="ListNumber"/>
      </w:pPr>
      <w:r>
        <w:rPr>
          <w:b/>
        </w:rPr>
        <w:t>Synergie mit dem Screener bisher ungenutzt</w:t>
      </w:r>
      <w:r>
        <w:t xml:space="preserve"> — </w:t>
      </w:r>
      <w:r>
        <w:rPr>
          <w:rFonts w:ascii="Consolas" w:hAnsi="Consolas"/>
          <w:color w:val="882222"/>
          <w:sz w:val="18"/>
        </w:rPr>
        <w:t>scan_etf_candidates()</w:t>
      </w:r>
      <w:r>
        <w:t xml:space="preserve"> taggt Kandidaten schon heute automatisch mit Hauptgruppe/Unterkategorie (Release 1). Wenn eine These aktiv ist, aber KEIN Watchlist-Asset in dieser Kategorie existiert, könnte der Screener das besonders hervorheben ("passt zu deiner These, ist aber noch nicht in der Watchlist") — eine Form von Stufe-1-Hervorhebung mit echtem Nutzen, noch nicht eingeplant.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Verbleibende offene Punkte (aus der Lücken-Prüfung, Abschnitt 8)</w:t>
      </w:r>
    </w:p>
    <w:p>
      <w:pPr>
        <w:pStyle w:val="ListNumber"/>
      </w:pPr>
      <w:r>
        <w:t>Zinskurve (10J vs. kurzfristig) und Dollar-Index als eigene, health-überwachte Datenquellen nachrüsten? (klein, analog bestehender yfinance-Anbindungen)</w:t>
      </w:r>
    </w:p>
    <w:p>
      <w:pPr>
        <w:pStyle w:val="ListNumber"/>
      </w:pPr>
      <w:r>
        <w:t xml:space="preserve">CFTC-COT um Rohöl (WTI/Brent) erweitern? (klein, </w:t>
      </w:r>
      <w:r>
        <w:rPr>
          <w:rFonts w:ascii="Consolas" w:hAnsi="Consolas"/>
          <w:color w:val="882222"/>
          <w:sz w:val="18"/>
        </w:rPr>
        <w:t>COT_MARKET_NAMES</w:t>
      </w:r>
      <w:r>
        <w:t xml:space="preserve"> ergänzen)</w:t>
      </w:r>
    </w:p>
    <w:p>
      <w:pPr>
        <w:pStyle w:val="ListNumber"/>
      </w:pPr>
      <w:r>
        <w:t>Wie soll die GUI die Absicherung-Hauptgruppe abweichend vom Standard-Richtung-Feld darstellen (Aktiv/Inaktiv statt Übergewichten/Meiden)?</w:t>
      </w:r>
    </w:p>
    <w:p>
      <w:pPr>
        <w:pStyle w:val="ListNumber"/>
      </w:pPr>
      <w:r>
        <w:t xml:space="preserve">Verhalten bei Ablauf von </w:t>
      </w:r>
      <w:r>
        <w:rPr>
          <w:rFonts w:ascii="Consolas" w:hAnsi="Consolas"/>
          <w:color w:val="882222"/>
          <w:sz w:val="18"/>
        </w:rPr>
        <w:t>review_am</w:t>
      </w:r>
      <w:r>
        <w:t>: automatische Erinnerung (GUI-Badge/E-Mail) oder rein manuell?</w:t>
      </w:r>
    </w:p>
    <w:p>
      <w:pPr>
        <w:pStyle w:val="ListNumber"/>
      </w:pPr>
      <w:r>
        <w:t>Soll die Diversifikations-Tabelle (Portfolio-Tab) aktive Thesen visuell markieren? Falls ja: mit sichtbarem Klartext-Label ("aktive These: Übergewichten"), nicht nur einer Farbe/einem Icon ohne Erklärung (Transparenz-Prinzip, siehe Abschnitt 5, Punkt 7).</w:t>
      </w:r>
    </w:p>
    <w:p>
      <w:pPr>
        <w:pStyle w:val="ListNumber"/>
      </w:pPr>
      <w:r>
        <w:t>Soll der Screener Kandidaten aus Kategorien mit aktiver, aber in der Watchlist noch nicht vertretener These besonders hervorheben? Gleiche Anforderung: klarer Text-Hinweis, keine stille Sortierung.</w:t>
      </w:r>
    </w:p>
    <w:p>
      <w:pPr>
        <w:jc w:val="left"/>
      </w:pPr>
      <w:r>
        <w:t>Diese sechs Punkte sind kleinere Ausbau-Entscheidungen, keine Blocker für den Start der Umsetzung von #332 — können auch während der Umsetzung nach und nach entschieden werden. Punkt 7 aus Abschnitt 5 (Transparenz-Prinzip) gilt dabei durchgängig für alle sechs.</w:t>
      </w:r>
    </w:p>
    <w:p>
      <w:pPr>
        <w:pStyle w:val="Heading2"/>
      </w:pPr>
      <w:r>
        <w:t>10. Umsetzungsstatus (2026-07-20)</w:t>
      </w:r>
    </w:p>
    <w:p>
      <w:pPr>
        <w:jc w:val="left"/>
      </w:pPr>
      <w:r>
        <w:t xml:space="preserve">Backend (These-Datenmodell, </w:t>
      </w:r>
      <w:r>
        <w:rPr>
          <w:rFonts w:ascii="Consolas" w:hAnsi="Consolas"/>
          <w:color w:val="882222"/>
          <w:sz w:val="18"/>
        </w:rPr>
        <w:t>these_abgleich</w:t>
      </w:r>
      <w:r>
        <w:t xml:space="preserve">-Engine) + GUI-Tab „Schwerpunkte" (#342) + Stufe-1-Hervorhebung (#343) sind implementiert und verifiziert (Details: </w:t>
      </w:r>
      <w:r>
        <w:rPr>
          <w:rFonts w:ascii="Consolas" w:hAnsi="Consolas"/>
          <w:color w:val="882222"/>
          <w:sz w:val="18"/>
        </w:rPr>
        <w:t>Basisinfos/Regelwerksmanual.md</w:t>
      </w:r>
      <w:r>
        <w:t>, Nachtrag Folge 7). Bezug auf die obigen sechs Punkte:</w:t>
      </w:r>
    </w:p>
    <w:p>
      <w:pPr>
        <w:pStyle w:val="ListNumber"/>
      </w:pPr>
      <w:r>
        <w:rPr>
          <w:b/>
        </w:rPr>
        <w:t>Erledigt.</w:t>
      </w:r>
      <w:r>
        <w:t xml:space="preserve"> Zinskurve/Dollar-Index als </w:t>
      </w:r>
      <w:r>
        <w:rPr>
          <w:rFonts w:ascii="Consolas" w:hAnsi="Consolas"/>
          <w:color w:val="882222"/>
          <w:sz w:val="18"/>
        </w:rPr>
        <w:t>@track_api_health("yfinance")</w:t>
      </w:r>
      <w:r>
        <w:t xml:space="preserve"> in </w:t>
      </w:r>
      <w:r>
        <w:rPr>
          <w:rFonts w:ascii="Consolas" w:hAnsi="Consolas"/>
          <w:color w:val="882222"/>
          <w:sz w:val="18"/>
        </w:rPr>
        <w:t>api/macro.py</w:t>
      </w:r>
      <w:r>
        <w:t xml:space="preserve"> (</w:t>
      </w:r>
      <w:r>
        <w:rPr>
          <w:rFonts w:ascii="Consolas" w:hAnsi="Consolas"/>
          <w:color w:val="882222"/>
          <w:sz w:val="18"/>
        </w:rPr>
        <w:t>get_zinskurve()</w:t>
      </w:r>
      <w:r>
        <w:t>/</w:t>
      </w:r>
      <w:r>
        <w:rPr>
          <w:rFonts w:ascii="Consolas" w:hAnsi="Consolas"/>
          <w:color w:val="882222"/>
          <w:sz w:val="18"/>
        </w:rPr>
        <w:t>get_dollar_index_trend()</w:t>
      </w:r>
      <w:r>
        <w:t>).</w:t>
      </w:r>
    </w:p>
    <w:p>
      <w:pPr>
        <w:pStyle w:val="ListNumber"/>
      </w:pPr>
      <w:r>
        <w:rPr>
          <w:b/>
        </w:rPr>
        <w:t>Erledigt.</w:t>
      </w:r>
      <w:r>
        <w:t xml:space="preserve"> </w:t>
      </w:r>
      <w:r>
        <w:rPr>
          <w:rFonts w:ascii="Consolas" w:hAnsi="Consolas"/>
          <w:color w:val="882222"/>
          <w:sz w:val="18"/>
        </w:rPr>
        <w:t>COT_MARKET_NAMES</w:t>
      </w:r>
      <w:r>
        <w:t xml:space="preserve"> um </w:t>
      </w:r>
      <w:r>
        <w:rPr>
          <w:rFonts w:ascii="Consolas" w:hAnsi="Consolas"/>
          <w:color w:val="882222"/>
          <w:sz w:val="18"/>
        </w:rPr>
        <w:t>rohoel_wti</w:t>
      </w:r>
      <w:r>
        <w:t>/</w:t>
      </w:r>
      <w:r>
        <w:rPr>
          <w:rFonts w:ascii="Consolas" w:hAnsi="Consolas"/>
          <w:color w:val="882222"/>
          <w:sz w:val="18"/>
        </w:rPr>
        <w:t>rohoel_brent</w:t>
      </w:r>
      <w:r>
        <w:t xml:space="preserve"> ergänzt.</w:t>
      </w:r>
    </w:p>
    <w:p>
      <w:pPr>
        <w:pStyle w:val="ListNumber"/>
      </w:pPr>
      <w:r>
        <w:rPr>
          <w:b/>
        </w:rPr>
        <w:t>Erledigt.</w:t>
      </w:r>
      <w:r>
        <w:t xml:space="preserve"> </w:t>
      </w:r>
      <w:r>
        <w:rPr>
          <w:rFonts w:ascii="Consolas" w:hAnsi="Consolas"/>
          <w:color w:val="882222"/>
          <w:sz w:val="18"/>
        </w:rPr>
        <w:t>ui/thesen_view.py</w:t>
      </w:r>
      <w:r>
        <w:t xml:space="preserve">: Richtung-Feld zeigt bei </w:t>
      </w:r>
      <w:r>
        <w:rPr>
          <w:rFonts w:ascii="Consolas" w:hAnsi="Consolas"/>
          <w:color w:val="882222"/>
          <w:sz w:val="18"/>
        </w:rPr>
        <w:t>hauptgruppe=absicherung</w:t>
      </w:r>
      <w:r>
        <w:t xml:space="preserve"> automatisch Aktiv/Inaktiv.</w:t>
      </w:r>
    </w:p>
    <w:p>
      <w:pPr>
        <w:pStyle w:val="ListNumber"/>
      </w:pPr>
      <w:r>
        <w:rPr>
          <w:b/>
        </w:rPr>
        <w:t>Weiterhin offen.</w:t>
      </w:r>
      <w:r>
        <w:t xml:space="preserve"> Kein automatisches Verhalten bei Ablauf von </w:t>
      </w:r>
      <w:r>
        <w:rPr>
          <w:rFonts w:ascii="Consolas" w:hAnsi="Consolas"/>
          <w:color w:val="882222"/>
          <w:sz w:val="18"/>
        </w:rPr>
        <w:t>review_am</w:t>
      </w:r>
      <w:r>
        <w:t xml:space="preserve"> — rein manuell im Schwerpunkte-Tab einsehbar.</w:t>
      </w:r>
    </w:p>
    <w:p>
      <w:pPr>
        <w:pStyle w:val="ListNumber"/>
      </w:pPr>
      <w:r>
        <w:rPr>
          <w:b/>
        </w:rPr>
        <w:t>Erledigt.</w:t>
      </w:r>
      <w:r>
        <w:t xml:space="preserve"> Diversifikations-Tabelle markiert Hauptgruppen mit aktiver These (▲/▼/●-Marker + Zeilen-Tooltip mit Klartext-Begründung), ohne die bestehende Wert-Sortierung zu verändern.</w:t>
      </w:r>
    </w:p>
    <w:p>
      <w:pPr>
        <w:pStyle w:val="ListNumber"/>
      </w:pPr>
      <w:r>
        <w:rPr>
          <w:b/>
        </w:rPr>
        <w:t>Erledigt.</w:t>
      </w:r>
      <w:r>
        <w:t xml:space="preserve"> Screener sortiert Kandidaten mit aktiver These nach vorn (▲/▼/●-Marker + Zeilen-Tooltip), Scan-Reihenfolge sonst unverändert.</w:t>
      </w:r>
    </w:p>
    <w:p>
      <w:pPr>
        <w:jc w:val="left"/>
      </w:pPr>
      <w:r>
        <w:t>Zusätzlich, über die sechs Punkte hinaus: die Watchlist-Tab-Sortierung (Nutzer-Entscheidung „gehaltene Assets sollten Priorität erhalten", Abschnitt 5) ist ebenfalls Teil von #343 — gehaltene Assets mit aktiver These stehen vor neuen Kandidaten mit aktiver These, beide vor dem Rest, jeweils nur bei der initialen Einsortierung, nicht bei manueller Spaltensortierung.</w:t>
      </w:r>
    </w:p>
    <w:p>
      <w:pPr>
        <w:jc w:val="left"/>
      </w:pPr>
      <w:r>
        <w:t>Bewusst nicht Teil dieser Runde: #333 (KI-Vorschläge-Job) und #334 Stufe 2 (echte Scoring-Gewichtung) — siehe Abschnitt 5, Punkt 2.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#333-Konzeption: Fortschritt und Status (laufende Diskussion, Stand 2026-07-24)</w:t>
      </w:r>
    </w:p>
    <w:p>
      <w:pPr>
        <w:jc w:val="left"/>
      </w:pPr>
      <w:r>
        <w:rPr>
          <w:b/>
        </w:rPr>
        <w:t>Zweck dieses Abschnitts:</w:t>
      </w:r>
      <w:r>
        <w:t xml:space="preserve"> #333 wird in mehreren Gesprächsrunden Punkt für Punkt konzipiert, bevor eine Zeile Code geschrieben wird (gleiche Methodik wie bei #332). Damit kein Zwischenstand fälschlich als "fertig" gilt oder übersehen wird, führt jeder entschiedene ODER noch offene Punkt hier einen klaren Status. Nichts in diesem Abschnitt ist implementiert — das passiert erst nach vollständigem Konzept, dann wandert es (wie bei #332) ins </w:t>
      </w:r>
      <w:r>
        <w:rPr>
          <w:rFonts w:ascii="Consolas" w:hAnsi="Consolas"/>
          <w:color w:val="882222"/>
          <w:sz w:val="18"/>
        </w:rPr>
        <w:t>Regelwerksmanual.md</w:t>
      </w:r>
      <w:r>
        <w:t>/</w:t>
      </w:r>
      <w:r>
        <w:rPr>
          <w:rFonts w:ascii="Consolas" w:hAnsi="Consolas"/>
          <w:color w:val="882222"/>
          <w:sz w:val="18"/>
        </w:rPr>
        <w:t>.docx</w:t>
      </w:r>
      <w:r>
        <w:t xml:space="preserve"> als Umsetzungsstand.</w:t>
      </w:r>
    </w:p>
    <w:p>
      <w:pPr>
        <w:jc w:val="left"/>
      </w:pPr>
      <w:r>
        <w:rPr>
          <w:b/>
        </w:rPr>
        <w:t>Status-Legende:</w:t>
      </w:r>
    </w:p>
    <w:p>
      <w:pPr>
        <w:pStyle w:val="ListBullet"/>
      </w:pPr>
      <w:r>
        <w:rPr>
          <w:b/>
        </w:rPr>
        <w:t>[ENTSCHIEDEN — NICHT GEBAUT]</w:t>
      </w:r>
      <w:r>
        <w:t>: Design/Wert steht fest, aber noch keine Code-Zeile geschrieben.</w:t>
      </w:r>
    </w:p>
    <w:p>
      <w:pPr>
        <w:pStyle w:val="ListBullet"/>
      </w:pPr>
      <w:r>
        <w:rPr>
          <w:b/>
        </w:rPr>
        <w:t>[BAUSTEIN VORHANDEN, NICHT VERDRAHTET]</w:t>
      </w:r>
      <w:r>
        <w:t>: die zugrunde liegende Funktion/Datenquelle existiert bereits im Code (für einen anderen Zweck), muss aber noch an die #333-Logik angeschlossen werden.</w:t>
      </w:r>
    </w:p>
    <w:p>
      <w:pPr>
        <w:pStyle w:val="ListBullet"/>
      </w:pPr>
      <w:r>
        <w:rPr>
          <w:b/>
        </w:rPr>
        <w:t>[GEBAUT]</w:t>
      </w:r>
      <w:r>
        <w:t>: implementiert UND synthetisch verifiziert (nicht nur geschrieben) — Code lebt bereits in den Produktivdateien, aber noch nicht auf dem Notebook deployed/committed.</w:t>
      </w:r>
    </w:p>
    <w:p>
      <w:pPr>
        <w:pStyle w:val="ListBullet"/>
      </w:pPr>
      <w:r>
        <w:rPr>
          <w:b/>
        </w:rPr>
        <w:t>[OFFEN]</w:t>
      </w:r>
      <w:r>
        <w:t>: noch keine Entscheidung getroffen, nächster Diskussionspunkt oder zurückgestellt.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Punkt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Grundsatz-Reihenfolge: #333 vor #334 Stufe 2</w:t>
            </w:r>
          </w:p>
        </w:tc>
        <w:tc>
          <w:tcPr>
            <w:tcW w:type="dxa" w:w="2160"/>
          </w:tcPr>
          <w:p>
            <w:r/>
            <w:r>
              <w:t>[ENTSCHIEDEN — NICHT GEBAUT]</w:t>
            </w:r>
          </w:p>
        </w:tc>
        <w:tc>
          <w:tcPr>
            <w:tcW w:type="dxa" w:w="2160"/>
          </w:tcPr>
          <w:p>
            <w:r/>
            <w:r>
              <w:t>#334 Stufe 2 fehlt die Screener-Scoring-Infrastruktur (</w:t>
            </w:r>
            <w:r>
              <w:rPr>
                <w:rFonts w:ascii="Consolas" w:hAnsi="Consolas"/>
                <w:color w:val="882222"/>
                <w:sz w:val="18"/>
              </w:rPr>
              <w:t>agent/aktien/screener.py</w:t>
            </w:r>
            <w:r>
              <w:t xml:space="preserve"> sortiert nur nach Marktkapitalisierung) — eigenes, größeres Vorprojekt, zurückgestellt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Zweischichtiges Design (Schicht 1 deterministisch pro Kategorie, Schicht 2 EIN täglicher LLM-Synthese-Call über alle Kategorien)</w:t>
            </w:r>
          </w:p>
        </w:tc>
        <w:tc>
          <w:tcPr>
            <w:tcW w:type="dxa" w:w="2160"/>
          </w:tcPr>
          <w:p>
            <w:r/>
            <w:r>
              <w:t>Schicht 1 (Mehrfach-Mechanismus-Kombination) [GEBAUT], Schicht 2 (LLM-Synthese-Call) [ENTSCHIEDEN — NICHT 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config.get_pruef_mechanismus()</w:t>
            </w:r>
            <w:r>
              <w:t xml:space="preserve"> liefert jetzt Listen, </w:t>
            </w:r>
            <w:r>
              <w:rPr>
                <w:rFonts w:ascii="Consolas" w:hAnsi="Consolas"/>
                <w:color w:val="882222"/>
                <w:sz w:val="18"/>
              </w:rPr>
              <w:t>agent/kategorie_thesen.py::_kombiniere_abgleiche()</w:t>
            </w:r>
            <w:r>
              <w:t xml:space="preserve"> kombiniert per Einigkeitsregel (alle verfügbaren Mechanismen müssen übereinstimmen, sonst neutral) — 8 synthetische Tests + 2 End-to-End-Tests bestanden. Schicht 2 (Prompt/Job) weiterhin offen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Fall A (keine aktive These → neuer </w:t>
            </w:r>
            <w:r>
              <w:rPr>
                <w:rFonts w:ascii="Consolas" w:hAnsi="Consolas"/>
                <w:color w:val="882222"/>
                <w:sz w:val="18"/>
              </w:rPr>
              <w:t>These</w:t>
            </w:r>
            <w:r>
              <w:t xml:space="preserve">-Vorschlag, </w:t>
            </w:r>
            <w:r>
              <w:rPr>
                <w:rFonts w:ascii="Consolas" w:hAnsi="Consolas"/>
                <w:color w:val="882222"/>
                <w:sz w:val="18"/>
              </w:rPr>
              <w:t>quelle='ki_vorschlag'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agent/kategorie_vorschlaege.py::run_kategorie_vorschlaege_job()</w:t>
            </w:r>
            <w:r>
              <w:t xml:space="preserve"> — Sonde-These ermittelt Rohsignal, bei Persistenz automatische </w:t>
            </w:r>
            <w:r>
              <w:rPr>
                <w:rFonts w:ascii="Consolas" w:hAnsi="Consolas"/>
                <w:color w:val="882222"/>
                <w:sz w:val="18"/>
              </w:rPr>
              <w:t>These</w:t>
            </w:r>
            <w:r>
              <w:t>-Anlage. Echter Lauf gegen alle 8 Kategorien: Edelmetalle/Industriemetalle/Anleihen/Finanzen/Aktien-Regionen → uebergewichten, Absicherung → inaktiv, Energie/Emerging-Markets korrekt neutral (widersprüchliche Signale)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Fall B (aktive These wird widersprochen → separate Änderungsaufforderung statt stiller Überschreibung)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t>Gleiche Funktion, zweiter Zweig — bestehende These bleibt bis zum Nutzer-Klick unverändert, Tracker wird auf 'offen' gehoben. 3 synthetische Tests (Persistenz erreicht/Abbruch bei Signalwechsel/Cooldown nach Ablehnung) bestanden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Persistenz-Anforderung vor Fall B (analog Kontrathese-Zeitfenster) + Cooldown nach Ablehnung — konkrete Werte je Mechanismus-Typ</w:t>
            </w:r>
          </w:p>
        </w:tc>
        <w:tc>
          <w:tcPr>
            <w:tcW w:type="dxa" w:w="2160"/>
          </w:tcPr>
          <w:p>
            <w:r/>
            <w:r>
              <w:t>[ENTSCHIEDEN — NICHT GEBAUT]</w:t>
            </w:r>
          </w:p>
        </w:tc>
        <w:tc>
          <w:tcPr>
            <w:tcW w:type="dxa" w:w="2160"/>
          </w:tcPr>
          <w:p>
            <w:r/>
            <w:r>
              <w:t>Siehe Abschnitt 15 für die vollständige Tabelle je Mechanismus-Typ + Cooldown-Regel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Materialitätsschwelle COT-Positionierung: Dreizonen-Modell (&lt;10% Rauschen / 10–25% Signal / &gt;25% Signal+Rücksetzer-Hinweis)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_abgleich_cot_positionierung()</w:t>
            </w:r>
            <w:r>
              <w:t xml:space="preserve"> nutzt jetzt Netto-Position als % des kombinierten Open Interest statt roher Kontrakt-Summe — 3 synthetische Szenarien (Rauschen/moderat/gedrängt) bestanden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Materialitätsschwelle Zinskurve: Totzone ±0,25 Prozentpunkte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_abgleich_zinskurve()</w:t>
            </w:r>
            <w:r>
              <w:t xml:space="preserve"> erweitert — 3 synthetische Szenarien (normal/Totzone/invertiert) bestanden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Materialitätsschwelle VIX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t xml:space="preserve">Korrigiert beim Bauen: nicht die ursprünglich vorgeschlagene neue &lt;15/15–25/&gt;25-Schwelle, sondern die bereits bestehende </w:t>
            </w:r>
            <w:r>
              <w:rPr>
                <w:rFonts w:ascii="Consolas" w:hAnsi="Consolas"/>
                <w:color w:val="882222"/>
                <w:sz w:val="18"/>
              </w:rPr>
              <w:t>agent/krypto/regime.py::VIX_BANDS</w:t>
            </w:r>
            <w:r>
              <w:t xml:space="preserve"> (20/"ruhig", 30/"erhöht", 40/"gestresst", "krise") wiederverwendet — "ruhig" = Risk-on, "gestresst"/"krise" = Risk-off (exakt dieselbe Schwelle wie der etablierte Boden-Zielzone-Trigger, Task #245), "erhöht" bewusst neutral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Materialitätsschwelle EIA-Erdgas-Lagerbestand: 5-Jahres-Saisonvergleich, ±5%-Schwelle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agent/kategorie_thesen.py::_abgleich_eia_erdgas()</w:t>
            </w:r>
            <w:r>
              <w:t xml:space="preserve"> — n_weeks=270, Kalendertag-Toleranz ±4 Tage je Vorjahr (Schaltjahr-sicher), kombiniert mit COT-Erdgas ausschließlich unter der spezifischeren Kategorie </w:t>
            </w:r>
            <w:r>
              <w:rPr>
                <w:rFonts w:ascii="Consolas" w:hAnsi="Consolas"/>
                <w:color w:val="882222"/>
                <w:sz w:val="18"/>
              </w:rPr>
              <w:t>energie:erdgas</w:t>
            </w:r>
            <w:r>
              <w:t xml:space="preserve"> (nicht der Energie-Hauptgruppe, die COT-seitig auch Rohöl poolt). 3 synthetische Tests + echter Live-Abruf (heute: 3.056 Bcf vs. 5J-Schnitt 2.871 Bcf, +6,4% → widerspricht "übergewichten") bestanden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Grundsatz-Korrektur: keine Kategorie wird strukturell ausgeschlossen (auch Technologie &amp; KI, Sonstige)</w:t>
            </w:r>
          </w:p>
        </w:tc>
        <w:tc>
          <w:tcPr>
            <w:tcW w:type="dxa" w:w="2160"/>
          </w:tcPr>
          <w:p>
            <w:r/>
            <w:r>
              <w:t>[ENTSCHIEDEN — NICHT GEBAUT]</w:t>
            </w:r>
          </w:p>
        </w:tc>
        <w:tc>
          <w:tcPr>
            <w:tcW w:type="dxa" w:w="2160"/>
          </w:tcPr>
          <w:p>
            <w:r/>
            <w:r>
              <w:t>Ersetzt die frühere, zu pauschale Annahme "nur 6 Kategorien qualifizieren"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Sentiment-Mechanismus für Technologie &amp; KI + übrige Aktien-Sektoren (Finnhub-Analystentrend + SEC-EDGAR-Insider + FINRA-Short-Interest)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agent/kategorie_thesen.py::_abgleich_bellwether()</w:t>
            </w:r>
            <w:r>
              <w:t xml:space="preserve"> + </w:t>
            </w:r>
            <w:r>
              <w:rPr>
                <w:rFonts w:ascii="Consolas" w:hAnsi="Consolas"/>
                <w:color w:val="882222"/>
                <w:sz w:val="18"/>
              </w:rPr>
              <w:t>_BELLWETHER_TICKER</w:t>
            </w:r>
            <w:r>
              <w:t xml:space="preserve"> (10 Unterkategorien: Halbleiter/KI/Cybersicherheit/Biotech unter Technologie &amp; KI, Gesundheit/Konsum-zyklisch/Konsum-Basis/Industrie/Kommunikation/Grundstoffe unter Aktien-Sektoren) — 2-von-3-Kombinationsregel wie in Abschnitt 12 spezifiziert. 5 synthetische Tests (3/3, 2/3, gemischt, unbekannte Kategorie, fehlender Finnhub-Key) + echter Live-Lauf gegen alle 3 APIs (Halbleiter-Korb NVDA/AMD: Insider 0 Käufer/29 Verkäufer + leicht steigendes Days-to-Cover → 2/3 bearisch → widerspricht) bestanden. Anmerkung: die 5pp-Materialitätsschwelle gilt laut Abschnitt 12 nur für den Analystentrend, nicht für Insider-/Short-Interest-Signale — winzige FINRA-Schwankungen (z.B. +0,01 Handelstage) zählen dadurch bereits als Richtungssignal, kein Rauschfilter dafür vorgesehen (Design-Lücke, nicht selbstständig nachgeschärft, da nicht Teil des dokumentierten Auftrags)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Gold/Silber-COT-Zuordnung zu Edelmetalle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_COT_ROHSTOFF_FUER_KATEGORIE["edelmetalle"] = ["gold", "silber"]</w:t>
            </w:r>
            <w:r>
              <w:t xml:space="preserve"> + spezifische Unterkategorie-Overrides; kombiniert mit M2 über die neue Mehrfach-Mechanismus-Logik (Punkt 2)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Absicherung-Mechanismus (VIX + Aktien-Bärenmarkt)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_abgleich_baerenmarkt_overlay()</w:t>
            </w:r>
            <w:r>
              <w:t xml:space="preserve"> implementiert (ODER-Verknüpfung, VIX-Schwelle korrigiert auf die bereits bestehenden </w:t>
            </w:r>
            <w:r>
              <w:rPr>
                <w:rFonts w:ascii="Consolas" w:hAnsi="Consolas"/>
                <w:color w:val="882222"/>
                <w:sz w:val="18"/>
              </w:rPr>
              <w:t>VIX_BANDS</w:t>
            </w:r>
            <w:r>
              <w:t>/"gestresst"+"krise" statt einer neu erfundenen Schwelle, siehe Punkt 8) — 6 synthetische Szenarien bestanden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Gleicher VIX/Bärenmarkt-Mechanismus für alle Aktien-Regionen (nicht nur Emerging Markets)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t xml:space="preserve">Neuer Hauptgruppen-Eintrag </w:t>
            </w:r>
            <w:r>
              <w:rPr>
                <w:rFonts w:ascii="Consolas" w:hAnsi="Consolas"/>
                <w:color w:val="882222"/>
                <w:sz w:val="18"/>
              </w:rPr>
              <w:t>"aktien_regionen"</w:t>
            </w:r>
            <w:r>
              <w:t xml:space="preserve"> (Fallback für Global/Europa/Nordamerika/USA/Asien-Pazifik/Einzelländer), Emerging Markets kombiniert jetzt Dollar-Index + Bärenmarkt-Overlay. </w:t>
            </w:r>
            <w:r>
              <w:rPr>
                <w:rFonts w:ascii="Consolas" w:hAnsi="Consolas"/>
                <w:color w:val="882222"/>
                <w:sz w:val="18"/>
              </w:rPr>
              <w:t>_abgleich_baerenmarkt_overlay()</w:t>
            </w:r>
            <w:r>
              <w:t xml:space="preserve"> hat jetzt zwei Richtungs-Zweige (Absicherung-Sonderfall unverändert, normale Kategorien mit umgekehrter Polarität — Risk-off ist Gegenwind statt Auslöser). 5 synthetische Tests + 2 End-to-End-Tests bestanden, Absicherung-Regression bestätigt unverändert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review_am</w:t>
            </w:r>
            <w:r>
              <w:t>-Ablauf-Verhalten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ui/thesen_view.py::refresh()</w:t>
            </w:r>
            <w:r>
              <w:t xml:space="preserve"> markiert überfällige </w:t>
            </w:r>
            <w:r>
              <w:rPr>
                <w:rFonts w:ascii="Consolas" w:hAnsi="Consolas"/>
                <w:color w:val="882222"/>
                <w:sz w:val="18"/>
              </w:rPr>
              <w:t>review_am</w:t>
            </w:r>
            <w:r>
              <w:t>-Daten mit ⚠-Präfix in der Spalte + erweitertem Tooltip "Wiedervorlage fällig seit TT.MM.JJJJ" — kein Änderungsvorschlag, keine E-Mail, reiner Kalender-Hinweis. Löst gleichzeitig den ursprünglich offenen Punkt 4 aus Abschnitt 10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 xml:space="preserve">Job-Struktur (täglich 06:30, Muster </w:t>
            </w:r>
            <w:r>
              <w:rPr>
                <w:rFonts w:ascii="Consolas" w:hAnsi="Consolas"/>
                <w:color w:val="882222"/>
                <w:sz w:val="18"/>
              </w:rPr>
              <w:t>makro_analog_job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82222"/>
                <w:sz w:val="18"/>
              </w:rPr>
              <w:t>scheduler/background.py::kategorie_vorschlaege_job()</w:t>
            </w:r>
            <w:r>
              <w:t xml:space="preserve"> registriert (cron 06:30 + sofortiger Erststart, </w:t>
            </w:r>
            <w:r>
              <w:rPr>
                <w:rFonts w:ascii="Consolas" w:hAnsi="Consolas"/>
                <w:color w:val="882222"/>
                <w:sz w:val="18"/>
              </w:rPr>
              <w:t>misfire_grace_time</w:t>
            </w:r>
            <w:r>
              <w:t xml:space="preserve"> wie bei </w:t>
            </w:r>
            <w:r>
              <w:rPr>
                <w:rFonts w:ascii="Consolas" w:hAnsi="Consolas"/>
                <w:color w:val="882222"/>
                <w:sz w:val="18"/>
              </w:rPr>
              <w:t>makro_analog</w:t>
            </w:r>
            <w:r>
              <w:t>) — noch NICHT auf dem Notebook deployed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Transparenz-Anforderung: jede #333-Wirkung (KI-Vorschlag, Änderungsaufforderung, Bellwether-/Mechanismus-Begründung) braucht Mouseover/Tooltip in GUI + Klartext in E-Mail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t xml:space="preserve">Fall-B-GUI in </w:t>
            </w:r>
            <w:r>
              <w:rPr>
                <w:rFonts w:ascii="Consolas" w:hAnsi="Consolas"/>
                <w:color w:val="882222"/>
                <w:sz w:val="18"/>
              </w:rPr>
              <w:t>ui/thesen_view.py</w:t>
            </w:r>
            <w:r>
              <w:t xml:space="preserve"> fertig: neuer Bereich "Offene Änderungsaufforderungen" im Schwerpunkte-Tab (</w:t>
            </w:r>
            <w:r>
              <w:rPr>
                <w:rFonts w:ascii="Consolas" w:hAnsi="Consolas"/>
                <w:color w:val="882222"/>
                <w:sz w:val="18"/>
              </w:rPr>
              <w:t>vorschlag_tree</w:t>
            </w:r>
            <w:r>
              <w:t xml:space="preserve"> + </w:t>
            </w:r>
            <w:r>
              <w:rPr>
                <w:rFonts w:ascii="Consolas" w:hAnsi="Consolas"/>
                <w:color w:val="882222"/>
                <w:sz w:val="18"/>
              </w:rPr>
              <w:t>_render_vorschlaege()</w:t>
            </w:r>
            <w:r>
              <w:t xml:space="preserve">), Zeilen-Tooltip zeigt Begründung+Datenstand, Buttons "Übernehmen"/"Ablehnen" mit erklärendem Tooltip. </w:t>
            </w:r>
            <w:r>
              <w:rPr>
                <w:rFonts w:ascii="Consolas" w:hAnsi="Consolas"/>
                <w:color w:val="882222"/>
                <w:sz w:val="18"/>
              </w:rPr>
              <w:t>_on_vorschlag_uebernehmen()</w:t>
            </w:r>
            <w:r>
              <w:t xml:space="preserve"> aktualisiert die verlinkte These direkt (</w:t>
            </w:r>
            <w:r>
              <w:rPr>
                <w:rFonts w:ascii="Consolas" w:hAnsi="Consolas"/>
                <w:color w:val="882222"/>
                <w:sz w:val="18"/>
              </w:rPr>
              <w:t>dataclasses.replace()</w:t>
            </w:r>
            <w:r>
              <w:t>+</w:t>
            </w:r>
            <w:r>
              <w:rPr>
                <w:rFonts w:ascii="Consolas" w:hAnsi="Consolas"/>
                <w:color w:val="882222"/>
                <w:sz w:val="18"/>
              </w:rPr>
              <w:t>db.update_these()</w:t>
            </w:r>
            <w:r>
              <w:t xml:space="preserve">) und schließt den Tracker als 'uebernommen', </w:t>
            </w:r>
            <w:r>
              <w:rPr>
                <w:rFonts w:ascii="Consolas" w:hAnsi="Consolas"/>
                <w:color w:val="882222"/>
                <w:sz w:val="18"/>
              </w:rPr>
              <w:t>_on_vorschlag_ablehnen()</w:t>
            </w:r>
            <w:r>
              <w:t xml:space="preserve"> lässt die These unverändert und löst die 30-Tage-Cooldown-Regel aus. Synthetischer Test (temp-DB, kompletter Übernehmen+Ablehnen-Flow inkl. Sichtbarkeits-Check über </w:t>
            </w:r>
            <w:r>
              <w:rPr>
                <w:rFonts w:ascii="Consolas" w:hAnsi="Consolas"/>
                <w:color w:val="882222"/>
                <w:sz w:val="18"/>
              </w:rPr>
              <w:t>get_offene_aenderungsvorschlaege()</w:t>
            </w:r>
            <w:r>
              <w:t>) bestanden. Fall-A-Anzeige braucht keine eigene GUI (neue These landet automatisch in der bestehenden ThesenView). E-Mail-Anbindung (#333-Job selbst versendet noch keine Mail, nur GUI) bewusst zurückgestellt — Job ist rein deterministisch und läuft still im Hintergrund, erst eine Änderungsaufforderung im Status 'offen' braucht Nutzer-Aufmerksamkeit, die die GUI jetzt abdeckt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M2-Mechanismus-Nachbesserung: Net-Liquidity-Proxy (WALCL−TGA−RRP, wöchentlich) als primäres Tempo-Signal, M2-Liquiditätsregime als sekundäre Bestätigung</w:t>
            </w:r>
          </w:p>
        </w:tc>
        <w:tc>
          <w:tcPr>
            <w:tcW w:type="dxa" w:w="2160"/>
          </w:tcPr>
          <w:p>
            <w:r/>
            <w:r>
              <w:t>[GEBAUT]</w:t>
            </w:r>
          </w:p>
        </w:tc>
        <w:tc>
          <w:tcPr>
            <w:tcW w:type="dxa" w:w="2160"/>
          </w:tcPr>
          <w:p>
            <w:r/>
            <w:r>
              <w:t xml:space="preserve">FRED-Serien-IDs live verifiziert (WALCL 6.747 Mrd, WTREGEN 830 Mrd, RRPONTSYD 0,9 Mrd — plausibel). </w:t>
            </w:r>
            <w:r>
              <w:rPr>
                <w:rFonts w:ascii="Consolas" w:hAnsi="Consolas"/>
                <w:color w:val="882222"/>
                <w:sz w:val="18"/>
              </w:rPr>
              <w:t>agent/kategorie_thesen.py::_net_liquidity_trend()</w:t>
            </w:r>
            <w:r>
              <w:t xml:space="preserve"> neu, unabhängig von der Krypto-Regime-Pipeline (bewusst NICHT in </w:t>
            </w:r>
            <w:r>
              <w:rPr>
                <w:rFonts w:ascii="Consolas" w:hAnsi="Consolas"/>
                <w:color w:val="882222"/>
                <w:sz w:val="18"/>
              </w:rPr>
              <w:t>agent/krypto/regime.py</w:t>
            </w:r>
            <w:r>
              <w:t xml:space="preserve"> verdrahtet, siehe Docstring). Live-Test: Net Liquidity aktuell ~5.917 Mrd. USD, Trend "steigend" (26 abgeglichene Wochenwerte). Fallback auf reines M2 bei fehlendem </w:t>
            </w:r>
            <w:r>
              <w:rPr>
                <w:rFonts w:ascii="Consolas" w:hAnsi="Consolas"/>
                <w:color w:val="882222"/>
                <w:sz w:val="18"/>
              </w:rPr>
              <w:t>FRED_API_KEY</w:t>
            </w:r>
            <w:r>
              <w:t>/Abruf-Fehler getestet. ECB-M3-Ergänzung nicht umgesetzt (optional, zurückgestellt)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 xml:space="preserve">Japan-M2 fehlt im Trend-Mehrheitsentscheid (nur aktueller Wert, keine Historie über </w:t>
            </w:r>
            <w:r>
              <w:rPr>
                <w:rFonts w:ascii="Consolas" w:hAnsi="Consolas"/>
                <w:color w:val="882222"/>
                <w:sz w:val="18"/>
              </w:rPr>
              <w:t>get_japan_m2()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[OFFEN, vorgemerkt]</w:t>
            </w:r>
          </w:p>
        </w:tc>
        <w:tc>
          <w:tcPr>
            <w:tcW w:type="dxa" w:w="2160"/>
          </w:tcPr>
          <w:p>
            <w:r/>
            <w:r>
              <w:t>Eigenständiges, kleineres Thema — bräuchte eine neue historische Japan-M2-Quelle, nicht Teil dieser #333-Runde</w:t>
            </w:r>
          </w:p>
        </w:tc>
      </w:tr>
    </w:tbl>
    <w:p/>
    <w:p>
      <w:pPr>
        <w:jc w:val="left"/>
      </w:pPr>
      <w:r>
        <w:rPr>
          <w:b/>
        </w:rPr>
        <w:t>Konzeptphase abgeschlossen (2026-07-24):</w:t>
      </w:r>
      <w:r>
        <w:t xml:space="preserve"> alle 19 Punkte sind entweder entschieden (16), bereits vorhandener Baustein (2, nur Verdrahtung offen) oder bewusst vorgemerkt/kein Blocker (1, Punkt 19 Japan-Lücke). Umsetzung beginnt jetzt — Fortschritt wird ab hier direkt an den einzelnen Punkten in der Tabelle oben nachgeführt (Status wechselt auf </w:t>
      </w:r>
      <w:r>
        <w:rPr>
          <w:rFonts w:ascii="Consolas" w:hAnsi="Consolas"/>
          <w:color w:val="882222"/>
          <w:sz w:val="18"/>
        </w:rPr>
        <w:t>[GEBAUT]</w:t>
      </w:r>
      <w:r>
        <w:t>/</w:t>
      </w:r>
      <w:r>
        <w:rPr>
          <w:rFonts w:ascii="Consolas" w:hAnsi="Consolas"/>
          <w:color w:val="882222"/>
          <w:sz w:val="18"/>
        </w:rPr>
        <w:t>[VERDRAHTET]</w:t>
      </w:r>
      <w:r>
        <w:t xml:space="preserve"> sobald der jeweilige Code steht), bevor der Gesamtstand ins </w:t>
      </w:r>
      <w:r>
        <w:rPr>
          <w:rFonts w:ascii="Consolas" w:hAnsi="Consolas"/>
          <w:color w:val="882222"/>
          <w:sz w:val="18"/>
        </w:rPr>
        <w:t>Regelwerksmanual.md</w:t>
      </w:r>
      <w:r>
        <w:t>/</w:t>
      </w:r>
      <w:r>
        <w:rPr>
          <w:rFonts w:ascii="Consolas" w:hAnsi="Consolas"/>
          <w:color w:val="882222"/>
          <w:sz w:val="18"/>
        </w:rPr>
        <w:t>.docx</w:t>
      </w:r>
      <w:r>
        <w:t xml:space="preserve"> übertragen wird.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Bellwether-Ticker + Kategorie-Abgrenzung (Detail zu Punkt 11)</w:t>
      </w:r>
    </w:p>
    <w:p>
      <w:pPr>
        <w:jc w:val="left"/>
      </w:pPr>
      <w:r>
        <w:rPr>
          <w:b/>
        </w:rPr>
        <w:t>Wichtige Einschränkung (ehrlich, P-10):</w:t>
      </w:r>
      <w:r>
        <w:t xml:space="preserve"> Bitpandas eigene Themenkorb-Symbole (z. B. </w:t>
      </w:r>
      <w:r>
        <w:rPr>
          <w:rFonts w:ascii="Consolas" w:hAnsi="Consolas"/>
          <w:color w:val="882222"/>
          <w:sz w:val="18"/>
        </w:rPr>
        <w:t>SEMICON</w:t>
      </w:r>
      <w:r>
        <w:t xml:space="preserve">, </w:t>
      </w:r>
      <w:r>
        <w:rPr>
          <w:rFonts w:ascii="Consolas" w:hAnsi="Consolas"/>
          <w:color w:val="882222"/>
          <w:sz w:val="18"/>
        </w:rPr>
        <w:t>ARTINT</w:t>
      </w:r>
      <w:r>
        <w:t xml:space="preserve">, </w:t>
      </w:r>
      <w:r>
        <w:rPr>
          <w:rFonts w:ascii="Consolas" w:hAnsi="Consolas"/>
          <w:color w:val="882222"/>
          <w:sz w:val="18"/>
        </w:rPr>
        <w:t>CYBERSEC</w:t>
      </w:r>
      <w:r>
        <w:t xml:space="preserve"> — gleiche Produktkategorie wie </w:t>
      </w:r>
      <w:r>
        <w:rPr>
          <w:rFonts w:ascii="Consolas" w:hAnsi="Consolas"/>
          <w:color w:val="882222"/>
          <w:sz w:val="18"/>
        </w:rPr>
        <w:t>COPPERMINE</w:t>
      </w:r>
      <w:r>
        <w:t xml:space="preserve">) sind </w:t>
      </w:r>
      <w:r>
        <w:rPr>
          <w:b/>
        </w:rPr>
        <w:t>Produktnamen, keine Börsenticker</w:t>
      </w:r>
      <w:r>
        <w:t xml:space="preserve"> (</w:t>
      </w:r>
      <w:r>
        <w:rPr>
          <w:rFonts w:ascii="Consolas" w:hAnsi="Consolas"/>
          <w:color w:val="882222"/>
          <w:sz w:val="18"/>
        </w:rPr>
        <w:t>agent/aktien/screener.py:137-142</w:t>
      </w:r>
      <w:r>
        <w:t xml:space="preserve">) — es gibt keinen yfinance-Ticker, über den sich echte ETF-Top-Holdings automatisch ableiten ließen (das hätte </w:t>
      </w:r>
      <w:r>
        <w:rPr>
          <w:rFonts w:ascii="Consolas" w:hAnsi="Consolas"/>
          <w:color w:val="882222"/>
          <w:sz w:val="18"/>
        </w:rPr>
        <w:t>api/asset_quality.py::get_asset_quality()</w:t>
      </w:r>
      <w:r>
        <w:t xml:space="preserve"> sonst geleistet). Die Bellwether-Zuordnung ist deshalb eine </w:t>
      </w:r>
      <w:r>
        <w:rPr>
          <w:b/>
        </w:rPr>
        <w:t>manuell kuratierte, statische Tabelle</w:t>
      </w:r>
      <w:r>
        <w:t xml:space="preserve"> (gleiche Art Datenstruktur wie </w:t>
      </w:r>
      <w:r>
        <w:rPr>
          <w:rFonts w:ascii="Consolas" w:hAnsi="Consolas"/>
          <w:color w:val="882222"/>
          <w:sz w:val="18"/>
        </w:rPr>
        <w:t>kategorien.yaml</w:t>
      </w:r>
      <w:r>
        <w:t xml:space="preserve"> oder </w:t>
      </w:r>
      <w:r>
        <w:rPr>
          <w:rFonts w:ascii="Consolas" w:hAnsi="Consolas"/>
          <w:color w:val="882222"/>
          <w:sz w:val="18"/>
        </w:rPr>
        <w:t>COT_MARKET_NAMES</w:t>
      </w:r>
      <w:r>
        <w:t xml:space="preserve"> selbst), kein automatisch abgeleiteter Mechanismus.</w:t>
      </w:r>
    </w:p>
    <w:p>
      <w:pPr>
        <w:jc w:val="left"/>
      </w:pPr>
      <w:r>
        <w:t>Nicht alle 18 Technologie-&amp;-KI-Unterkategorien werden vorbereitet (bei 3-6 gleichzeitig aktiven Thesen insgesamt unnötig) — Start mit den wahrscheinlichsten Kandidaten, Rest bei Bedarf später ergänzbar (config-getrieben, kein Rewrite nötig).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Scope/Definition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Abgrenzung zu ähnlich klingenden Kategorien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Bellwether</w:t>
            </w:r>
          </w:p>
        </w:tc>
      </w:tr>
      <w:tr>
        <w:tc>
          <w:tcPr>
            <w:tcW w:type="dxa" w:w="2160"/>
          </w:tcPr>
          <w:p>
            <w:r/>
            <w:r>
              <w:t>Halbleiter (Technologie &amp; KI)</w:t>
            </w:r>
          </w:p>
        </w:tc>
        <w:tc>
          <w:tcPr>
            <w:tcW w:type="dxa" w:w="2160"/>
          </w:tcPr>
          <w:p>
            <w:r/>
            <w:r>
              <w:t>Chip-Designer/-Hersteller als Unternehmen</w:t>
            </w:r>
          </w:p>
        </w:tc>
        <w:tc>
          <w:tcPr>
            <w:tcW w:type="dxa" w:w="2160"/>
          </w:tcPr>
          <w:p>
            <w:r/>
            <w:r>
              <w:t>Nicht Seltene Erden/strategische Metalle (Industriemetalle — Rohstoff-Vorstufe)</w:t>
            </w:r>
          </w:p>
        </w:tc>
        <w:tc>
          <w:tcPr>
            <w:tcW w:type="dxa" w:w="2160"/>
          </w:tcPr>
          <w:p>
            <w:r/>
            <w:r>
              <w:t>NVDA, AMD (TSM bewusst nicht: Foreign Private Issuer, keine Section-16-Insider-Meldepflicht)</w:t>
            </w:r>
          </w:p>
        </w:tc>
      </w:tr>
      <w:tr>
        <w:tc>
          <w:tcPr>
            <w:tcW w:type="dxa" w:w="2160"/>
          </w:tcPr>
          <w:p>
            <w:r/>
            <w:r>
              <w:t>Künstliche Intelligenz (Technologie &amp; KI)</w:t>
            </w:r>
          </w:p>
        </w:tc>
        <w:tc>
          <w:tcPr>
            <w:tcW w:type="dxa" w:w="2160"/>
          </w:tcPr>
          <w:p>
            <w:r/>
            <w:r>
              <w:t>Unternehmen mit KI als Kerngeschäft/-Strategie</w:t>
            </w:r>
          </w:p>
        </w:tc>
        <w:tc>
          <w:tcPr>
            <w:tcW w:type="dxa" w:w="2160"/>
          </w:tcPr>
          <w:p>
            <w:r/>
            <w:r>
              <w:t>Bewusst ohne NVDA (läuft unter Halbleiter) — kein Titel in zwei Körben</w:t>
            </w:r>
          </w:p>
        </w:tc>
        <w:tc>
          <w:tcPr>
            <w:tcW w:type="dxa" w:w="2160"/>
          </w:tcPr>
          <w:p>
            <w:r/>
            <w:r>
              <w:t>MSFT, PLTR</w:t>
            </w:r>
          </w:p>
        </w:tc>
      </w:tr>
      <w:tr>
        <w:tc>
          <w:tcPr>
            <w:tcW w:type="dxa" w:w="2160"/>
          </w:tcPr>
          <w:p>
            <w:r/>
            <w:r>
              <w:t>Cybersicherheit (Technologie &amp; KI)</w:t>
            </w:r>
          </w:p>
        </w:tc>
        <w:tc>
          <w:tcPr>
            <w:tcW w:type="dxa" w:w="2160"/>
          </w:tcPr>
          <w:p>
            <w:r/>
            <w:r>
              <w:t>Reine Security-Software-Unternehmen</w:t>
            </w:r>
          </w:p>
        </w:tc>
        <w:tc>
          <w:tcPr>
            <w:tcW w:type="dxa" w:w="2160"/>
          </w:tcPr>
          <w:p>
            <w:r/>
            <w:r>
              <w:t>Abgegrenzt von allgemeiner Software/Tech</w:t>
            </w:r>
          </w:p>
        </w:tc>
        <w:tc>
          <w:tcPr>
            <w:tcW w:type="dxa" w:w="2160"/>
          </w:tcPr>
          <w:p>
            <w:r/>
            <w:r>
              <w:t>CRWD, PANW</w:t>
            </w:r>
          </w:p>
        </w:tc>
      </w:tr>
      <w:tr>
        <w:tc>
          <w:tcPr>
            <w:tcW w:type="dxa" w:w="2160"/>
          </w:tcPr>
          <w:p>
            <w:r/>
            <w:r>
              <w:t>Biotech (liegt unter Technologie &amp; KI, NICHT unter Gesundheit!)</w:t>
            </w:r>
          </w:p>
        </w:tc>
        <w:tc>
          <w:tcPr>
            <w:tcW w:type="dxa" w:w="2160"/>
          </w:tcPr>
          <w:p>
            <w:r/>
            <w:r>
              <w:t>Forschungsgetriebene, oft kleinere/spekulativere Firmen, klinische Studien/Zulassungen als Treiber</w:t>
            </w:r>
          </w:p>
        </w:tc>
        <w:tc>
          <w:tcPr>
            <w:tcW w:type="dxa" w:w="2160"/>
          </w:tcPr>
          <w:p>
            <w:r/>
            <w:r>
              <w:t>Bewusst getrennt von "Gesundheit" — Innovationszyklus statt Konjunktur-Rotation</w:t>
            </w:r>
          </w:p>
        </w:tc>
        <w:tc>
          <w:tcPr>
            <w:tcW w:type="dxa" w:w="2160"/>
          </w:tcPr>
          <w:p>
            <w:r/>
            <w:r>
              <w:t>AMGN, VRTX (bewusst diversifiziert, keine Einzelwirkstoff-Biotechs — Klumpenrisiko einer einzelnen Zulassung)</w:t>
            </w:r>
          </w:p>
        </w:tc>
      </w:tr>
      <w:tr>
        <w:tc>
          <w:tcPr>
            <w:tcW w:type="dxa" w:w="2160"/>
          </w:tcPr>
          <w:p>
            <w:r/>
            <w:r>
              <w:t>Gesundheit (Aktien-Sektoren)</w:t>
            </w:r>
          </w:p>
        </w:tc>
        <w:tc>
          <w:tcPr>
            <w:tcW w:type="dxa" w:w="2160"/>
          </w:tcPr>
          <w:p>
            <w:r/>
            <w:r>
              <w:t>Breiter, defensiverer Sektor: Krankenversicherer, Pharma-Großkonzerne, Medizintechnik</w:t>
            </w:r>
          </w:p>
        </w:tc>
        <w:tc>
          <w:tcPr>
            <w:tcW w:type="dxa" w:w="2160"/>
          </w:tcPr>
          <w:p>
            <w:r/>
            <w:r>
              <w:t>Siehe Biotech-Abgrenzung oben</w:t>
            </w:r>
          </w:p>
        </w:tc>
        <w:tc>
          <w:tcPr>
            <w:tcW w:type="dxa" w:w="2160"/>
          </w:tcPr>
          <w:p>
            <w:r/>
            <w:r>
              <w:t>UNH, JNJ</w:t>
            </w:r>
          </w:p>
        </w:tc>
      </w:tr>
      <w:tr>
        <w:tc>
          <w:tcPr>
            <w:tcW w:type="dxa" w:w="2160"/>
          </w:tcPr>
          <w:p>
            <w:r/>
            <w:r>
              <w:t>Konsum (zyklisch) (Aktien-Sektoren)</w:t>
            </w:r>
          </w:p>
        </w:tc>
        <w:tc>
          <w:tcPr>
            <w:tcW w:type="dxa" w:w="2160"/>
          </w:tcPr>
          <w:p>
            <w:r/>
            <w:r>
              <w:t>Einzelhandel, Reisen, Automobile</w:t>
            </w:r>
          </w:p>
        </w:tc>
        <w:tc>
          <w:tcPr>
            <w:tcW w:type="dxa" w:w="2160"/>
          </w:tcPr>
          <w:p>
            <w:r/>
            <w:r>
              <w:t>Nicht Agrarrohstoffe (das sind die Rohwaren, nicht die verkaufenden Unternehmen)</w:t>
            </w:r>
          </w:p>
        </w:tc>
        <w:tc>
          <w:tcPr>
            <w:tcW w:type="dxa" w:w="2160"/>
          </w:tcPr>
          <w:p>
            <w:r/>
            <w:r>
              <w:t>AMZN, HD</w:t>
            </w:r>
          </w:p>
        </w:tc>
      </w:tr>
      <w:tr>
        <w:tc>
          <w:tcPr>
            <w:tcW w:type="dxa" w:w="2160"/>
          </w:tcPr>
          <w:p>
            <w:r/>
            <w:r>
              <w:t>Konsum (Basiskonsumgüter) (Aktien-Sektoren)</w:t>
            </w:r>
          </w:p>
        </w:tc>
        <w:tc>
          <w:tcPr>
            <w:tcW w:type="dxa" w:w="2160"/>
          </w:tcPr>
          <w:p>
            <w:r/>
            <w:r>
              <w:t>Lebensmittel-/Hygieneartikel-Hersteller</w:t>
            </w:r>
          </w:p>
        </w:tc>
        <w:tc>
          <w:tcPr>
            <w:tcW w:type="dxa" w:w="2160"/>
          </w:tcPr>
          <w:p>
            <w:r/>
            <w:r>
              <w:t>Gleiche Abgrenzung — Hersteller, keine Agrar-Rohstoff-Wette</w:t>
            </w:r>
          </w:p>
        </w:tc>
        <w:tc>
          <w:tcPr>
            <w:tcW w:type="dxa" w:w="2160"/>
          </w:tcPr>
          <w:p>
            <w:r/>
            <w:r>
              <w:t>PG, KO</w:t>
            </w:r>
          </w:p>
        </w:tc>
      </w:tr>
      <w:tr>
        <w:tc>
          <w:tcPr>
            <w:tcW w:type="dxa" w:w="2160"/>
          </w:tcPr>
          <w:p>
            <w:r/>
            <w:r>
              <w:t>Industrie (Aktien-Sektoren)</w:t>
            </w:r>
          </w:p>
        </w:tc>
        <w:tc>
          <w:tcPr>
            <w:tcW w:type="dxa" w:w="2160"/>
          </w:tcPr>
          <w:p>
            <w:r/>
            <w:r>
              <w:t>Maschinenbau, Luft-/Raumfahrt, Verteidigung, Transport, Baugewerbe</w:t>
            </w:r>
          </w:p>
        </w:tc>
        <w:tc>
          <w:tcPr>
            <w:tcW w:type="dxa" w:w="2160"/>
          </w:tcPr>
          <w:p>
            <w:r/>
            <w:r>
              <w:t>Nicht Industriemetalle (eigene Hauptgruppe, Kupfer/Aluminium als Rohstoff) — trotz ähnlichem Namen komplett andere Kategorie</w:t>
            </w:r>
          </w:p>
        </w:tc>
        <w:tc>
          <w:tcPr>
            <w:tcW w:type="dxa" w:w="2160"/>
          </w:tcPr>
          <w:p>
            <w:r/>
            <w:r>
              <w:t>HON, CAT</w:t>
            </w:r>
          </w:p>
        </w:tc>
      </w:tr>
      <w:tr>
        <w:tc>
          <w:tcPr>
            <w:tcW w:type="dxa" w:w="2160"/>
          </w:tcPr>
          <w:p>
            <w:r/>
            <w:r>
              <w:t>Kommunikationsdienste (Aktien-Sektoren)</w:t>
            </w:r>
          </w:p>
        </w:tc>
        <w:tc>
          <w:tcPr>
            <w:tcW w:type="dxa" w:w="2160"/>
          </w:tcPr>
          <w:p>
            <w:r/>
            <w:r>
              <w:t>Meta, Alphabet, Telekom-/Medienkonzerne</w:t>
            </w:r>
          </w:p>
        </w:tc>
        <w:tc>
          <w:tcPr>
            <w:tcW w:type="dxa" w:w="2160"/>
          </w:tcPr>
          <w:p>
            <w:r/>
            <w:r>
              <w:t>Überschneidet sich inhaltlich mit Technologie &amp; KI (Big Tech) — bewusst offen benannt, kein verstecktes Doppelsignal</w:t>
            </w:r>
          </w:p>
        </w:tc>
        <w:tc>
          <w:tcPr>
            <w:tcW w:type="dxa" w:w="2160"/>
          </w:tcPr>
          <w:p>
            <w:r/>
            <w:r>
              <w:t>GOOGL, META</w:t>
            </w:r>
          </w:p>
        </w:tc>
      </w:tr>
      <w:tr>
        <w:tc>
          <w:tcPr>
            <w:tcW w:type="dxa" w:w="2160"/>
          </w:tcPr>
          <w:p>
            <w:r/>
            <w:r>
              <w:t>Grundstoffe (Aktien-Sektoren)</w:t>
            </w:r>
          </w:p>
        </w:tc>
        <w:tc>
          <w:tcPr>
            <w:tcW w:type="dxa" w:w="2160"/>
          </w:tcPr>
          <w:p>
            <w:r/>
            <w:r>
              <w:t xml:space="preserve">GICS-"Materials": Chemiekonzerne, Bergbau-/Minenunternehmen, Verpackung, Forst-/Papier — die </w:t>
            </w:r>
            <w:r>
              <w:rPr>
                <w:b/>
              </w:rPr>
              <w:t>Unternehmen</w:t>
            </w:r>
          </w:p>
        </w:tc>
        <w:tc>
          <w:tcPr>
            <w:tcW w:type="dxa" w:w="2160"/>
          </w:tcPr>
          <w:p>
            <w:r/>
            <w:r>
              <w:t>Nicht Industriemetalle (Rohstoff-Future/ETC, die reine Ware) und nicht Agrarrohstoffe (Getreide/Genussmittel als Ware) — Grundstoffe = die Firmen, die Rohstoffe verarbeiten/fördern</w:t>
            </w:r>
          </w:p>
        </w:tc>
        <w:tc>
          <w:tcPr>
            <w:tcW w:type="dxa" w:w="2160"/>
          </w:tcPr>
          <w:p>
            <w:r/>
            <w:r>
              <w:t>LIN, DOW</w:t>
            </w:r>
          </w:p>
        </w:tc>
      </w:tr>
    </w:tbl>
    <w:p/>
    <w:p>
      <w:pPr>
        <w:jc w:val="left"/>
      </w:pPr>
      <w:r>
        <w:rPr>
          <w:b/>
        </w:rPr>
        <w:t>Kernregel gegen Verwechslung:</w:t>
      </w:r>
      <w:r>
        <w:t xml:space="preserve"> überall wo eine Hauptgruppe eine reine Rohstoff-/Warenkategorie ist (Industriemetalle, Energie, Agrarrohstoffe, Edelmetalle), geht es um die physische Ware/das Future. Überall wo es eine Aktien-Sektoren- oder Technologie-&amp;-KI-Unterkategorie ist, geht es um die Unternehmen, die damit handeln/es herstellen/davon profitieren.</w:t>
      </w:r>
    </w:p>
    <w:p>
      <w:pPr>
        <w:jc w:val="left"/>
      </w:pPr>
      <w:r>
        <w:rPr>
          <w:b/>
        </w:rPr>
        <w:t>Aggregationsregel (2 Bellwether-Titel × 3 Signaltypen):</w:t>
      </w:r>
    </w:p>
    <w:p>
      <w:pPr>
        <w:pStyle w:val="ListBullet"/>
      </w:pPr>
      <w:r>
        <w:t>Analystentrend (Finnhub): Durchschnitt Buy+StrongBuy-Anteil über den Korb, aktuell vs. Vormonat, Richtung nur bei Verschiebung &gt; 5 Prozentpunkte gewertet.</w:t>
      </w:r>
    </w:p>
    <w:p>
      <w:pPr>
        <w:pStyle w:val="ListBullet"/>
      </w:pPr>
      <w:r>
        <w:t xml:space="preserve">Insider-Aktivität (SEC EDGAR): </w:t>
      </w:r>
      <w:r>
        <w:rPr>
          <w:b/>
        </w:rPr>
        <w:t>Anzahl</w:t>
      </w:r>
      <w:r>
        <w:t xml:space="preserve"> Käufer vs. Verkäufer im Korb (bewusst nicht Dollar-Volumen — ein einzelner Großverkauf würde sonst alles dominieren).</w:t>
      </w:r>
    </w:p>
    <w:p>
      <w:pPr>
        <w:pStyle w:val="ListBullet"/>
      </w:pPr>
      <w:r>
        <w:t>Short-Interest-Trend (FINRA): Days-to-Cover-Richtung letzte vs. vorletzte Meldeperiode, gemittelt über den Korb.</w:t>
      </w:r>
    </w:p>
    <w:p>
      <w:pPr>
        <w:pStyle w:val="ListBullet"/>
      </w:pPr>
      <w:r>
        <w:t>Kombinationsregel: mindestens 2 von 3 Signalen müssen in dieselbe Richtung zeigen, sonst "gemischt/neutral" — verhindert, dass ein einzelnes verrauschtes Signal (z. B. ein steuerlich bedingter Insider-Verkauf) allein die Kategorie-Einschätzung kippt.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Transparenz-Anforderung für #333 (Detail zu Punkt 17)</w:t>
      </w:r>
    </w:p>
    <w:p>
      <w:pPr>
        <w:jc w:val="left"/>
      </w:pPr>
      <w:r>
        <w:t>Jede automatische Wirkung von #333 — neuer KI-Vorschlag, Änderungsaufforderung gegen eine bestehende These, Bellwether-/Mechanismus-Begründung — muss ihre konkrete Grundlage sichtbar mitliefern, exakt nach dem bereits etablierten Transparenz-Prinzip (Abschnitt 5, Punkt 7). Kein Badge/keine Umsortierung ohne erkennbaren Grund.</w:t>
      </w:r>
    </w:p>
    <w:p>
      <w:pPr>
        <w:jc w:val="left"/>
      </w:pPr>
      <w:r>
        <w:t>Wiederverwendung bestehender, bereits bewährter Bausteine statt Neubau:</w:t>
      </w:r>
    </w:p>
    <w:p>
      <w:pPr>
        <w:pStyle w:val="ListBullet"/>
      </w:pPr>
      <w:r>
        <w:rPr>
          <w:b/>
        </w:rPr>
        <w:t>GUI (Schwerpunkte-Tab/`ui/thesen_view.py`):</w:t>
      </w:r>
      <w:r>
        <w:t xml:space="preserve"> Mouseover-Tooltip mit den konkreten Rohwerten (z. B. "COT Kupfer: Managed-Money netto long 29,8% des Open Interest, Bericht vom TT.MM.JJJJ") — gleicher Baustein wie </w:t>
      </w:r>
      <w:r>
        <w:rPr>
          <w:rFonts w:ascii="Consolas" w:hAnsi="Consolas"/>
          <w:color w:val="882222"/>
          <w:sz w:val="18"/>
        </w:rPr>
        <w:t>ui/widget_tooltip.py</w:t>
      </w:r>
      <w:r>
        <w:t>/</w:t>
      </w:r>
      <w:r>
        <w:rPr>
          <w:rFonts w:ascii="Consolas" w:hAnsi="Consolas"/>
          <w:color w:val="882222"/>
          <w:sz w:val="18"/>
        </w:rPr>
        <w:t>ui/row_tooltip.py</w:t>
      </w:r>
      <w:r>
        <w:t>, bereits an mehreren Stellen im Projekt im Einsatz (Diversifikations-Tabelle, Screener-Marker).</w:t>
      </w:r>
    </w:p>
    <w:p>
      <w:pPr>
        <w:pStyle w:val="ListBullet"/>
      </w:pPr>
      <w:r>
        <w:rPr>
          <w:b/>
        </w:rPr>
        <w:t>Signal-Detail-Panels (`ui/signals_view.py`/`ui/hebel_view.py`):</w:t>
      </w:r>
      <w:r>
        <w:t xml:space="preserve"> der </w:t>
      </w:r>
      <w:r>
        <w:rPr>
          <w:rFonts w:ascii="Consolas" w:hAnsi="Consolas"/>
          <w:color w:val="882222"/>
          <w:sz w:val="18"/>
        </w:rPr>
        <w:t>these_abgleich</w:t>
      </w:r>
      <w:r>
        <w:t>-Text erscheint dort bereits heute (Fakt im Prompt) — bei einer Bellwether-basierten Kategorie zusätzlich die konkreten Bellwether- Ticker + deren Einzelwerte in der Begründung nennen, nicht nur das Aggregat-Urteil.</w:t>
      </w:r>
    </w:p>
    <w:p>
      <w:pPr>
        <w:pStyle w:val="ListBullet"/>
      </w:pPr>
      <w:r>
        <w:rPr>
          <w:b/>
        </w:rPr>
        <w:t>E-Mail:</w:t>
      </w:r>
      <w:r>
        <w:t xml:space="preserve"> gleiches 3-Abschnitte-Template (</w:t>
      </w:r>
      <w:r>
        <w:rPr>
          <w:rFonts w:ascii="Consolas" w:hAnsi="Consolas"/>
          <w:color w:val="882222"/>
          <w:sz w:val="18"/>
        </w:rPr>
        <w:t>scheduler/background.py</w:t>
      </w:r>
      <w:r>
        <w:t>) wie bei Risikofaktoren/Kontrathese — Klartext statt Badge, da E-Mail kein Mouseover kennt.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EIA-Erdgas-Materialitätsschwelle (Detail zu Punkt 9)</w:t>
      </w:r>
    </w:p>
    <w:p>
      <w:pPr>
        <w:jc w:val="left"/>
      </w:pPr>
      <w:r>
        <w:rPr>
          <w:b/>
        </w:rPr>
        <w:t>Korrektur einer zu vorschnellen früheren Einschätzung:</w:t>
      </w:r>
      <w:r>
        <w:t xml:space="preserve"> ursprünglich als "nicht datentechnisch möglich" eingestuft, weil </w:t>
      </w:r>
      <w:r>
        <w:rPr>
          <w:rFonts w:ascii="Consolas" w:hAnsi="Consolas"/>
          <w:color w:val="882222"/>
          <w:sz w:val="18"/>
        </w:rPr>
        <w:t>get_natural_gas_storage_ history()</w:t>
      </w:r>
      <w:r>
        <w:t xml:space="preserve"> bisher nur mit </w:t>
      </w:r>
      <w:r>
        <w:rPr>
          <w:rFonts w:ascii="Consolas" w:hAnsi="Consolas"/>
          <w:color w:val="882222"/>
          <w:sz w:val="18"/>
        </w:rPr>
        <w:t>n_weeks=8</w:t>
      </w:r>
      <w:r>
        <w:t xml:space="preserve"> genutzt wurde. Bei genauerem Hinsehen unterstützt die Funktion bereits einen beliebigen </w:t>
      </w:r>
      <w:r>
        <w:rPr>
          <w:rFonts w:ascii="Consolas" w:hAnsi="Consolas"/>
          <w:color w:val="882222"/>
          <w:sz w:val="18"/>
        </w:rPr>
        <w:t>n_weeks</w:t>
      </w:r>
      <w:r>
        <w:t>-Parameter (reine API-</w:t>
      </w:r>
      <w:r>
        <w:rPr>
          <w:rFonts w:ascii="Consolas" w:hAnsi="Consolas"/>
          <w:color w:val="882222"/>
          <w:sz w:val="18"/>
        </w:rPr>
        <w:t>length</w:t>
      </w:r>
      <w:r>
        <w:t xml:space="preserve">-Angabe) — ein Aufruf mit </w:t>
      </w:r>
      <w:r>
        <w:rPr>
          <w:rFonts w:ascii="Consolas" w:hAnsi="Consolas"/>
          <w:color w:val="882222"/>
          <w:sz w:val="18"/>
        </w:rPr>
        <w:t>n_weeks=260</w:t>
      </w:r>
      <w:r>
        <w:t xml:space="preserve"> (5 Jahre) liefert dieselben Daten, nur mehr davon. Die EIA-Wochenreihe existiert durchgängig seit den 1990ern, 5 Jahre Historie sind real verfügbar. Kein neuer Datenzugriff nötig, nur ein größerer Parameterwert + eine neue Aggregationsfunktion.</w:t>
      </w:r>
    </w:p>
    <w:p>
      <w:pPr>
        <w:jc w:val="left"/>
      </w:pPr>
      <w:r>
        <w:rPr>
          <w:b/>
        </w:rPr>
        <w:t>Berechnung:</w:t>
      </w:r>
      <w:r>
        <w:t xml:space="preserve"> aus den 260 Wochenwerten für die aktuelle Kalenderwoche (± wenige Tage Toleranz wegen Schaltjahren) den Durchschnitt der letzten 5 Jahre bilden, dann </w:t>
      </w:r>
      <w:r>
        <w:rPr>
          <w:rFonts w:ascii="Consolas" w:hAnsi="Consolas"/>
          <w:color w:val="882222"/>
          <w:sz w:val="18"/>
        </w:rPr>
        <w:t>(aktueller_wert - 5j_durchschnitt) / 5j_durchschnitt</w:t>
      </w:r>
      <w:r>
        <w:t xml:space="preserve"> berechnen. Kalenderwochen-Zuordnung über Datum ± Toleranz, nicht über einen starren Wochenindex (sonst Drift durch Schaltjahre).</w:t>
      </w:r>
    </w:p>
    <w:p>
      <w:pPr>
        <w:jc w:val="left"/>
      </w:pPr>
      <w:r>
        <w:rPr>
          <w:b/>
        </w:rPr>
        <w:t>Materialitätsschwelle: ±5%</w:t>
      </w:r>
      <w:r>
        <w:t xml:space="preserve"> vom 5-Jahres-Durchschnitt — Abweichungen darunter gelten als "im saisonalen Rahmen", darüber als auffällig (gängige Einordnung in der Energie-Berichterstattung, gleiche Größenordnungs-Logik wie die anderen Schwellen in diesem Abschnitt).</w:t>
      </w:r>
    </w:p>
    <w:p>
      <w:pPr>
        <w:jc w:val="left"/>
      </w:pPr>
      <w:r>
        <w:rPr>
          <w:b/>
        </w:rPr>
        <w:t>Richtungslogik:</w:t>
      </w:r>
      <w:r>
        <w:t xml:space="preserve"> Lagerbestand über dem 5-Jahres-Schnitt = reichliches Angebot = bearish für Erdgaspreis (gegen "Energie übergewichten"). Unter dem Schnitt = knapperer Markt = bullish.</w:t>
      </w:r>
    </w:p>
    <w:p>
      <w:pPr>
        <w:jc w:val="left"/>
      </w:pPr>
      <w:r>
        <w:rPr>
          <w:b/>
        </w:rPr>
        <w:t>Kombination mit COT-Erdgas (Energie hat damit 2 Indikatoren):</w:t>
      </w:r>
      <w:r>
        <w:t xml:space="preserve"> beide müssen übereinstimmen für eine gewertete Richtung, sonst "gemischt/neutral" — kodifiziert die bereits im Konzeptdokument (Abschnitt 6, Beispiel 1) korrekt, aber nur verbal getroffene Einordnung ("Speicher baut saisonal weiter auf, ABER Managed-Money ist netto SHORT — gemischtes Bild") als feste Regel, dieselbe 2-von-2-Logik wie beim Bellwether-Modell (Abschnitt 12), nur mit 2 statt 3 Signalen.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Persistenz-Anforderung, Cooldown + M2-Mechanismus-Nachbesserung (Detail zu Punkt 5 + 18)</w:t>
      </w:r>
    </w:p>
    <w:p>
      <w:pPr>
        <w:pStyle w:val="Heading3"/>
      </w:pPr>
      <w:r>
        <w:t>Persistenz-Anforderung vor einer Änderungsaufforderung (Fall B)</w:t>
      </w:r>
    </w:p>
    <w:p>
      <w:pPr>
        <w:jc w:val="left"/>
      </w:pPr>
      <w:r>
        <w:t xml:space="preserve">Nicht ein einheitlicher Wert — an die </w:t>
      </w:r>
      <w:r>
        <w:rPr>
          <w:rFonts w:ascii="Consolas" w:hAnsi="Consolas"/>
          <w:color w:val="882222"/>
          <w:sz w:val="18"/>
        </w:rPr>
        <w:t>review_am</w:t>
      </w:r>
      <w:r>
        <w:t>-Buckets aus Abschnitt 7 angelehnt, je nach natürlichem Datentakt des Mechanismus. Grund: ein zu kurzes Fenster bei wöchentlichen Daten würde nur denselben Bericht mehrfach zählen, keine echte unabhängige Bestätigung (gleiches Prinzip wie die Mindestbeobachtung im Backward-Tracking).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Mechanismus-Typ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Natürlicher Datentakt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Persistenz-Anforderung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Warum</w:t>
            </w:r>
          </w:p>
        </w:tc>
      </w:tr>
      <w:tr>
        <w:tc>
          <w:tcPr>
            <w:tcW w:type="dxa" w:w="2160"/>
          </w:tcPr>
          <w:p>
            <w:r/>
            <w:r>
              <w:t>COT-Positionierung (Kupfer/Erdgas/Rohöl, künftig Gold/Silber)</w:t>
            </w:r>
          </w:p>
        </w:tc>
        <w:tc>
          <w:tcPr>
            <w:tcW w:type="dxa" w:w="2160"/>
          </w:tcPr>
          <w:p>
            <w:r/>
            <w:r>
              <w:t>wöchentlich</w:t>
            </w:r>
          </w:p>
        </w:tc>
        <w:tc>
          <w:tcPr>
            <w:tcW w:type="dxa" w:w="2160"/>
          </w:tcPr>
          <w:p>
            <w:r/>
            <w:r>
              <w:t>14 Tage (≥2 Berichtszyklen)</w:t>
            </w:r>
          </w:p>
        </w:tc>
        <w:tc>
          <w:tcPr>
            <w:tcW w:type="dxa" w:w="2160"/>
          </w:tcPr>
          <w:p>
            <w:r/>
            <w:r>
              <w:t>Ein einzelner Bericht darf nicht reichen</w:t>
            </w:r>
          </w:p>
        </w:tc>
      </w:tr>
      <w:tr>
        <w:tc>
          <w:tcPr>
            <w:tcW w:type="dxa" w:w="2160"/>
          </w:tcPr>
          <w:p>
            <w:r/>
            <w:r>
              <w:t>EIA-Erdgas-Saisonvergleich</w:t>
            </w:r>
          </w:p>
        </w:tc>
        <w:tc>
          <w:tcPr>
            <w:tcW w:type="dxa" w:w="2160"/>
          </w:tcPr>
          <w:p>
            <w:r/>
            <w:r>
              <w:t>wöchentlich</w:t>
            </w:r>
          </w:p>
        </w:tc>
        <w:tc>
          <w:tcPr>
            <w:tcW w:type="dxa" w:w="2160"/>
          </w:tcPr>
          <w:p>
            <w:r/>
            <w:r>
              <w:t>14 Tage</w:t>
            </w:r>
          </w:p>
        </w:tc>
        <w:tc>
          <w:tcPr>
            <w:tcW w:type="dxa" w:w="2160"/>
          </w:tcPr>
          <w:p>
            <w:r/>
            <w:r>
              <w:t>Gleiche Begründung</w:t>
            </w:r>
          </w:p>
        </w:tc>
      </w:tr>
      <w:tr>
        <w:tc>
          <w:tcPr>
            <w:tcW w:type="dxa" w:w="2160"/>
          </w:tcPr>
          <w:p>
            <w:r/>
            <w:r>
              <w:t>Bellwether-Sentiment (Finnhub/SEC-EDGAR/FINRA)</w:t>
            </w:r>
          </w:p>
        </w:tc>
        <w:tc>
          <w:tcPr>
            <w:tcW w:type="dxa" w:w="2160"/>
          </w:tcPr>
          <w:p>
            <w:r/>
            <w:r>
              <w:t>gemischt, FINRA bindend (2×/Monat)</w:t>
            </w:r>
          </w:p>
        </w:tc>
        <w:tc>
          <w:tcPr>
            <w:tcW w:type="dxa" w:w="2160"/>
          </w:tcPr>
          <w:p>
            <w:r/>
            <w:r>
              <w:t>14 Tage</w:t>
            </w:r>
          </w:p>
        </w:tc>
        <w:tc>
          <w:tcPr>
            <w:tcW w:type="dxa" w:w="2160"/>
          </w:tcPr>
          <w:p>
            <w:r/>
            <w:r>
              <w:t>Am langsamsten Baustein orientiert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Liquiditätsregime — Net-Liquidity-Anteil</w:t>
            </w:r>
            <w:r>
              <w:t xml:space="preserve"> (neu, siehe unten)</w:t>
            </w:r>
          </w:p>
        </w:tc>
        <w:tc>
          <w:tcPr>
            <w:tcW w:type="dxa" w:w="2160"/>
          </w:tcPr>
          <w:p>
            <w:r/>
            <w:r>
              <w:t>wöchentlich</w:t>
            </w:r>
          </w:p>
        </w:tc>
        <w:tc>
          <w:tcPr>
            <w:tcW w:type="dxa" w:w="2160"/>
          </w:tcPr>
          <w:p>
            <w:r/>
            <w:r>
              <w:t>14 Tage</w:t>
            </w:r>
          </w:p>
        </w:tc>
        <w:tc>
          <w:tcPr>
            <w:tcW w:type="dxa" w:w="2160"/>
          </w:tcPr>
          <w:p>
            <w:r/>
            <w:r>
              <w:t>Jetzt gleiche schnelle Schiene wie COT/EIA statt 60 Tage</w:t>
            </w:r>
          </w:p>
        </w:tc>
      </w:tr>
      <w:tr>
        <w:tc>
          <w:tcPr>
            <w:tcW w:type="dxa" w:w="2160"/>
          </w:tcPr>
          <w:p>
            <w:r/>
            <w:r>
              <w:t>Liquiditätsregime — Global-M2-Anteil (Kontext, nicht mehr alleiniger Gate)</w:t>
            </w:r>
          </w:p>
        </w:tc>
        <w:tc>
          <w:tcPr>
            <w:tcW w:type="dxa" w:w="2160"/>
          </w:tcPr>
          <w:p>
            <w:r/>
            <w:r>
              <w:t>monatlich</w:t>
            </w:r>
          </w:p>
        </w:tc>
        <w:tc>
          <w:tcPr>
            <w:tcW w:type="dxa" w:w="2160"/>
          </w:tcPr>
          <w:p>
            <w:r/>
            <w:r>
              <w:t>(keine eigene Gate-Funktion mehr, nur Begründungstext)</w:t>
            </w:r>
          </w:p>
        </w:tc>
        <w:tc>
          <w:tcPr>
            <w:tcW w:type="dxa" w:w="2160"/>
          </w:tcPr>
          <w:p>
            <w:r/>
            <w:r>
              <w:t>Bleibt als langsamere Bestätigung sichtbar, blockiert aber nichts mehr allein</w:t>
            </w:r>
          </w:p>
        </w:tc>
      </w:tr>
      <w:tr>
        <w:tc>
          <w:tcPr>
            <w:tcW w:type="dxa" w:w="2160"/>
          </w:tcPr>
          <w:p>
            <w:r/>
            <w:r>
              <w:t>Zinskurve, Dollar-Index</w:t>
            </w:r>
          </w:p>
        </w:tc>
        <w:tc>
          <w:tcPr>
            <w:tcW w:type="dxa" w:w="2160"/>
          </w:tcPr>
          <w:p>
            <w:r/>
            <w:r>
              <w:t>bereits mehrmonatiger Trend</w:t>
            </w:r>
          </w:p>
        </w:tc>
        <w:tc>
          <w:tcPr>
            <w:tcW w:type="dxa" w:w="2160"/>
          </w:tcPr>
          <w:p>
            <w:r/>
            <w:r>
              <w:t>30 Tage zusätzlich</w:t>
            </w:r>
          </w:p>
        </w:tc>
        <w:tc>
          <w:tcPr>
            <w:tcW w:type="dxa" w:w="2160"/>
          </w:tcPr>
          <w:p>
            <w:r/>
            <w:r>
              <w:t>Trendlogik glättet schon selbst</w:t>
            </w:r>
          </w:p>
        </w:tc>
      </w:tr>
      <w:tr>
        <w:tc>
          <w:tcPr>
            <w:tcW w:type="dxa" w:w="2160"/>
          </w:tcPr>
          <w:p>
            <w:r/>
            <w:r>
              <w:t>VIX/Bärenmarkt (Absicherung)</w:t>
            </w:r>
          </w:p>
        </w:tc>
        <w:tc>
          <w:tcPr>
            <w:tcW w:type="dxa" w:w="2160"/>
          </w:tcPr>
          <w:p>
            <w:r/>
            <w:r>
              <w:t>ereignisgetrieben, Versicherungslogik</w:t>
            </w:r>
          </w:p>
        </w:tc>
        <w:tc>
          <w:tcPr>
            <w:tcW w:type="dxa" w:w="2160"/>
          </w:tcPr>
          <w:p>
            <w:r/>
            <w:r>
              <w:t>7 Tage</w:t>
            </w:r>
          </w:p>
        </w:tc>
        <w:tc>
          <w:tcPr>
            <w:tcW w:type="dxa" w:w="2160"/>
          </w:tcPr>
          <w:p>
            <w:r/>
            <w:r>
              <w:t>Portfolio-Schutz soll schneller reagieren können</w:t>
            </w:r>
          </w:p>
        </w:tc>
      </w:tr>
    </w:tbl>
    <w:p/>
    <w:p>
      <w:pPr>
        <w:jc w:val="left"/>
      </w:pPr>
      <w:r>
        <w:rPr>
          <w:b/>
        </w:rPr>
        <w:t>Cooldown nach Ablehnung:</w:t>
      </w:r>
      <w:r>
        <w:t xml:space="preserve"> einheitlich 30 Tage ODER bis das Signal zwischenzeitlich wieder zur bestehenden These zurückgedreht UND erneut dagegen gelaufen ist (je nachdem was zuerst eintritt) — verhindert sowohl sofortiges Nerven direkt nach dem Ablehnen als auch endloses Ignorieren eines sich tatsächlich verfestigenden Trends.</w:t>
      </w:r>
    </w:p>
    <w:p>
      <w:pPr>
        <w:jc w:val="left"/>
      </w:pPr>
      <w:r>
        <w:rPr>
          <w:b/>
        </w:rPr>
        <w:t>Technische Konsequenz:</w:t>
      </w:r>
      <w:r>
        <w:t xml:space="preserve"> COT/EIA/etc. speichern keine eigene Historie (reine Momentaufnahmen) — der #333-Job muss deshalb selbst kleinen Zustand mitführen ("seit wann läuft die aktuelle Widerspruchs-Serie für diese These"), z. B. als </w:t>
      </w:r>
      <w:r>
        <w:rPr>
          <w:rFonts w:ascii="Consolas" w:hAnsi="Consolas"/>
          <w:color w:val="882222"/>
          <w:sz w:val="18"/>
        </w:rPr>
        <w:t>beobachtung</w:t>
      </w:r>
      <w:r>
        <w:t xml:space="preserve">-Zwischenstatus auf dem </w:t>
      </w:r>
      <w:r>
        <w:rPr>
          <w:rFonts w:ascii="Consolas" w:hAnsi="Consolas"/>
          <w:color w:val="882222"/>
          <w:sz w:val="18"/>
        </w:rPr>
        <w:t>these_aenderungsvorschlaege</w:t>
      </w:r>
      <w:r>
        <w:t xml:space="preserve">-Eintrag, der erst nach Ablauf der Persistenzfrist auf </w:t>
      </w:r>
      <w:r>
        <w:rPr>
          <w:rFonts w:ascii="Consolas" w:hAnsi="Consolas"/>
          <w:color w:val="882222"/>
          <w:sz w:val="18"/>
        </w:rPr>
        <w:t>offen</w:t>
      </w:r>
      <w:r>
        <w:t xml:space="preserve"> (für den Nutzer sichtbar) hochgestuft wird. Bricht die Widerspruchs-Serie vorzeitig ab, wird der Entwurf verworfen (Reset) — gleiches Prinzip wie bei der Kontrathese-Zeitfenster-Bestätigung.</w:t>
      </w:r>
    </w:p>
    <w:p>
      <w:pPr>
        <w:pStyle w:val="Heading3"/>
      </w:pPr>
      <w:r>
        <w:t>M2-Mechanismus-Nachbesserung (Punkt 18)</w:t>
      </w:r>
    </w:p>
    <w:p>
      <w:pPr>
        <w:jc w:val="left"/>
      </w:pPr>
      <w:r>
        <w:rPr>
          <w:b/>
        </w:rPr>
        <w:t>Ausgangsproblem:</w:t>
      </w:r>
      <w:r>
        <w:t xml:space="preserve"> M2 wird von der Fed nur noch monatlich veröffentlicht (die frühere wöchentliche Reihe wurde eingestellt) — eine echte Datengrenze, keine Implementierungsschwäche. Eine 60-Tage-Persistenz allein auf M2-Basis wäre für die einzigen beiden darauf angewiesenen Kategorien (Edelmetalle, Anleihen &amp; Geldmarkt) zu träge.</w:t>
      </w:r>
    </w:p>
    <w:p>
      <w:pPr>
        <w:jc w:val="left"/>
      </w:pPr>
      <w:r>
        <w:rPr>
          <w:b/>
        </w:rPr>
        <w:t>Bereits vorhandene Basis (Prüfung ergab: mehr als zunächst angenommen):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agent/krypto/regime.py::_m2_global_trend()</w:t>
      </w:r>
      <w:r>
        <w:t xml:space="preserve"> ist bereits ein </w:t>
      </w:r>
      <w:r>
        <w:rPr>
          <w:b/>
        </w:rPr>
        <w:t>Mehrheitsentscheid über USA (FRED) + Eurozone (EZB) + China (Eastmoney)</w:t>
      </w:r>
      <w:r>
        <w:t xml:space="preserve">, kein reiner US-Wert. Reale Lücke: Japan fließt nur mit dem aktuellen Wert ein, nicht in den Trend (keine historische Quelle über </w:t>
      </w:r>
      <w:r>
        <w:rPr>
          <w:rFonts w:ascii="Consolas" w:hAnsi="Consolas"/>
          <w:color w:val="882222"/>
          <w:sz w:val="18"/>
        </w:rPr>
        <w:t>get_japan_m2()</w:t>
      </w:r>
      <w:r>
        <w:t xml:space="preserve"> — HTML-Scraping-Fallback liefert nur eine Momentaufnahme). Bewusst als eigenständiges, kleineres Thema zurückgestellt (Punkt 19), nicht Teil dieser #333-Runde.</w:t>
      </w:r>
    </w:p>
    <w:p>
      <w:pPr>
        <w:jc w:val="left"/>
      </w:pPr>
      <w:r>
        <w:rPr>
          <w:b/>
        </w:rPr>
        <w:t>Neue Komponente — Net Liquidity</w:t>
      </w:r>
      <w:r>
        <w:t xml:space="preserve"> (wöchentlich, löst das Tempo-Problem): </w:t>
      </w:r>
      <w:r>
        <w:rPr>
          <w:rFonts w:ascii="Consolas" w:hAnsi="Consolas"/>
          <w:color w:val="882222"/>
          <w:sz w:val="18"/>
        </w:rPr>
        <w:t>Netto-Liquidität = Fed-Bilanzsumme (WALCL) − Treasury General Account (WTREGEN) − Reverse-Repo-Nutzung (RRPONTSYD)</w:t>
      </w:r>
      <w:r>
        <w:t xml:space="preserve">, alle drei Serien über denselben FRED-Zugang wie die bereits vorhandenen </w:t>
      </w:r>
      <w:r>
        <w:rPr>
          <w:rFonts w:ascii="Consolas" w:hAnsi="Consolas"/>
          <w:color w:val="882222"/>
          <w:sz w:val="18"/>
        </w:rPr>
        <w:t>FRED_SERIES</w:t>
      </w:r>
      <w:r>
        <w:t>-Einträge (</w:t>
      </w:r>
      <w:r>
        <w:rPr>
          <w:rFonts w:ascii="Consolas" w:hAnsi="Consolas"/>
          <w:color w:val="882222"/>
          <w:sz w:val="18"/>
        </w:rPr>
        <w:t>api/macro.py</w:t>
      </w:r>
      <w:r>
        <w:t xml:space="preserve">) beziehbar — keine neue API-Anbindungsart nötig, nur neue Serien-IDs. </w:t>
      </w:r>
      <w:r>
        <w:rPr>
          <w:b/>
        </w:rPr>
        <w:t>Wichtig:</w:t>
      </w:r>
      <w:r>
        <w:t xml:space="preserve"> Serien-IDs stammen aus Fachwissen, nicht live verifiziert — vor Umsetzung genauso zu prüfen wie seinerzeit </w:t>
      </w:r>
      <w:r>
        <w:rPr>
          <w:rFonts w:ascii="Consolas" w:hAnsi="Consolas"/>
          <w:color w:val="882222"/>
          <w:sz w:val="18"/>
        </w:rPr>
        <w:t>ism_ersatz_philly_fed</w:t>
      </w:r>
      <w:r>
        <w:t>.</w:t>
      </w:r>
    </w:p>
    <w:p>
      <w:pPr>
        <w:jc w:val="left"/>
      </w:pPr>
      <w:r>
        <w:rPr>
          <w:b/>
        </w:rPr>
        <w:t>Neue Aufteilung:</w:t>
      </w:r>
      <w:r>
        <w:t xml:space="preserve"> Net-Liquidity wird das </w:t>
      </w:r>
      <w:r>
        <w:rPr>
          <w:b/>
        </w:rPr>
        <w:t>primäre, persistenz-gatende Signal</w:t>
      </w:r>
      <w:r>
        <w:t xml:space="preserve"> (14-Tage-Bucket, wie COT/EIA). Der bestehende Global-M2-Mehrheitsentscheid (ggf. um ECB-M3 ergänzt — einzige Region, die M3 tatsächlich noch als Referenzgröße veröffentlicht; USA hat M3 2006 eingestellt, China hat kein vergleichbares Aggregat) bleibt als </w:t>
      </w:r>
      <w:r>
        <w:rPr>
          <w:b/>
        </w:rPr>
        <w:t>sekundäre, langsamere Bestätigung</w:t>
      </w:r>
      <w:r>
        <w:t xml:space="preserve"> im Begründungstext sichtbar, ist aber nicht mehr alleiniger Blocker. Betroffen: Edelmetalle, Anleihen &amp; Geldmarkt (die einzigen beiden Kategorien, die aktuell nur auf </w:t>
      </w:r>
      <w:r>
        <w:rPr>
          <w:rFonts w:ascii="Consolas" w:hAnsi="Consolas"/>
          <w:color w:val="882222"/>
          <w:sz w:val="18"/>
        </w:rPr>
        <w:t>m2_liquiditaet</w:t>
      </w:r>
      <w:r>
        <w:t xml:space="preserve"> sitzen).</w:t>
      </w:r>
    </w:p>
    <w:p>
      <w:pPr>
        <w:jc w:val="left"/>
      </w:pPr>
      <w:r>
        <w:rPr>
          <w:b/>
        </w:rPr>
        <w:t>Nächster offener Diskussionspunkt:</w:t>
      </w:r>
      <w:r>
        <w:t xml:space="preserve"> #11 (Bellwether-Ticker-Auswahl für Technologie &amp; KI + übrige Aktien-Sektoren) oder #9 (EIA-Materialität) — beide noch unentschieden.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