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Compile-/Import-Regressionscheck über alle 11 geänderten Module; additive Migration (frische + simulierte Alt-DB, erneuter Migrationslauf ohne Exception); update_signal_zai_gegenpruefung() mit 4 UND 5 Positions- argumenten; Signal-Dataclass-Rundtrip für alle 3 neuen Felder; richtung_aus_action() alle Kombinationen inkl. Hedge-Inversion (Regressions- schutz: KAUFEN → SHORT bei ist_hedge_invertiert=True); fuehre_beide_calls_im_hintergrund() mit Mock-Client (genau EIN kombinierter Update-Aufruf, korrekte ja/nein-Berechnung, Call-1-Fehlschlag verhindert Call-2-Update nicht); Signatur-Regressionscheck aller 4 neuen Pipelines + der Plumbing-Kette (run_multi_asset_batch(), multi_asset_batch_job()). ERLEDIGT (2026-07-30): frischer Produktions-Export bestätigt Z.ai-Richtung für alle 4 neuen Pipelines (Aktien n=1, Rohstoffe n=1, Themen-ETF n=3, Hedge n=2 - DBPK/3QSS). Hedge-Inversion mit einem echten action=VERKAUFEN-Fall bestätigt (zai_eigene_richtung=SHORT korrekt als Abweichung gegen die invertierte Erwartung LONG gewertet). Aktien/Rohstoffe mit n=1 noch zu dünn für eine Trefferquoten-Aussage, aber die Grund-Verdrahtung funktioniert nachweislich in allen 4 Pipelines.</w:t>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ERLEDIGT, siehe unten - die eigentliche Konfidenz-Kalibrierungsfrage - ist die mangelnde Vorhersagekraft der LLM-Konfidenz bei Hebel ein Fehler in unserem System, oder eine bekannte Grenze, mit der andere Trading-/Analyse-Plattformen anders umgehen? ERLEDIGT (29.07., später am selben Tag): per externer Fachliteratur-Recherche beantwortet (LLM-Konfidenz-Kalibrierung, CRV/Reward-Risk als Prädiktor + Positionsgrößen-Normen, Risikofaktoren-Aggregation + Backtest-Overfitting-Fallstricke) - Grundlage für die nachgeschärfte n&gt;=50-Regel in Test_und_Verifikationsmethodik.md.</w:t>
      </w:r>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p>
      <w:pPr>
        <w:pStyle w:val="Heading3"/>
      </w:pPr>
      <w:r>
        <w:t>Nachtrag (2026-07-30): compute_sl_mfe_analyse() - Mehrebenen-Erfolgsmessung</w:t>
      </w:r>
    </w:p>
    <w:p>
      <w:pPr/>
      <w:r>
        <w:rPr>
          <w:b/>
        </w:rPr>
        <w:t xml:space="preserve">Anlass: </w:t>
      </w:r>
      <w:r>
        <w:t>Nutzer-Frage "wie pruefen wir Erfolgsquoten auf mehreren Ebenen" - Verschneidung bereits vorhandener Felder (</w:t>
      </w:r>
      <w:r>
        <w:rPr>
          <w:rFonts w:ascii="Consolas" w:hAnsi="Consolas"/>
        </w:rPr>
        <w:t>outcome_max_realisiertes_crv</w:t>
      </w:r>
      <w:r>
        <w:t xml:space="preserve">/MFE, </w:t>
      </w:r>
      <w:r>
        <w:rPr>
          <w:rFonts w:ascii="Consolas" w:hAnsi="Consolas"/>
        </w:rPr>
        <w:t>outcome_mindestziel_erreicht_am</w:t>
      </w:r>
      <w:r>
        <w:t>) gegen den strikten outcome_status, OHNE neue Daten zu erheben. Volle Methodik-Begruendung siehe Test_und_Verifikationsmethodik.md Abschnitt 2.6.</w:t>
      </w:r>
    </w:p>
    <w:p>
      <w:pPr/>
      <w:r>
        <w:rPr>
          <w:b/>
        </w:rPr>
        <w:t xml:space="preserve">Neue Funktion `compute_sl_mfe_analyse(conn, tier, erlaubte_symbole=None)`: </w:t>
      </w:r>
      <w:r>
        <w:t>fuer alle Signale mit outcome_status == stop_loss_erreicht, welcher Anteil zeigt trotzdem einen positiven MFE-Wert (Kurs lief zwischenzeitlich profitabel, bevor er zurückdrehte und den Stop auslöste)? Trennt "Richtung war falsch" von "Richtung war richtig, aber zu eng gestoppt".</w:t>
      </w:r>
    </w:p>
    <w:p>
      <w:pPr/>
      <w:r>
        <w:rPr>
          <w:b/>
        </w:rPr>
        <w:t xml:space="preserve">Rückgabe: </w:t>
      </w:r>
      <w:r>
        <w:t>anzahl_sl_gesamt, anzahl_mit_mfe_daten, anzahl_mit_positivem_mfe/quote_positiver_mfe_trotz_stop_pct (Kern-Kennzahl), anzahl_mindestziel_vor_stop_erreicht, anzahl_distinkte_symbole_bei_positivem_mfe/haeufigstes_symbol_anteil_pct (Symbol-Konzentrations-Check), hinweis. None bei 0 Stop-Loss-Fällen.</w:t>
      </w:r>
    </w:p>
    <w:p>
      <w:pPr/>
      <w:r>
        <w:rPr>
          <w:b/>
        </w:rPr>
        <w:t xml:space="preserve">Erster Blick auf echte Daten (30.07., frischer NB-Export, Hebel): </w:t>
      </w:r>
      <w:r>
        <w:t>von 57 SL-Fällen haben 23 MFE-Daten, davon 20 (87%) mit positivem MFE - 9 davon erreichten sogar das Mindestziel vor dem Stop. Bestätigt aus einem neuen Blickwinkel den bereits behobenen Enge-Stop-Loss-Befund vom 28.07. Konzentrations-Hinweis: SUI stellt 3 der 9 Mindestziel-Fälle (33%) - über der 20-25%-Schwelle.</w:t>
      </w:r>
    </w:p>
    <w:p>
      <w:pPr/>
      <w:r>
        <w:rPr>
          <w:b/>
        </w:rPr>
        <w:t xml:space="preserve">Verifiziert (synthetisch, Testklasse 1): </w:t>
      </w:r>
      <w:r>
        <w:t>T1 gemischte Fälle - PASS. T2 leerer Datensatz -&gt; None - PASS. T3 Konzentrations-Warnung greift korrekt - PASS. T4 erlaubte_symbole-Filter - PASS. T5 tier=spot liest korrekt signals-Tabelle - PASS. Zusätzlich gegen echte DB-Kopie ausgeführt (0 SL-Fälle dort, korrektes None-Verhalten bestätigt).</w:t>
      </w:r>
    </w:p>
    <w:p>
      <w:pPr/>
      <w:r>
        <w:rPr>
          <w:b/>
        </w:rPr>
        <w:t>Dokumentiert</w:t>
      </w:r>
      <w:r>
        <w:t xml:space="preserve"> in Regelwerksmanual.md/.docx + Test_und_Verifikationsmethodik.md/.docx. Reine Lesefunktion, noch nicht an GUI/Remote-Seite/E-Mail angebunden.</w:t>
      </w:r>
    </w:p>
    <w:p>
      <w:pPr>
        <w:pStyle w:val="Heading3"/>
      </w:pPr>
      <w:r>
        <w:t>Nachtrag (2026-07-30): Krypto-Relativwert-Bausteine (Baustein 1-3, urspruenglich 2026-07-25) - mehrtaegige Beobachtung abgeschlossen</w:t>
      </w:r>
    </w:p>
    <w:p>
      <w:pPr/>
      <w:r>
        <w:rPr>
          <w:b/>
        </w:rPr>
        <w:t xml:space="preserve">Kontext: </w:t>
      </w:r>
      <w:r>
        <w:t>die drei Krypto-Relativwert-Bausteine (Signal-Stabilitaet, Volatilitaets-/ATR-Perzentil, BTC-Relativwert) wurden am 2026-07-25 implementiert und synthetisch verifiziert (Commits f4e9c0e/ac8975d), aber laut urspruenglicher Design-Entscheidung 3 bewusst nicht als vollstaendig abgeschlossen markiert - eine mehrtaegige Beobachtung im echten Betrieb war Voraussetzung, bevor die Kalibrierung als bestaetigt gilt.</w:t>
      </w:r>
    </w:p>
    <w:p>
      <w:pPr/>
      <w:r>
        <w:rPr>
          <w:b/>
        </w:rPr>
        <w:t>Nach 5 realen Produktionstagen (25.-30.07.) gegen einen frischen Notebook-Export geprueft:</w:t>
      </w:r>
    </w:p>
    <w:p>
      <w:pPr/>
      <w:r>
        <w:rPr>
          <w:b/>
        </w:rPr>
        <w:t xml:space="preserve">Baustein 1 (BTC-Relativwert): </w:t>
      </w:r>
      <w:r>
        <w:t>Korrelationswerte je Symbol plausibel und differenziert (TAO 0,63-0,66, KAIA 0,56-0,59, VIRTUAL 0,57, ONDO 0,29-0,30, KAITO 0,22-0,25, NEAR 0,29-0,31, INJ 0,39, HYPE 0,48) - keine Ausreisser.</w:t>
      </w:r>
    </w:p>
    <w:p>
      <w:pPr/>
      <w:r>
        <w:rPr>
          <w:b/>
        </w:rPr>
        <w:t xml:space="preserve">Baustein 3 (Signal-Stabilitaet): </w:t>
      </w:r>
      <w:r>
        <w:t>144 positiv / 142 negativ ueber 308 Signale seit Deploy - gesunde, nicht-entartete Verteilung.</w:t>
      </w:r>
    </w:p>
    <w:p>
      <w:pPr/>
      <w:r>
        <w:rPr>
          <w:b/>
        </w:rPr>
        <w:t xml:space="preserve">Baustein 2 (Volatilitaets-/ATR-Perzentil), interessanteste Beobachtung: </w:t>
      </w:r>
      <w:r>
        <w:t>BTC/ETH/LINK/TAO/VIRTUAL/HYPE/INJ blieben ueber alle 5 Tage nahe einem festen Wert (BTC durchgehend 0, HYPE durchgehend 57, INJ durchgehend 10), waehrend KAIA (0-&gt;12), KAITO (72-&gt;98), NEAR (16-&gt;19) und ONDO (15-&gt;21) im selben Zeitraum deutliche Bewegung zeigten. Zunaechst wie ein Fehler wirkend, aber durch Kontrollgruppen-Vergleich erklaert: die beweglichen Symbole sind exakt die bereits anderweitig dokumentierte Altcoin-Rally-Gruppe - echte Volatilitaetsereignisse bei diesen Coins, waehrend BTC/ETH/Majors im selben Fenster ruhig blieben. Ein langsam geglaetteter (Wilder-ATR) Perzentilrang bleibt bei fehlendem Ereignis ueber 5 Tage erwartbar konstant - kein Bug.</w:t>
      </w:r>
    </w:p>
    <w:p>
      <w:pPr/>
      <w:r>
        <w:rPr>
          <w:b/>
        </w:rPr>
        <w:t xml:space="preserve">Ergebnis: </w:t>
      </w:r>
      <w:r>
        <w:t>kein Code-Aenderungsbedarf, alle 3 Bausteine bestaetigt. Krypto-Relativwert-Bausteine damit vollstaendig abgeschlossen (Design-Entscheidung 3 erfuellt). Methodik der Kontrollgruppen-Plausibilitaetspruefung jetzt auch in Test_und_Verifikationsmethodik.md Abschnitt 2.7 verankert.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