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Offene Punkte — Gesamtstatus (Stand 2026-07-31)</w:t>
      </w:r>
    </w:p>
    <w:p>
      <w:r>
        <w:t xml:space="preserve">Vollständige Durchsicht aller aktiven Memory-Dateien + </w:t>
      </w:r>
      <w:r>
        <w:rPr>
          <w:rFonts w:ascii="Consolas" w:hAnsi="Consolas"/>
          <w:sz w:val="20"/>
        </w:rPr>
        <w:t>Basisinfos/Regelwerksmanual.md</w:t>
      </w:r>
      <w:r>
        <w:t xml:space="preserve"> + </w:t>
      </w:r>
      <w:r>
        <w:rPr>
          <w:rFonts w:ascii="Consolas" w:hAnsi="Consolas"/>
          <w:sz w:val="20"/>
        </w:rPr>
        <w:t>Basisinfos/Fakten_Entscheidungsmappe.md</w:t>
      </w:r>
      <w:r>
        <w:t xml:space="preserve"> + </w:t>
      </w:r>
      <w:r>
        <w:rPr>
          <w:rFonts w:ascii="Consolas" w:hAnsi="Consolas"/>
          <w:sz w:val="20"/>
        </w:rPr>
        <w:t>Basisinfos/Test_und_Verifikationsmethodik.md</w:t>
      </w:r>
      <w:r>
        <w:t>. Ziel: nichts soll zwischen den Zeilen verschwinden, bevor die Session konsolidiert wird.</w:t>
      </w:r>
    </w:p>
    <w:p>
      <w:r>
        <w:t>Legende: 🔴 braucht eine Entscheidung/Aktion vom Nutzer · 🟡 wartet auf mehr Daten (kein Handlungsbedarf, nur Beobachtung) · 🔵 bewusst vertagt/pausiert · ⚪ kleine Restarbeit, niedrige Priorität</w:t>
      </w:r>
    </w:p>
    <w:p>
      <w:pPr>
        <w:pStyle w:val="Heading2"/>
      </w:pPr>
      <w:r>
        <w:t>1. 🔴 Braucht eine echte Entscheidung</w:t>
      </w:r>
    </w:p>
    <w:p>
      <w:pPr>
        <w:pStyle w:val="Heading3"/>
      </w:pPr>
      <w:r>
        <w:t xml:space="preserve">1.1 Aktien/Rohstoffe/Themen-ETF: </w:t>
      </w:r>
      <w:r>
        <w:rPr>
          <w:rFonts w:ascii="Consolas" w:hAnsi="Consolas"/>
          <w:sz w:val="20"/>
        </w:rPr>
        <w:t>min_konfidenz_prozent</w:t>
      </w:r>
      <w:r>
        <w:t xml:space="preserve"> evtl. zu streng kalibriert</w:t>
      </w:r>
    </w:p>
    <w:p>
      <w:r>
        <w:t xml:space="preserve">Aus der LLM-Optimierungs-Abdeckungsprüfung (30.07.): der 0-von-80-Nicht-HALTEN-Befund ist </w:t>
      </w:r>
      <w:r>
        <w:rPr>
          <w:b/>
        </w:rPr>
        <w:t>kein</w:t>
      </w:r>
      <w:r>
        <w:t xml:space="preserve"> Prompt-/LLM-Problem (Live-Test widerlegte das), sondern ein deterministisches R-5.10-Gate (</w:t>
      </w:r>
      <w:r>
        <w:rPr>
          <w:rFonts w:ascii="Consolas" w:hAnsi="Consolas"/>
          <w:sz w:val="20"/>
        </w:rPr>
        <w:t>risk_gate.py::post_check()</w:t>
      </w:r>
      <w:r>
        <w:t xml:space="preserve">, geteilter Code für alle 4 Spot-family-Pipelines). Konfidenzwerte aus echten Live-Tests (65–85 %) liegen genau im Schwellenband. Offene Grundsatzfrage: ist die Schwelle </w:t>
      </w:r>
      <w:r>
        <w:rPr>
          <w:b/>
        </w:rPr>
        <w:t>bewusst gewollte Risikokonservativität</w:t>
      </w:r>
      <w:r>
        <w:t xml:space="preserve"> oder </w:t>
      </w:r>
      <w:r>
        <w:rPr>
          <w:b/>
        </w:rPr>
        <w:t>zu streng kalibriert</w:t>
      </w:r>
      <w:r>
        <w:t>, weil diesen Pipelines die reichhaltigere Faktenbasis von Krypto-Hebel/Spot (Funding-Rate/OI/Retail-Konsens) fehlt? → braucht explizite Nutzer-Entscheidung, keine reine Bugfrage. *(</w:t>
      </w:r>
      <w:r>
        <w:rPr>
          <w:rFonts w:ascii="Consolas" w:hAnsi="Consolas"/>
          <w:sz w:val="20"/>
        </w:rPr>
        <w:t>project_llm_optimierung_abdeckung_pruefung.md</w:t>
      </w:r>
      <w:r>
        <w:t>)*</w:t>
      </w:r>
    </w:p>
    <w:p>
      <w:pPr>
        <w:pStyle w:val="Heading3"/>
      </w:pPr>
      <w:r>
        <w:t>1.2 Screener × Schwerpunkte: Benachrichtigungs-Gap — Teilkonzept steht, Umsetzung nicht gestartet</w:t>
      </w:r>
    </w:p>
    <w:p>
      <w:r>
        <w:t xml:space="preserve">Erkannter, plausibler Gap: Screener soll aussichtsreichste </w:t>
      </w:r>
      <w:r>
        <w:rPr>
          <w:b/>
        </w:rPr>
        <w:t>neue</w:t>
      </w:r>
      <w:r>
        <w:t xml:space="preserve"> Kandidaten je aktivem Schwerpunkt aktiv per E-Mail melden statt nur passiv in der GUI zu sortieren. Teilkonzept (30.07.) bereits gemeinsam erarbeitet — Bausteine 1–5 stehen (kein LLM an der Entdeckungsstelle, Bitpanda-Pflicht als Filter, Qualitäts-Vorfilter via bereits vorhandene </w:t>
      </w:r>
      <w:r>
        <w:rPr>
          <w:rFonts w:ascii="Consolas" w:hAnsi="Consolas"/>
          <w:sz w:val="20"/>
        </w:rPr>
        <w:t>fetch_fundamentals()</w:t>
      </w:r>
      <w:r>
        <w:t>/</w:t>
      </w:r>
      <w:r>
        <w:rPr>
          <w:rFonts w:ascii="Consolas" w:hAnsi="Consolas"/>
          <w:sz w:val="20"/>
        </w:rPr>
        <w:t>get_asset_quality()</w:t>
      </w:r>
      <w:r>
        <w:t xml:space="preserve">, Klassifikation+wiederkehrende Mail analog Marktscan). </w:t>
      </w:r>
      <w:r>
        <w:rPr>
          <w:b/>
        </w:rPr>
        <w:t>Noch offen, vor Umsetzung zu klären:</w:t>
      </w:r>
    </w:p>
    <w:p>
      <w:pPr>
        <w:pStyle w:val="ListBullet"/>
      </w:pPr>
      <w:r>
        <w:t>Trigger-Kriterium (Score-Schwelle vs. Nummer-1-Platzierung vs. LLM-Einordnung)</w:t>
      </w:r>
    </w:p>
    <w:p>
      <w:pPr>
        <w:pStyle w:val="ListBullet"/>
      </w:pPr>
      <w:r>
        <w:t>Manuell-Override vs. automatisch je Schwerpunkt</w:t>
      </w:r>
    </w:p>
    <w:p>
      <w:pPr>
        <w:pStyle w:val="ListBullet"/>
      </w:pPr>
      <w:r>
        <w:t>Persistenz/Dedup-Mechanismus (neue Tabelle nötig?)</w:t>
      </w:r>
    </w:p>
    <w:p>
      <w:pPr>
        <w:pStyle w:val="ListBullet"/>
      </w:pPr>
      <w:r>
        <w:t>Cooldown/Frequenz</w:t>
      </w:r>
    </w:p>
    <w:p>
      <w:pPr>
        <w:pStyle w:val="ListBullet"/>
      </w:pPr>
      <w:r>
        <w:t>E-Mail-Format (eigene Kategorie vs. Erweiterung der Tages-Synthese-Mail)</w:t>
      </w:r>
    </w:p>
    <w:p>
      <w:pPr>
        <w:pStyle w:val="ListBullet"/>
      </w:pPr>
      <w:r>
        <w:t xml:space="preserve">Takt-Frage (2x/Tag vs. häufiger) explizit </w:t>
      </w:r>
      <w:r>
        <w:rPr>
          <w:b/>
        </w:rPr>
        <w:t>abhängig</w:t>
      </w:r>
      <w:r>
        <w:t xml:space="preserve"> von 1.1 — nicht isoliert entscheiden.</w:t>
      </w:r>
    </w:p>
    <w:p>
      <w:r>
        <w:t>*(</w:t>
      </w:r>
      <w:r>
        <w:rPr>
          <w:rFonts w:ascii="Consolas" w:hAnsi="Consolas"/>
          <w:sz w:val="20"/>
        </w:rPr>
        <w:t>project_screener_schwerpunkte_benachrichtigung_gap.md</w:t>
      </w:r>
      <w:r>
        <w:t>)*</w:t>
      </w:r>
    </w:p>
    <w:p>
      <w:pPr>
        <w:pStyle w:val="Heading3"/>
      </w:pPr>
      <w:r>
        <w:t>1.3 Selbstverifikations-Governance weiterhin offen</w:t>
      </w:r>
    </w:p>
    <w:p>
      <w:r>
        <w:t xml:space="preserve">Schritt 1+2 (Regelwerksmanual + Backward-Tracking-Infrastruktur) sind seit Wochen fertig und mehrfach gehärtet (Überholt-Erkennung, 06:00-Cron-Nachholmechanismus, Provider- Performance nach Assetklasse). Schritt 3 (KI-gestützte Trimm-Vorschläge) UND die Governance-Frage selbst (automatisch vs. Nutzer-Bestätigung) sind </w:t>
      </w:r>
      <w:r>
        <w:rPr>
          <w:b/>
        </w:rPr>
        <w:t>bewusst nie entschieden</w:t>
      </w:r>
      <w:r>
        <w:t xml:space="preserve"> worden — weder blockiert noch dringend, aber die Frage steht seit 2026-07-10 im Raum. *(</w:t>
      </w:r>
      <w:r>
        <w:rPr>
          <w:rFonts w:ascii="Consolas" w:hAnsi="Consolas"/>
          <w:sz w:val="20"/>
        </w:rPr>
        <w:t>project_selbstverifikation_ki_trimmen.md</w:t>
      </w:r>
      <w:r>
        <w:t>)*</w:t>
      </w:r>
    </w:p>
    <w:p>
      <w:pPr>
        <w:pStyle w:val="Heading2"/>
      </w:pPr>
      <w:r>
        <w:t>2. 🟡 Wiedervorlagen — warten auf mehr Daten, kein Handlungsbedarf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Aktueller Stand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Bedingung für Wiedervorlage</w:t>
            </w:r>
          </w:p>
        </w:tc>
      </w:tr>
      <w:tr>
        <w:tc>
          <w:tcPr>
            <w:tcW w:type="dxa" w:w="2880"/>
          </w:tcPr>
          <w:p>
            <w:r>
              <w:t>Krypto-Spot Konfidenzschwelle (R-5.10 Override)</w:t>
            </w:r>
          </w:p>
        </w:tc>
        <w:tc>
          <w:tcPr>
            <w:tcW w:type="dxa" w:w="2880"/>
          </w:tcPr>
          <w:p>
            <w:r>
              <w:t xml:space="preserve">n=106, Symbol-Konzentrations-Check </w:t>
            </w:r>
            <w:r>
              <w:rPr>
                <w:b/>
              </w:rPr>
              <w:t>nicht bestanden</w:t>
            </w:r>
            <w:r>
              <w:t xml:space="preserve"> (Top-5=39,6 %, Ø CRV kippt +0,222→‑0,242 ohne sie)</w:t>
            </w:r>
          </w:p>
        </w:tc>
        <w:tc>
          <w:tcPr>
            <w:tcW w:type="dxa" w:w="2880"/>
          </w:tcPr>
          <w:p>
            <w:r>
              <w:t>Längerer/unabhängigerer Beobachtungszeitraum</w:t>
            </w:r>
          </w:p>
        </w:tc>
      </w:tr>
      <w:tr>
        <w:tc>
          <w:tcPr>
            <w:tcW w:type="dxa" w:w="2880"/>
          </w:tcPr>
          <w:p>
            <w:r>
              <w:t>Krypto-Spot CRV&lt;2,0-Schwelle</w:t>
            </w:r>
          </w:p>
        </w:tc>
        <w:tc>
          <w:tcPr>
            <w:tcW w:type="dxa" w:w="2880"/>
          </w:tcPr>
          <w:p>
            <w:r>
              <w:t>n=18</w:t>
            </w:r>
          </w:p>
        </w:tc>
        <w:tc>
          <w:tcPr>
            <w:tcW w:type="dxa" w:w="2880"/>
          </w:tcPr>
          <w:p>
            <w:r>
              <w:t>n≥50</w:t>
            </w:r>
          </w:p>
        </w:tc>
      </w:tr>
      <w:tr>
        <w:tc>
          <w:tcPr>
            <w:tcW w:type="dxa" w:w="2880"/>
          </w:tcPr>
          <w:p>
            <w:r>
              <w:t>Konfidenz-Kalibrierungskurve (Mistral-Gruppe-A)</w:t>
            </w:r>
          </w:p>
        </w:tc>
        <w:tc>
          <w:tcPr>
            <w:tcW w:type="dxa" w:w="2880"/>
          </w:tcPr>
          <w:p>
            <w:r>
              <w:t>n=63, alle Korrelationen NICHT signifikant</w:t>
            </w:r>
          </w:p>
        </w:tc>
        <w:tc>
          <w:tcPr>
            <w:tcW w:type="dxa" w:w="2880"/>
          </w:tcPr>
          <w:p>
            <w:r>
              <w:t>n≈340+ pro Vergleich (Faustregel-Überschlag)</w:t>
            </w:r>
          </w:p>
        </w:tc>
      </w:tr>
      <w:tr>
        <w:tc>
          <w:tcPr>
            <w:tcW w:type="dxa" w:w="2880"/>
          </w:tcPr>
          <w:p>
            <w:r>
              <w:t>Regelwerk-Audit Stufe 3 Punkt 1 (CRV-Expectancy)</w:t>
            </w:r>
          </w:p>
        </w:tc>
        <w:tc>
          <w:tcPr>
            <w:tcW w:type="dxa" w:w="2880"/>
          </w:tcPr>
          <w:p>
            <w:r>
              <w:t>CRV korreliert negativ mit Win-Rate (r=-0,25), größtenteils Echo des behobenen Enge-Stop-Problems</w:t>
            </w:r>
          </w:p>
        </w:tc>
        <w:tc>
          <w:tcPr>
            <w:tcW w:type="dxa" w:w="2880"/>
          </w:tcPr>
          <w:p>
            <w:r>
              <w:t>n≥50 NEUE (Post-Fix) Signale</w:t>
            </w:r>
          </w:p>
        </w:tc>
      </w:tr>
      <w:tr>
        <w:tc>
          <w:tcPr>
            <w:tcW w:type="dxa" w:w="2880"/>
          </w:tcPr>
          <w:p>
            <w:r>
              <w:t>Deribit-Optionsmarkt-Cross-Check</w:t>
            </w:r>
          </w:p>
        </w:tc>
        <w:tc>
          <w:tcPr>
            <w:tcW w:type="dxa" w:w="2880"/>
          </w:tcPr>
          <w:p>
            <w:r>
              <w:t xml:space="preserve">Nur 10/210 (4,8 %) </w:t>
            </w:r>
            <w:r>
              <w:rPr>
                <w:rFonts w:ascii="Consolas" w:hAnsi="Consolas"/>
                <w:sz w:val="20"/>
              </w:rPr>
              <w:t>gegenargument</w:t>
            </w:r>
            <w:r>
              <w:t xml:space="preserve">-Texte erwähnen Deribit, </w:t>
            </w:r>
            <w:r>
              <w:rPr>
                <w:b/>
              </w:rPr>
              <w:t>0 davon aufgelöst</w:t>
            </w:r>
          </w:p>
        </w:tc>
        <w:tc>
          <w:tcPr>
            <w:tcW w:type="dxa" w:w="2880"/>
          </w:tcPr>
          <w:p>
            <w:r>
              <w:t>Mehrere der 10 Fälle lösen sich auf</w:t>
            </w:r>
          </w:p>
        </w:tc>
      </w:tr>
      <w:tr>
        <w:tc>
          <w:tcPr>
            <w:tcW w:type="dxa" w:w="2880"/>
          </w:tcPr>
          <w:p>
            <w:r>
              <w:t>Z.ai Aktien/Rohstoffe-Übereinstimmungsquote</w:t>
            </w:r>
          </w:p>
        </w:tc>
        <w:tc>
          <w:tcPr>
            <w:tcW w:type="dxa" w:w="2880"/>
          </w:tcPr>
          <w:p>
            <w:r>
              <w:t>n=1 je Klasse</w:t>
            </w:r>
          </w:p>
        </w:tc>
        <w:tc>
          <w:tcPr>
            <w:tcW w:type="dxa" w:w="2880"/>
          </w:tcPr>
          <w:p>
            <w:r>
              <w:t>Mehr als 1–2 Signale je Nicht-Krypto-Klasse</w:t>
            </w:r>
          </w:p>
        </w:tc>
      </w:tr>
      <w:tr>
        <w:tc>
          <w:tcPr>
            <w:tcW w:type="dxa" w:w="2880"/>
          </w:tcPr>
          <w:p>
            <w:r>
              <w:t>Ueberholt-Erkennung-Fix (Stichprobengröße)</w:t>
            </w:r>
          </w:p>
        </w:tc>
        <w:tc>
          <w:tcPr>
            <w:tcW w:type="dxa" w:w="2880"/>
          </w:tcPr>
          <w:p>
            <w:r>
              <w:t>n=5 Hebel vor dem Fix</w:t>
            </w:r>
          </w:p>
        </w:tc>
        <w:tc>
          <w:tcPr>
            <w:tcW w:type="dxa" w:w="2880"/>
          </w:tcPr>
          <w:p>
            <w:r>
              <w:t>Kalenderdatum 2026-08-06 bis 2026-08-13</w:t>
            </w:r>
          </w:p>
        </w:tc>
      </w:tr>
      <w:tr>
        <w:tc>
          <w:tcPr>
            <w:tcW w:type="dxa" w:w="2880"/>
          </w:tcPr>
          <w:p>
            <w:r>
              <w:t>Selbst-gewähltes-HALTEN-Schatten-Tracking (31.07., NEU)</w:t>
            </w:r>
          </w:p>
        </w:tc>
        <w:tc>
          <w:tcPr>
            <w:tcW w:type="dxa" w:w="2880"/>
          </w:tcPr>
          <w:p>
            <w:r>
              <w:t>Feature + 2 Folgefixes live, 0 aufgelöste Fälle</w:t>
            </w:r>
          </w:p>
        </w:tc>
        <w:tc>
          <w:tcPr>
            <w:tcW w:type="dxa" w:w="2880"/>
          </w:tcPr>
          <w:p>
            <w:r>
              <w:t>Mehrere Wochen echter Signale</w:t>
            </w:r>
          </w:p>
        </w:tc>
      </w:tr>
      <w:tr>
        <w:tc>
          <w:tcPr>
            <w:tcW w:type="dxa" w:w="2880"/>
          </w:tcPr>
          <w:p>
            <w:r>
              <w:t>Baseline-Vergleichs-Funktionsfamilie härten (Punkt F)</w:t>
            </w:r>
          </w:p>
        </w:tc>
        <w:tc>
          <w:tcPr>
            <w:tcW w:type="dxa" w:w="2880"/>
          </w:tcPr>
          <w:p>
            <w:r>
              <w:t xml:space="preserve">Niedrige Priorität, reines </w:t>
            </w:r>
            <w:r>
              <w:rPr>
                <w:rFonts w:ascii="Consolas" w:hAnsi="Consolas"/>
                <w:sz w:val="20"/>
              </w:rPr>
              <w:t>tier</w:t>
            </w:r>
            <w:r>
              <w:t xml:space="preserve">-Handling in </w:t>
            </w:r>
            <w:r>
              <w:rPr>
                <w:rFonts w:ascii="Consolas" w:hAnsi="Consolas"/>
                <w:sz w:val="20"/>
              </w:rPr>
              <w:t>backward_tracking.py</w:t>
            </w:r>
          </w:p>
        </w:tc>
        <w:tc>
          <w:tcPr>
            <w:tcW w:type="dxa" w:w="2880"/>
          </w:tcPr>
          <w:p>
            <w:r>
              <w:t>Bei Gelegenheit, nachrangig zu 1.1</w:t>
            </w:r>
          </w:p>
        </w:tc>
      </w:tr>
    </w:tbl>
    <w:p/>
    <w:p>
      <w:pPr>
        <w:pStyle w:val="Heading2"/>
      </w:pPr>
      <w:r>
        <w:t>3. 🔵 Bewusst vertagt / pausiert</w:t>
      </w:r>
    </w:p>
    <w:p>
      <w:pPr>
        <w:pStyle w:val="ListBullet"/>
      </w:pPr>
      <w:r>
        <w:rPr>
          <w:b/>
        </w:rPr>
        <w:t>Deckel-Konstanten kalibrieren</w:t>
      </w:r>
      <w:r>
        <w:t xml:space="preserve"> (Regelwerk-Audit Stufe 3 Punkt 2): alle 62 Gruppe-A-Signale landen exakt bei </w:t>
      </w:r>
      <w:r>
        <w:rPr>
          <w:rFonts w:ascii="Consolas" w:hAnsi="Consolas"/>
          <w:sz w:val="20"/>
        </w:rPr>
        <w:t>hebel_final=3.0</w:t>
      </w:r>
      <w:r>
        <w:t xml:space="preserve"> — </w:t>
      </w:r>
      <w:r>
        <w:rPr>
          <w:b/>
        </w:rPr>
        <w:t>Null Varianz</w:t>
      </w:r>
      <w:r>
        <w:t>, eine Kalibrierung kann das aktuell strukturell nicht beantworten.</w:t>
      </w:r>
    </w:p>
    <w:p>
      <w:pPr>
        <w:pStyle w:val="ListBullet"/>
      </w:pPr>
      <w:r>
        <w:rPr>
          <w:b/>
        </w:rPr>
        <w:t>DB/Log-Retention</w:t>
      </w:r>
      <w:r>
        <w:t>: kein Pruning-Konzept, DB aktuell nur 15 MB — bewusst SEHR SPÄT zurückgestellt (erst kurz vor Entwicklungsabschluss).</w:t>
      </w:r>
    </w:p>
    <w:p>
      <w:pPr>
        <w:pStyle w:val="ListBullet"/>
      </w:pPr>
      <w:r>
        <w:rPr>
          <w:b/>
        </w:rPr>
        <w:t>Fusion-Spot-Agent-Nebenprojekt</w:t>
      </w:r>
      <w:r>
        <w:t>: eigenständiger Spot-Agent via Bitpanda-Fusion-API, kein Code, pausiert.</w:t>
      </w:r>
    </w:p>
    <w:p>
      <w:pPr>
        <w:pStyle w:val="ListBullet"/>
      </w:pPr>
      <w:r>
        <w:rPr>
          <w:b/>
        </w:rPr>
        <w:t>Lokale KI-Ebene (P-8-Seam)</w:t>
      </w:r>
      <w:r>
        <w:t>: llama.cpp + Phi-4-mini als Konzept entschieden, Installation zurückgestellt.</w:t>
      </w:r>
    </w:p>
    <w:p>
      <w:pPr>
        <w:pStyle w:val="ListBullet"/>
      </w:pPr>
      <w:r>
        <w:rPr>
          <w:b/>
        </w:rPr>
        <w:t>Hedging-Nuance bei Hebel-Short</w:t>
      </w:r>
      <w:r>
        <w:t>: Short als bewusste Absicherung bestehender Spot-/Core-Bestände (eigene Risikobetrachtung ggü. reiner Spekulation) — im aktuellen Trigger-Design (Trendfolge/Kontra) nicht abgebildet. Bei Bedarf separat nachreichen.</w:t>
      </w:r>
    </w:p>
    <w:p>
      <w:pPr>
        <w:pStyle w:val="ListBullet"/>
      </w:pPr>
      <w:r>
        <w:rPr>
          <w:b/>
        </w:rPr>
        <w:t>Aktien-Bärenmarkt-Beobachtung</w:t>
      </w:r>
      <w:r>
        <w:t xml:space="preserve"> (Nasdaq/US-Indizes, Bezug zu AZ-4/DXY/VIX) — Details weiterhin offen, kein konkreter nächster Schritt definiert.</w:t>
      </w:r>
    </w:p>
    <w:p>
      <w:pPr>
        <w:pStyle w:val="Heading2"/>
      </w:pPr>
      <w:r>
        <w:t>4. ⚪ Kleinere Restpunkte</w:t>
      </w:r>
    </w:p>
    <w:p>
      <w:pPr>
        <w:pStyle w:val="ListBullet"/>
      </w:pPr>
      <w:r>
        <w:t>GUI-Usability: Tastatur-Navigation (einzig verbliebener Punkt der GUI-Wunschliste, Rest großteils erledigt).</w:t>
      </w:r>
    </w:p>
    <w:p>
      <w:pPr>
        <w:pStyle w:val="ListBullet"/>
      </w:pPr>
      <w:r>
        <w:t>Verlaufsstatistik + proaktive Benachrichtigung für den API-Gesundheitsstatus (U-12) — aktuell nur "letzter Erfolg/Fehler" sichtbar, keine Historie über mehrere Läufe, kein aktives Alerting (Nutzer muss die Remote-Seite selbst öffnen).</w:t>
      </w:r>
    </w:p>
    <w:p>
      <w:pPr>
        <w:pStyle w:val="ListBullet"/>
      </w:pPr>
      <w:r>
        <w:t>Idee "Cross-Asset-Marktbreite-Signal" (aus der Hebel-Rahmenbedingungen-Runde) — nur vorgemerkt, nicht spezifiziert.</w:t>
      </w:r>
    </w:p>
    <w:p>
      <w:pPr>
        <w:pStyle w:val="ListBullet"/>
      </w:pPr>
      <w:r>
        <w:t>DCA/Tranchen: offene Design-Frage, ob JEDES KAUFEN-Signal potenziell tranchiert werden soll oder nur unter bestimmten Bedingungen (S-2 aktiv/hohe Volatilität/große Position) — Rest des Features (AZ-4) ist erledigt, das ist nur eine Erweiterungsfrage.</w:t>
      </w:r>
    </w:p>
    <w:p>
      <w:pPr>
        <w:pStyle w:val="Heading2"/>
      </w:pPr>
      <w:r>
        <w:t>5. Aktive Debug-Instrumentierung (Code, kein reiner Doku-Punkt)</w:t>
      </w:r>
    </w:p>
    <w:p>
      <w:r>
        <w:rPr>
          <w:b/>
        </w:rPr>
        <w:t>Kontrathese-Übersetzung HYPE-Diagnose</w:t>
      </w:r>
      <w:r>
        <w:t xml:space="preserve"> (</w:t>
      </w:r>
      <w:r>
        <w:rPr>
          <w:rFonts w:ascii="Consolas" w:hAnsi="Consolas"/>
          <w:sz w:val="20"/>
        </w:rPr>
        <w:t>hebel_pipeline.py</w:t>
      </w:r>
      <w:r>
        <w:t xml:space="preserve"> + </w:t>
      </w:r>
      <w:r>
        <w:rPr>
          <w:rFonts w:ascii="Consolas" w:hAnsi="Consolas"/>
          <w:sz w:val="20"/>
        </w:rPr>
        <w:t>hebel_risk_gate.py</w:t>
      </w:r>
      <w:r>
        <w:t xml:space="preserve">, Commit </w:t>
      </w:r>
      <w:r>
        <w:rPr>
          <w:rFonts w:ascii="Consolas" w:hAnsi="Consolas"/>
          <w:sz w:val="20"/>
        </w:rPr>
        <w:t>c183591</w:t>
      </w:r>
      <w:r>
        <w:t xml:space="preserve">) — </w:t>
      </w:r>
      <w:r>
        <w:rPr>
          <w:rFonts w:ascii="Consolas" w:hAnsi="Consolas"/>
          <w:sz w:val="20"/>
        </w:rPr>
        <w:t>logger.info()</w:t>
      </w:r>
      <w:r>
        <w:t xml:space="preserve">-Zeilen, bewusst nicht entfernt (Nutzer: "werden wir noch benötigen"). Seit letztem Neustart 3/3 saubere Durchläufe. </w:t>
      </w:r>
      <w:r>
        <w:rPr>
          <w:b/>
        </w:rPr>
        <w:t>Trigger zum Entfernen:</w:t>
      </w:r>
      <w:r>
        <w:t xml:space="preserve"> Nutzer gibt aktiv grünes Licht (kein weiterer Mismatch-Fall über längeren Zeitraum). Verifiziert per </w:t>
      </w:r>
      <w:r>
        <w:rPr>
          <w:rFonts w:ascii="Consolas" w:hAnsi="Consolas"/>
          <w:sz w:val="20"/>
        </w:rPr>
        <w:t>grep -r "TEMPORAER"</w:t>
      </w:r>
      <w:r>
        <w:t xml:space="preserve"> (30.07.): dies ist der </w:t>
      </w:r>
      <w:r>
        <w:rPr>
          <w:b/>
        </w:rPr>
        <w:t>einzige</w:t>
      </w:r>
      <w:r>
        <w:t xml:space="preserve"> aktive Debug-Log im gesamten Code.</w:t>
      </w:r>
    </w:p>
    <w:p>
      <w:pPr>
        <w:pStyle w:val="Heading2"/>
      </w:pPr>
      <w:r>
        <w:t>6. Kap.-15-Kalibrierungsplatzhalter (</w:t>
      </w:r>
      <w:r>
        <w:rPr>
          <w:rFonts w:ascii="Consolas" w:hAnsi="Consolas"/>
          <w:sz w:val="20"/>
        </w:rPr>
        <w:t>Regelwerksmanual.md</w:t>
      </w:r>
      <w:r>
        <w:t xml:space="preserve">, unverändert </w:t>
      </w:r>
      <w:r>
        <w:rPr>
          <w:rFonts w:ascii="Consolas" w:hAnsi="Consolas"/>
          <w:sz w:val="20"/>
        </w:rPr>
        <w:t>[OFFEN]</w:t>
      </w:r>
      <w:r>
        <w:t>)</w:t>
      </w:r>
    </w:p>
    <w:p>
      <w:r>
        <w:t>Strukturell dieselbe Kategorie wie Abschnitt 1.3/2 oben — blockiert auf dieselbe Governance-Frage bzw. auf ausreichend Backward-Tracking-Daten. Keine Einzelaktion nötig, nur zur Vollständigkeit:</w:t>
      </w:r>
    </w:p>
    <w:p>
      <w:pPr>
        <w:pStyle w:val="ListBullet"/>
      </w:pPr>
      <w:r>
        <w:t>RM-2 Core-Allokations-Limit (35 % BTC/ETH)</w:t>
      </w:r>
    </w:p>
    <w:p>
      <w:pPr>
        <w:pStyle w:val="ListBullet"/>
      </w:pPr>
      <w:r>
        <w:t>Small-Cap-Budget je Regime (0/4/8/12/15 %)</w:t>
      </w:r>
    </w:p>
    <w:p>
      <w:pPr>
        <w:pStyle w:val="ListBullet"/>
      </w:pPr>
      <w:r>
        <w:t>Mindest-Konfidenz je Regime (85/75/65/60/60 %) — direkt verknüpft mit 1.1 oben</w:t>
      </w:r>
    </w:p>
    <w:p>
      <w:pPr>
        <w:pStyle w:val="ListBullet"/>
      </w:pPr>
      <w:r>
        <w:t>Die vier Gewichte je Regime (Technik/Fundamental/Momentum/Makro)</w:t>
      </w:r>
    </w:p>
    <w:p>
      <w:pPr>
        <w:pStyle w:val="ListBullet"/>
      </w:pPr>
      <w:r>
        <w:t>RG-4 Makro-Multiplikator (fix auf 1,0)</w:t>
      </w:r>
    </w:p>
    <w:p>
      <w:pPr>
        <w:pStyle w:val="ListBullet"/>
      </w:pPr>
      <w:r>
        <w:t>Boden-Zielzone-Parameter (</w:t>
      </w:r>
      <w:r>
        <w:rPr>
          <w:rFonts w:ascii="Consolas" w:hAnsi="Consolas"/>
          <w:sz w:val="20"/>
        </w:rPr>
        <w:t>reifegrad_daempfer_staerke</w:t>
      </w:r>
      <w:r>
        <w:t xml:space="preserve"> etc., seit 12.07.)</w:t>
      </w:r>
    </w:p>
    <w:p>
      <w:pPr>
        <w:pStyle w:val="ListBullet"/>
      </w:pPr>
      <w:r>
        <w:rPr>
          <w:rFonts w:ascii="Consolas" w:hAnsi="Consolas"/>
          <w:sz w:val="20"/>
        </w:rPr>
        <w:t>budget_allocator.spot_cooldown_stunden</w:t>
      </w:r>
      <w:r>
        <w:t xml:space="preserve"> (20 Std., seit 15.07.)</w:t>
      </w:r>
    </w:p>
    <w:p>
      <w:pPr>
        <w:pStyle w:val="ListBullet"/>
      </w:pPr>
      <w:r>
        <w:t>Hebel-Trigger-Schwellenwerte (OI-Änderung, Kursänderung, Long-Anteil) — RM-10 selbst aktuell deaktiviert, daher niedrige Dringlichkeit</w:t>
      </w:r>
    </w:p>
    <w:p>
      <w:pPr>
        <w:pStyle w:val="Heading2"/>
      </w:pPr>
      <w:r>
        <w:t>Was NICHT mehr offen ist (zur Klarheit, da Hook-Texte teils veraltet wirkten)</w:t>
      </w:r>
    </w:p>
    <w:p>
      <w:r>
        <w:t>Beim Durchsuchen sahen einige Memory-Beschreibungen auf den ersten Blick nach offenen Punkten aus, waren bei genauerem Lesen aber bereits abgeschlossen — zur Vermeidung von Verwirrung explizit gegengeprüft:</w:t>
      </w:r>
    </w:p>
    <w:p>
      <w:pPr>
        <w:pStyle w:val="ListBullet"/>
      </w:pPr>
      <w:r>
        <w:rPr>
          <w:b/>
        </w:rPr>
        <w:t>Z.ai auf alle 6 Pipelines</w:t>
      </w:r>
      <w:r>
        <w:t xml:space="preserve"> — committet+gepusht (</w:t>
      </w:r>
      <w:r>
        <w:rPr>
          <w:rFonts w:ascii="Consolas" w:hAnsi="Consolas"/>
          <w:sz w:val="20"/>
        </w:rPr>
        <w:t>17b1c9b</w:t>
      </w:r>
      <w:r>
        <w:t>), echter Notebook-Lauf bestätigt seit 30.07. Nur die Stichprobengröße für Aktien/Rohstoffe bleibt eine Wiedervorlage (siehe Abschnitt 2).</w:t>
      </w:r>
    </w:p>
    <w:p>
      <w:pPr>
        <w:pStyle w:val="ListBullet"/>
      </w:pPr>
      <w:r>
        <w:rPr>
          <w:b/>
        </w:rPr>
        <w:t>Deribit-Optionsmarkt-Anreicherung</w:t>
      </w:r>
      <w:r>
        <w:t xml:space="preserve"> — "NOCH NICHT GEPUSHT" im Titel ist veraltet, war zum Zeitpunkt der Beschreibung schon längst committet+im Betrieb bestätigt. Nur der Cross-Check-Beobachtungspunkt bleibt offen (Abschnitt 2).</w:t>
      </w:r>
    </w:p>
    <w:p>
      <w:pPr>
        <w:pStyle w:val="ListBullet"/>
      </w:pPr>
      <w:r>
        <w:rPr>
          <w:b/>
        </w:rPr>
        <w:t>Regelwerk-Audit 29.07.</w:t>
      </w:r>
      <w:r>
        <w:t xml:space="preserve"> — alle 4 Stufen-Punkte 3+4 umgesetzt+verifiziert, Punkt 1+2 bewusst in Evidenz (Abschnitt 2/3).</w:t>
      </w:r>
    </w:p>
    <w:p>
      <w:pPr>
        <w:pStyle w:val="ListBullet"/>
      </w:pPr>
      <w:r>
        <w:rPr>
          <w:b/>
        </w:rPr>
        <w:t>Marktscan-Reifegrad + Erfolgsmessung</w:t>
      </w:r>
      <w:r>
        <w:t xml:space="preserve"> — Feature vollständig, nur der erste echte Notebook-Lauf zur Beobachtung steht aus (das ist der Export, der gerade läuft).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