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 xml:space="preserve">Hebel: nur Long, max. </w:t>
            </w:r>
            <w:r>
              <w:rPr>
                <w:b/>
              </w:rPr>
              <w:t>3x</w:t>
            </w:r>
            <w:r>
              <w:t>, Liquidationspreis muss ausgewiesen werden</w:t>
            </w:r>
          </w:p>
        </w:tc>
        <w:tc>
          <w:tcPr>
            <w:tcW w:type="dxa" w:w="2268"/>
          </w:tcPr>
          <w:p>
            <w:r>
              <w:t>konfiguriert</w:t>
            </w:r>
          </w:p>
        </w:tc>
        <w:tc>
          <w:tcPr>
            <w:tcW w:type="dxa" w:w="2324"/>
          </w:tcPr>
          <w:p>
            <w:r>
              <w:rPr>
                <w:b/>
              </w:rPr>
              <w:t>DEAKTIVIERT</w:t>
            </w:r>
            <w:r>
              <w:t xml:space="preserve"> (Strategie S-6 aus) — eigenes, noch zu führendes Thema</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Was weiterhin fehlt:</w:t>
      </w:r>
      <w:r>
        <w:t xml:space="preserve"> jeglicher Backoff oder Alarm bei einem dauerhaften Ausfall (z. B. API drei Tage down) — die App versucht stur im gleichen Takt weiter, ohne dich aktiv zu warnen.</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E-Mail-/Push-Benachrichtigung ist NICHT implementiert.</w:t>
      </w:r>
      <w:r>
        <w:t xml:space="preserve"> </w:t>
      </w:r>
      <w:r>
        <w:rPr>
          <w:rFonts w:ascii="Consolas" w:hAnsi="Consolas"/>
          <w:sz w:val="20"/>
        </w:rPr>
        <w:t>config.yaml</w:t>
      </w:r>
      <w:r>
        <w:t xml:space="preserve"> hat nur einen leeren Platzhalter (</w:t>
      </w:r>
      <w:r>
        <w:rPr>
          <w:rFonts w:ascii="Consolas" w:hAnsi="Consolas"/>
          <w:sz w:val="20"/>
        </w:rPr>
        <w:t>smtp_host: ""</w:t>
      </w:r>
      <w:r>
        <w:t>), der von keinem Code gelesen wird — bleibt ein offener Punkt (U-8), bräuchte zuerst eine SMTP-/Mail-API-Entscheidung.</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w:t>
      </w:r>
      <w:r>
        <w:rPr>
          <w:b/>
        </w:rPr>
        <w:t>Weiterhin offen:</w:t>
      </w:r>
      <w:r>
        <w:t xml:space="preserve"> E-Mail-Benachrichtigung (SMTP-Konto-Entscheidung nötig, U-8) und ein Backoff/Alarm bei dauerhaftem Scheduler-Job-Ausfall (siehe „Scheduler-Jobs“ oben). Die aggregierte Status-Übersicht selbst ist inzwischen Teil der Remote-Steuer-Seite geworden (Abschnitt 13).</w:t>
      </w:r>
    </w:p>
    <w:p>
      <w:pPr>
        <w:pBdr>
          <w:bottom w:val="single" w:sz="6" w:space="1" w:color="BFBFBF"/>
        </w:pBdr>
        <w:spacing w:before="40" w:after="200"/>
      </w:pP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rPr>
          <w:b/>
        </w:rPr>
        <w:t>Was die Seite zeigt/kann:</w:t>
      </w:r>
      <w:r>
        <w:t xml:space="preserve"> Portfolio-Gesamtwert, Anzahl veralteter Preise, letzter Marktscan (Kandidaten/Treffer), die letzten Fehlerzeilen aus dem Log — plus zwei Aktions-Buttons: </w:t>
      </w:r>
      <w:r>
        <w:rPr>
          <w:b/>
        </w:rPr>
        <w:t>„Preise aktualisieren“</w:t>
      </w:r>
      <w:r>
        <w:t xml:space="preserve"> (Krypto + Aktien/ETF/Rohstoffe zusammen) und </w:t>
      </w:r>
      <w:r>
        <w:rPr>
          <w:b/>
        </w:rPr>
        <w:t>„Marktscan jetzt starten“</w:t>
      </w:r>
      <w:r>
        <w:t>. Bewusst nur diese zwei in dieser Version — Backward-Tracking ist selten zeitkritisch, ein Bitpanda-Sync-Button wäre durch den echten authentifizierten API-Call sensibler, beides kann später nach demselben Muster ergänzt werden.</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Tag-Vokabular dokumentiert (RM-10/RM-11-Grundlage)</w:t>
      </w:r>
    </w:p>
    <w:p>
      <w:pPr>
        <w:spacing w:after="160"/>
      </w:pPr>
      <w:r>
        <w:t xml:space="preserve">Live in der Transaktionshistorie gefunden: </w:t>
      </w:r>
      <w:r>
        <w:rPr>
          <w:rFonts w:ascii="Consolas" w:hAnsi="Consolas"/>
          <w:sz w:val="20"/>
        </w:rPr>
        <w:t>margin_trading.open</w:t>
      </w:r>
      <w:r>
        <w:t xml:space="preserve"> (1828×), </w:t>
      </w:r>
      <w:r>
        <w:rPr>
          <w:rFonts w:ascii="Consolas" w:hAnsi="Consolas"/>
          <w:sz w:val="20"/>
        </w:rPr>
        <w:t>margin_trading.borrow</w:t>
      </w:r>
      <w:r>
        <w:t xml:space="preserve"> (811×), </w:t>
      </w:r>
      <w:r>
        <w:rPr>
          <w:rFonts w:ascii="Consolas" w:hAnsi="Consolas"/>
          <w:sz w:val="20"/>
        </w:rPr>
        <w:t>margin_trading.close</w:t>
      </w:r>
      <w:r>
        <w:t xml:space="preserve"> (622×), </w:t>
      </w:r>
      <w:r>
        <w:rPr>
          <w:rFonts w:ascii="Consolas" w:hAnsi="Consolas"/>
          <w:sz w:val="20"/>
        </w:rPr>
        <w:t>margin_trading.repay</w:t>
      </w:r>
      <w:r>
        <w:t xml:space="preserve"> (311×), </w:t>
      </w:r>
      <w:r>
        <w:rPr>
          <w:rFonts w:ascii="Consolas" w:hAnsi="Consolas"/>
          <w:sz w:val="20"/>
        </w:rPr>
        <w:t>margin_trading.fee</w:t>
      </w:r>
      <w:r>
        <w:t xml:space="preserve"> (311×) — echte historische Margin-Aktivität auf dem Account, jüngstes Ereignis ein "close" vom 07.05.2026, seitdem keine weitere Aktivität. Aktuell </w:t>
      </w:r>
      <w:r>
        <w:rPr>
          <w:b/>
        </w:rPr>
        <w:t>keine offene Krypto-Margin-Position</w:t>
      </w:r>
      <w:r>
        <w:t xml:space="preserve"> (Nutzer bestätigt); zwei offene Positionen in anderen Assetklassen bewusst außerhalb des Tool-Scopes. Bitpandas API bietet </w:t>
      </w:r>
      <w:r>
        <w:rPr>
          <w:b/>
        </w:rPr>
        <w:t>keine Übersicht offener Positionen</w:t>
      </w:r>
      <w:r>
        <w:t xml:space="preserve"> (nur den Bewegungs-Log) — eine künftige RM-10/RM-11-Umsetzung müsste Positionen aus </w:t>
      </w:r>
      <w:r>
        <w:rPr>
          <w:rFonts w:ascii="Consolas" w:hAnsi="Consolas"/>
          <w:sz w:val="20"/>
        </w:rPr>
        <w:t>open</w:t>
      </w:r>
      <w:r>
        <w:t>/</w:t>
      </w:r>
      <w:r>
        <w:rPr>
          <w:rFonts w:ascii="Consolas" w:hAnsi="Consolas"/>
          <w:sz w:val="20"/>
        </w:rPr>
        <w:t>close</w:t>
      </w:r>
      <w:r>
        <w:t>/</w:t>
      </w:r>
      <w:r>
        <w:rPr>
          <w:rFonts w:ascii="Consolas" w:hAnsi="Consolas"/>
          <w:sz w:val="20"/>
        </w:rPr>
        <w:t>borrow</w:t>
      </w:r>
      <w:r>
        <w:t>/</w:t>
      </w:r>
      <w:r>
        <w:rPr>
          <w:rFonts w:ascii="Consolas" w:hAnsi="Consolas"/>
          <w:sz w:val="20"/>
        </w:rPr>
        <w:t>repay</w:t>
      </w:r>
      <w:r>
        <w:t>-Paaren selbst rekonstruieren, das ist nicht trivial und bleibt ein offener Punkt für später.</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(3x, aktuell ohnehin deaktiviert)</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rPr>
          <w:b/>
        </w:rPr>
        <w:t>NEU (2026-07-11):</w:t>
      </w:r>
      <w:r>
        <w:t xml:space="preserve"> RM-10/RM-11 (Hebel) bräuchten eine Positions-Rekonstruktion aus den margin_trading.*-Transaktions-Tags (Kap. 14) — nicht trivial, Bitpanda liefert keine „offene Positionen“-Übersicht.</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 E-Mail-Benachrichtigung (U-8) und Backoff/Alarm bei dauerhaftem Job-Ausfall bleiben weiterhin offen.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