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 xml:space="preserve">Hebel: nur Long, max. </w:t>
            </w:r>
            <w:r>
              <w:rPr>
                <w:b/>
              </w:rPr>
              <w:t>3x</w:t>
            </w:r>
            <w:r>
              <w:t>, Liquidationspreis muss ausgewiesen werden</w:t>
            </w:r>
          </w:p>
        </w:tc>
        <w:tc>
          <w:tcPr>
            <w:tcW w:type="dxa" w:w="2268"/>
          </w:tcPr>
          <w:p>
            <w:r>
              <w:t>konfiguriert</w:t>
            </w:r>
          </w:p>
        </w:tc>
        <w:tc>
          <w:tcPr>
            <w:tcW w:type="dxa" w:w="2324"/>
          </w:tcPr>
          <w:p>
            <w:r>
              <w:rPr>
                <w:b/>
              </w:rPr>
              <w:t>DEAKTIVIERT</w:t>
            </w:r>
            <w:r>
              <w:t xml:space="preserve"> (Strategie S-6 aus) — eigenes, noch zu führendes Thema</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Zusätzlich wurde die Formel von reinem Prozentsatz auf </w:t>
      </w:r>
      <w:r>
        <w:rPr>
          <w:b/>
        </w:rPr>
        <w:t>Hybrid</w:t>
      </w:r>
      <w:r>
        <w:t xml:space="preserve"> umgestellt: erforderlich ist das </w:t>
      </w:r>
      <w:r>
        <w:rPr>
          <w:i/>
        </w:rPr>
        <w:t>Größere</w:t>
      </w:r>
      <w:r>
        <w:t xml:space="preserv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pBdr>
          <w:bottom w:val="single" w:sz="6" w:space="1" w:color="BFBFBF"/>
        </w:pBdr>
        <w:spacing w:before="40" w:after="200"/>
      </w:pPr>
    </w:p>
    <w:p>
      <w:pPr>
        <w:pStyle w:val="Heading1"/>
      </w:pPr>
      <w:r>
        <w:t>3. Regime-Steuerung — wie sich die Regeln je nach Marktlage anpassen (RG-1 bis RG-11)</w:t>
      </w:r>
    </w:p>
    <w:p>
      <w:pPr>
        <w:spacing w:after="160"/>
      </w:pPr>
      <w:r>
        <w:t xml:space="preserve">Grundidee: Die </w:t>
      </w:r>
      <w:r>
        <w:rPr>
          <w:i/>
        </w:rPr>
        <w:t>Struktur</w:t>
      </w:r>
      <w:r>
        <w:t xml:space="preserve">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w:t>
            </w:r>
          </w:p>
        </w:tc>
        <w:tc>
          <w:tcPr>
            <w:tcW w:type="dxa" w:w="2551"/>
          </w:tcPr>
          <w:p>
            <w:r>
              <w:t xml:space="preserve">aktiv, aber noch </w:t>
            </w:r>
            <w:r>
              <w:rPr>
                <w:b/>
              </w:rPr>
              <w:t>keine echte Mehrfach-Tranchen-Unterstützung im Signal-Schema</w:t>
            </w:r>
            <w:r>
              <w:t xml:space="preserve"> (offener Punkt)</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pBdr>
          <w:bottom w:val="single" w:sz="6" w:space="1" w:color="BFBFBF"/>
        </w:pBdr>
        <w:spacing w:before="40" w:after="200"/>
      </w:pPr>
    </w:p>
    <w:p>
      <w:pPr>
        <w:pStyle w:val="Heading1"/>
      </w:pPr>
      <w:r>
        <w:t>7.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w:t>
      </w:r>
    </w:p>
    <w:p>
      <w:pPr>
        <w:pStyle w:val="ListBullet"/>
        <w:spacing w:after="80"/>
      </w:pPr>
      <w:r>
        <w:rPr>
          <w:rFonts w:ascii="Consolas" w:hAnsi="Consolas"/>
          <w:sz w:val="20"/>
        </w:rPr>
        <w:t>agent/krypto/pipeline.py</w:t>
      </w:r>
      <w:r>
        <w:t xml:space="preserve"> — Reihenfolge R-5.0 bis R-5.11 (Orchestrierung)</w:t>
      </w:r>
    </w:p>
    <w:p>
      <w:pPr>
        <w:pBdr>
          <w:bottom w:val="single" w:sz="6" w:space="1" w:color="BFBFBF"/>
        </w:pBdr>
        <w:spacing w:before="40" w:after="200"/>
      </w:pPr>
    </w:p>
    <w:p>
      <w:pPr>
        <w:pStyle w:val="Heading1"/>
      </w:pPr>
      <w:r>
        <w:t>8.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 xml:space="preserve">RM-4 Cash-Reserve-Minimum (10 % </w:t>
      </w:r>
      <w:r>
        <w:rPr>
          <w:b/>
        </w:rPr>
        <w:t>und</w:t>
      </w:r>
      <w:r>
        <w:t xml:space="preserve"> der neue Festbetrag 2000 €, beide vorläufig)</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(3x, aktuell ohnehin deaktiviert)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