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7736A0" w14:textId="2240AD80" w:rsidR="001E0D76" w:rsidRDefault="4FA888C2" w:rsidP="07D5B37C">
      <w:pPr>
        <w:pStyle w:val="Heading1"/>
        <w:spacing w:before="0" w:after="120" w:line="276" w:lineRule="auto"/>
      </w:pPr>
      <w:r w:rsidRPr="07D5B37C">
        <w:rPr>
          <w:rFonts w:ascii="Arial" w:eastAsia="Arial" w:hAnsi="Arial" w:cs="Arial"/>
          <w:b/>
          <w:bCs/>
          <w:sz w:val="46"/>
          <w:szCs w:val="46"/>
          <w:lang w:val="en"/>
        </w:rPr>
        <w:t>Annual Performance Self-Assessment</w:t>
      </w:r>
    </w:p>
    <w:p w14:paraId="3F63A625" w14:textId="0049DBC4" w:rsidR="001E0D76" w:rsidRDefault="4FA888C2" w:rsidP="07D5B37C">
      <w:pPr>
        <w:pStyle w:val="Heading3"/>
        <w:spacing w:before="0" w:line="276" w:lineRule="auto"/>
      </w:pPr>
      <w:r w:rsidRPr="07D5B37C">
        <w:rPr>
          <w:rFonts w:ascii="Arial" w:eastAsia="Arial" w:hAnsi="Arial" w:cs="Arial"/>
          <w:b/>
          <w:bCs/>
          <w:color w:val="000000" w:themeColor="text1"/>
          <w:sz w:val="26"/>
          <w:szCs w:val="26"/>
          <w:lang w:val="en"/>
        </w:rPr>
        <w:t>Executive Summary</w:t>
      </w:r>
    </w:p>
    <w:p w14:paraId="6E3CBF84" w14:textId="74F91488" w:rsidR="001E0D76" w:rsidRDefault="4FA888C2" w:rsidP="07D5B37C">
      <w:pPr>
        <w:spacing w:after="240" w:line="276" w:lineRule="auto"/>
      </w:pPr>
      <w:r w:rsidRPr="07D5B37C">
        <w:rPr>
          <w:rFonts w:ascii="Arial" w:eastAsia="Arial" w:hAnsi="Arial" w:cs="Arial"/>
          <w:sz w:val="22"/>
          <w:szCs w:val="22"/>
        </w:rPr>
        <w:t xml:space="preserve">Over the past review period, my focus centered on building scalable computational infrastructure, accelerating core pipeline assets, and delivering actionable bioinformatics rationales across CAR-T programs. By architecting </w:t>
      </w:r>
      <w:r w:rsidRPr="005F5979">
        <w:rPr>
          <w:rFonts w:ascii="Arial" w:eastAsia="Arial" w:hAnsi="Arial" w:cs="Arial"/>
          <w:sz w:val="22"/>
          <w:szCs w:val="22"/>
        </w:rPr>
        <w:t xml:space="preserve">an AI-enabled CAR-T target evaluation rubric scoring, I transformed fragmented manual target evaluations into a unified, reproducible framework—expediting governance transitions for key programs and identifying novel CRC targets. </w:t>
      </w:r>
      <w:r w:rsidRPr="005F5979">
        <w:rPr>
          <w:rFonts w:ascii="Arial" w:eastAsia="Arial" w:hAnsi="Arial" w:cs="Arial"/>
          <w:color w:val="1F1F1F"/>
          <w:sz w:val="22"/>
          <w:szCs w:val="22"/>
        </w:rPr>
        <w:t>Furthermore, I conducted multi-target expression profiling across 4 prostate targets (KLK2, PSMA/FOLH1, STEAP1, STEAP2) for STEAP1/KLK2</w:t>
      </w:r>
      <w:r w:rsidRPr="07D5B37C">
        <w:rPr>
          <w:rFonts w:ascii="Arial" w:eastAsia="Arial" w:hAnsi="Arial" w:cs="Arial"/>
          <w:color w:val="1F1F1F"/>
          <w:sz w:val="22"/>
          <w:szCs w:val="22"/>
        </w:rPr>
        <w:t xml:space="preserve"> LO governance milestone.</w:t>
      </w:r>
      <w:r w:rsidRPr="07D5B37C">
        <w:rPr>
          <w:rFonts w:ascii="Arial" w:eastAsia="Arial" w:hAnsi="Arial" w:cs="Arial"/>
          <w:sz w:val="22"/>
          <w:szCs w:val="22"/>
        </w:rPr>
        <w:t xml:space="preserve"> Additionally, I provided critical analytical support to Precision Medicine (PMED) for clinical companion diagnostic cutoffs, established the TME mechanistic rationale for prostate CAR-T armoring strategies, and advanced foundational target biology research toward publication in </w:t>
      </w:r>
      <w:r w:rsidRPr="07D5B37C">
        <w:rPr>
          <w:rFonts w:ascii="Arial" w:eastAsia="Arial" w:hAnsi="Arial" w:cs="Arial"/>
          <w:i/>
          <w:iCs/>
          <w:sz w:val="22"/>
          <w:szCs w:val="22"/>
        </w:rPr>
        <w:t>JITC</w:t>
      </w:r>
      <w:r w:rsidRPr="07D5B37C">
        <w:rPr>
          <w:rFonts w:ascii="Arial" w:eastAsia="Arial" w:hAnsi="Arial" w:cs="Arial"/>
          <w:sz w:val="22"/>
          <w:szCs w:val="22"/>
        </w:rPr>
        <w:t>.</w:t>
      </w:r>
    </w:p>
    <w:p w14:paraId="1D75BECE" w14:textId="150478E3" w:rsidR="001E0D76" w:rsidRDefault="4FA888C2" w:rsidP="07D5B37C">
      <w:pPr>
        <w:spacing w:after="240" w:line="276" w:lineRule="auto"/>
      </w:pPr>
      <w:r w:rsidRPr="07D5B37C">
        <w:rPr>
          <w:rFonts w:ascii="Arial" w:eastAsia="Arial" w:hAnsi="Arial" w:cs="Arial"/>
          <w:sz w:val="22"/>
          <w:szCs w:val="22"/>
          <w:lang w:val="en"/>
        </w:rPr>
        <w:t xml:space="preserve"> </w:t>
      </w:r>
    </w:p>
    <w:p w14:paraId="3BF12187" w14:textId="3599AC7E" w:rsidR="001E0D76" w:rsidRDefault="4FA888C2" w:rsidP="07D5B37C">
      <w:pPr>
        <w:pStyle w:val="Heading3"/>
        <w:spacing w:before="0" w:line="276" w:lineRule="auto"/>
      </w:pPr>
      <w:r w:rsidRPr="07D5B37C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Core Accomplishments &amp; Impact</w:t>
      </w:r>
    </w:p>
    <w:p w14:paraId="36BFD3CF" w14:textId="6F61D746" w:rsidR="001E0D76" w:rsidRDefault="001E0D76" w:rsidP="07D5B37C"/>
    <w:p w14:paraId="75A4CB3C" w14:textId="3DFADAE6" w:rsidR="001E0D76" w:rsidRDefault="4FA888C2" w:rsidP="07D5B37C">
      <w:pPr>
        <w:spacing w:after="0" w:line="276" w:lineRule="auto"/>
      </w:pPr>
      <w:r w:rsidRPr="07D5B37C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1. Calico Project Handoff, Data Infrastructure &amp; Contractor Leadership</w:t>
      </w:r>
    </w:p>
    <w:p w14:paraId="3AF3E519" w14:textId="69096FBC" w:rsidR="001E0D76" w:rsidRDefault="001E0D76" w:rsidP="07D5B37C">
      <w:pPr>
        <w:spacing w:after="0" w:line="27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</w:pPr>
    </w:p>
    <w:p w14:paraId="6168619D" w14:textId="23DD188A" w:rsidR="001E0D76" w:rsidRDefault="4FA888C2" w:rsidP="07D5B37C">
      <w:pPr>
        <w:pStyle w:val="ListParagraph"/>
        <w:numPr>
          <w:ilvl w:val="0"/>
          <w:numId w:val="5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b/>
          <w:bCs/>
          <w:sz w:val="22"/>
          <w:szCs w:val="22"/>
        </w:rPr>
        <w:t>Objective:</w:t>
      </w:r>
      <w:r w:rsidRPr="07D5B37C">
        <w:rPr>
          <w:rFonts w:ascii="Arial" w:eastAsia="Arial" w:hAnsi="Arial" w:cs="Arial"/>
          <w:sz w:val="22"/>
          <w:szCs w:val="22"/>
        </w:rPr>
        <w:t xml:space="preserve"> </w:t>
      </w:r>
      <w:r w:rsidR="04FD1872" w:rsidRPr="07D5B37C">
        <w:rPr>
          <w:rFonts w:ascii="Arial" w:eastAsia="Arial" w:hAnsi="Arial" w:cs="Arial"/>
          <w:sz w:val="22"/>
          <w:szCs w:val="22"/>
        </w:rPr>
        <w:t>Ensure seamless operational continuity, data security, and cross-functional alignment during the first-quarter Calico project transition</w:t>
      </w:r>
      <w:r w:rsidRPr="07D5B37C">
        <w:rPr>
          <w:rFonts w:ascii="Arial" w:eastAsia="Arial" w:hAnsi="Arial" w:cs="Arial"/>
          <w:sz w:val="22"/>
          <w:szCs w:val="22"/>
        </w:rPr>
        <w:t>.</w:t>
      </w:r>
    </w:p>
    <w:p w14:paraId="19A876A7" w14:textId="0A0E9458" w:rsidR="001E0D76" w:rsidRDefault="4FA888C2" w:rsidP="07D5B37C">
      <w:pPr>
        <w:pStyle w:val="ListParagraph"/>
        <w:numPr>
          <w:ilvl w:val="0"/>
          <w:numId w:val="5"/>
        </w:num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Actions Taken:</w:t>
      </w:r>
    </w:p>
    <w:p w14:paraId="1B89D93D" w14:textId="1CE7AF9F" w:rsidR="001E0D76" w:rsidRDefault="1755FABC" w:rsidP="07D5B37C">
      <w:pPr>
        <w:pStyle w:val="ListParagraph"/>
        <w:numPr>
          <w:ilvl w:val="1"/>
          <w:numId w:val="5"/>
        </w:numPr>
        <w:spacing w:after="0" w:line="276" w:lineRule="auto"/>
      </w:pPr>
      <w:r w:rsidRPr="07D5B37C">
        <w:rPr>
          <w:rFonts w:ascii="Arial" w:eastAsia="Arial" w:hAnsi="Arial" w:cs="Arial"/>
          <w:sz w:val="22"/>
          <w:szCs w:val="22"/>
          <w:lang w:val="en"/>
        </w:rPr>
        <w:t>Managed and executed the technical data handoff for the Calico collaboration during the first three months of the year.</w:t>
      </w:r>
    </w:p>
    <w:p w14:paraId="7CFC3C6C" w14:textId="5D0FD9C3" w:rsidR="001E0D76" w:rsidRDefault="1755FABC" w:rsidP="07D5B37C">
      <w:pPr>
        <w:pStyle w:val="ListParagraph"/>
        <w:numPr>
          <w:ilvl w:val="1"/>
          <w:numId w:val="5"/>
        </w:numPr>
        <w:spacing w:after="0" w:line="276" w:lineRule="auto"/>
      </w:pPr>
      <w:r>
        <w:t>Designed, implemented, and verified secure data-transfer protocols for moving complex genomic and multi-omic datasets between internal infrastructure and external partners.</w:t>
      </w:r>
    </w:p>
    <w:p w14:paraId="5089CBB2" w14:textId="57762657" w:rsidR="001E0D76" w:rsidRDefault="1755FABC" w:rsidP="07D5B37C">
      <w:pPr>
        <w:pStyle w:val="ListParagraph"/>
        <w:numPr>
          <w:ilvl w:val="1"/>
          <w:numId w:val="5"/>
        </w:numPr>
      </w:pPr>
      <w:r>
        <w:t>Coordinated with cross-functional stakeholders to align responsibilities, timelines, and handoff requirements.</w:t>
      </w:r>
    </w:p>
    <w:p w14:paraId="56984D6D" w14:textId="0733517E" w:rsidR="001E0D76" w:rsidRDefault="1755FABC" w:rsidP="07D5B37C">
      <w:pPr>
        <w:pStyle w:val="ListParagraph"/>
        <w:numPr>
          <w:ilvl w:val="1"/>
          <w:numId w:val="5"/>
        </w:numPr>
      </w:pPr>
      <w:r>
        <w:t xml:space="preserve">Managed </w:t>
      </w:r>
      <w:r w:rsidR="2DA77FE3">
        <w:t xml:space="preserve">2 </w:t>
      </w:r>
      <w:r>
        <w:t>contractors by establishing clear deliverables, tracking milestone completion, addressing dependencies, and validating analytical outputs.</w:t>
      </w:r>
    </w:p>
    <w:p w14:paraId="4B75D106" w14:textId="450DEB78" w:rsidR="001E0D76" w:rsidRDefault="1755FABC" w:rsidP="07D5B37C">
      <w:pPr>
        <w:pStyle w:val="ListParagraph"/>
        <w:numPr>
          <w:ilvl w:val="1"/>
          <w:numId w:val="5"/>
        </w:numPr>
      </w:pPr>
      <w:r>
        <w:t>Proactively monitored handoff activities and resolved issues to help maintain data quality, security, and project momentum.</w:t>
      </w:r>
    </w:p>
    <w:p w14:paraId="74A8E832" w14:textId="13772322" w:rsidR="001E0D76" w:rsidRDefault="4FA888C2" w:rsidP="07D5B37C">
      <w:pPr>
        <w:pStyle w:val="ListParagraph"/>
        <w:numPr>
          <w:ilvl w:val="0"/>
          <w:numId w:val="5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Key Results:</w:t>
      </w:r>
    </w:p>
    <w:p w14:paraId="561F0DB9" w14:textId="229C0183" w:rsidR="001E0D76" w:rsidRDefault="465510C5" w:rsidP="07D5B37C">
      <w:pPr>
        <w:pStyle w:val="ListParagraph"/>
        <w:numPr>
          <w:ilvl w:val="1"/>
          <w:numId w:val="5"/>
        </w:numPr>
        <w:spacing w:after="0" w:line="276" w:lineRule="auto"/>
      </w:pPr>
      <w:r w:rsidRPr="07D5B37C">
        <w:rPr>
          <w:rFonts w:ascii="Arial" w:eastAsia="Arial" w:hAnsi="Arial" w:cs="Arial"/>
          <w:color w:val="1F1F1F"/>
          <w:sz w:val="22"/>
          <w:szCs w:val="22"/>
        </w:rPr>
        <w:t xml:space="preserve">Operational Continuity and data </w:t>
      </w:r>
      <w:r w:rsidR="5DF3C5C1" w:rsidRPr="07D5B37C">
        <w:rPr>
          <w:rFonts w:ascii="Arial" w:eastAsia="Arial" w:hAnsi="Arial" w:cs="Arial"/>
          <w:color w:val="1F1F1F"/>
          <w:sz w:val="22"/>
          <w:szCs w:val="22"/>
        </w:rPr>
        <w:t>security</w:t>
      </w:r>
      <w:r w:rsidRPr="07D5B37C">
        <w:rPr>
          <w:rFonts w:ascii="Arial" w:eastAsia="Arial" w:hAnsi="Arial" w:cs="Arial"/>
          <w:color w:val="1F1F1F"/>
          <w:sz w:val="22"/>
          <w:szCs w:val="22"/>
        </w:rPr>
        <w:t>: Successfully completed the three-month Calico transition on schedule, with no data-integrity issues or disruption to downstream pipeline timelines.</w:t>
      </w:r>
      <w:r w:rsidR="692D6E17" w:rsidRPr="07D5B37C">
        <w:rPr>
          <w:rFonts w:ascii="Arial" w:eastAsia="Arial" w:hAnsi="Arial" w:cs="Arial"/>
          <w:color w:val="1F1F1F"/>
          <w:sz w:val="22"/>
          <w:szCs w:val="22"/>
        </w:rPr>
        <w:t xml:space="preserve"> </w:t>
      </w:r>
      <w:r w:rsidRPr="07D5B37C">
        <w:rPr>
          <w:rFonts w:ascii="Arial" w:eastAsia="Arial" w:hAnsi="Arial" w:cs="Arial"/>
          <w:color w:val="1F1F1F"/>
          <w:sz w:val="22"/>
          <w:szCs w:val="22"/>
        </w:rPr>
        <w:t>Established and verified secure processes for transferring sensitive and complex datasets, supporting compliance with data-handling expectations.</w:t>
      </w:r>
    </w:p>
    <w:p w14:paraId="1152E6EF" w14:textId="65BF4D54" w:rsidR="001E0D76" w:rsidRDefault="465510C5" w:rsidP="07D5B37C">
      <w:pPr>
        <w:pStyle w:val="ListParagraph"/>
        <w:spacing w:after="0" w:line="276" w:lineRule="auto"/>
        <w:ind w:left="1440" w:hanging="360"/>
      </w:pPr>
      <w:r w:rsidRPr="07D5B37C">
        <w:rPr>
          <w:rFonts w:ascii="Arial" w:eastAsia="Arial" w:hAnsi="Arial" w:cs="Arial"/>
          <w:color w:val="1F1F1F"/>
          <w:sz w:val="22"/>
          <w:szCs w:val="22"/>
        </w:rPr>
        <w:lastRenderedPageBreak/>
        <w:t>○ Cross-Functional Alignment: Improved coordination among internal teams, external partners, and contractors by clarifying ownership, deliverables, and milestones.</w:t>
      </w:r>
    </w:p>
    <w:p w14:paraId="683345A1" w14:textId="19D5EC3A" w:rsidR="001E0D76" w:rsidRDefault="465510C5" w:rsidP="07D5B37C">
      <w:pPr>
        <w:pStyle w:val="ListParagraph"/>
        <w:spacing w:after="0" w:line="276" w:lineRule="auto"/>
        <w:ind w:left="1440" w:hanging="360"/>
      </w:pPr>
      <w:r w:rsidRPr="07D5B37C">
        <w:rPr>
          <w:rFonts w:ascii="Arial" w:eastAsia="Arial" w:hAnsi="Arial" w:cs="Arial"/>
          <w:color w:val="1F1F1F"/>
          <w:sz w:val="22"/>
          <w:szCs w:val="22"/>
        </w:rPr>
        <w:t>○ Contractor Oversight: Maintained accountability for contractor deliverables and confirmed that analytical outputs met project expectations.</w:t>
      </w:r>
    </w:p>
    <w:p w14:paraId="0766682B" w14:textId="54E9BDD7" w:rsidR="001E0D76" w:rsidRDefault="465510C5" w:rsidP="07D5B37C">
      <w:pPr>
        <w:pStyle w:val="ListParagraph"/>
        <w:spacing w:after="0" w:line="276" w:lineRule="auto"/>
        <w:ind w:left="1440" w:hanging="360"/>
      </w:pPr>
      <w:r w:rsidRPr="07D5B37C">
        <w:rPr>
          <w:rFonts w:ascii="Arial" w:eastAsia="Arial" w:hAnsi="Arial" w:cs="Arial"/>
          <w:color w:val="1F1F1F"/>
          <w:sz w:val="22"/>
          <w:szCs w:val="22"/>
        </w:rPr>
        <w:t xml:space="preserve">○ Overall Impact: Enabled a smooth and controlled transition while preserving data integrity, supporting uninterrupted downstream work, and establishing a strong foundation for </w:t>
      </w:r>
      <w:r w:rsidR="001B1424">
        <w:rPr>
          <w:rFonts w:ascii="Arial" w:eastAsia="Arial" w:hAnsi="Arial" w:cs="Arial"/>
          <w:color w:val="1F1F1F"/>
          <w:sz w:val="22"/>
          <w:szCs w:val="22"/>
        </w:rPr>
        <w:t>successful</w:t>
      </w:r>
      <w:r w:rsidRPr="07D5B37C">
        <w:rPr>
          <w:rFonts w:ascii="Arial" w:eastAsia="Arial" w:hAnsi="Arial" w:cs="Arial"/>
          <w:color w:val="1F1F1F"/>
          <w:sz w:val="22"/>
          <w:szCs w:val="22"/>
        </w:rPr>
        <w:t xml:space="preserve"> collaboration </w:t>
      </w:r>
      <w:r w:rsidR="001B1424">
        <w:rPr>
          <w:rFonts w:ascii="Arial" w:eastAsia="Arial" w:hAnsi="Arial" w:cs="Arial"/>
          <w:color w:val="1F1F1F"/>
          <w:sz w:val="22"/>
          <w:szCs w:val="22"/>
        </w:rPr>
        <w:t xml:space="preserve">handoff </w:t>
      </w:r>
      <w:r w:rsidRPr="07D5B37C">
        <w:rPr>
          <w:rFonts w:ascii="Arial" w:eastAsia="Arial" w:hAnsi="Arial" w:cs="Arial"/>
          <w:color w:val="1F1F1F"/>
          <w:sz w:val="22"/>
          <w:szCs w:val="22"/>
        </w:rPr>
        <w:t>with Calico</w:t>
      </w:r>
    </w:p>
    <w:p w14:paraId="1076C207" w14:textId="32804985" w:rsidR="001E0D76" w:rsidRDefault="006C14CD" w:rsidP="07D5B37C">
      <w:pPr>
        <w:pStyle w:val="ListParagraph"/>
        <w:spacing w:after="0" w:line="276" w:lineRule="auto"/>
        <w:ind w:left="1440" w:hanging="360"/>
        <w:rPr>
          <w:rFonts w:ascii="Arial" w:eastAsia="Arial" w:hAnsi="Arial" w:cs="Arial"/>
          <w:sz w:val="22"/>
          <w:szCs w:val="22"/>
        </w:rPr>
      </w:pPr>
      <w:r>
        <w:br/>
      </w:r>
      <w:r w:rsidR="4FA888C2" w:rsidRPr="07D5B37C">
        <w:rPr>
          <w:rFonts w:ascii="Arial" w:eastAsia="Arial" w:hAnsi="Arial" w:cs="Arial"/>
          <w:sz w:val="22"/>
          <w:szCs w:val="22"/>
        </w:rPr>
        <w:t xml:space="preserve"> </w:t>
      </w:r>
    </w:p>
    <w:p w14:paraId="106298B6" w14:textId="2ABF157A" w:rsidR="001E0D76" w:rsidRDefault="4FA888C2" w:rsidP="07D5B37C">
      <w:pPr>
        <w:pStyle w:val="Heading4"/>
        <w:spacing w:before="0" w:line="276" w:lineRule="auto"/>
      </w:pPr>
      <w:r w:rsidRPr="07D5B37C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 xml:space="preserve">2. </w:t>
      </w:r>
      <w:r w:rsidR="324A1BB8" w:rsidRPr="07D5B37C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Advanced Target Discovery and Evaluation Framework — Platform Modernization and Reproducible Analytics</w:t>
      </w:r>
    </w:p>
    <w:p w14:paraId="6B56207C" w14:textId="7F559E51" w:rsidR="001E0D76" w:rsidRDefault="001E0D76" w:rsidP="07D5B37C">
      <w:pPr>
        <w:rPr>
          <w:lang w:val="en"/>
        </w:rPr>
      </w:pPr>
    </w:p>
    <w:p w14:paraId="32A256EA" w14:textId="4BCE5323" w:rsidR="001E0D76" w:rsidRDefault="4FA888C2" w:rsidP="07D5B37C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Objective:</w:t>
      </w:r>
      <w:r w:rsidRPr="07D5B37C">
        <w:rPr>
          <w:rFonts w:ascii="Arial" w:eastAsia="Arial" w:hAnsi="Arial" w:cs="Arial"/>
          <w:sz w:val="22"/>
          <w:szCs w:val="22"/>
          <w:lang w:val="en"/>
        </w:rPr>
        <w:t xml:space="preserve"> </w:t>
      </w:r>
      <w:r w:rsidR="2DBC697A" w:rsidRPr="07D5B37C">
        <w:rPr>
          <w:rFonts w:ascii="Arial" w:eastAsia="Arial" w:hAnsi="Arial" w:cs="Arial"/>
          <w:sz w:val="22"/>
          <w:szCs w:val="22"/>
          <w:lang w:val="en"/>
        </w:rPr>
        <w:t>Modernize CAR-T target discovery and evaluation by replacing fragmented, manual workflows with a centralized, AI-enabled, and reproducible analytics platform that accelerates target prioritization, safety assessment, and program decision-making across indications</w:t>
      </w:r>
      <w:r w:rsidRPr="07D5B37C">
        <w:rPr>
          <w:rFonts w:ascii="Arial" w:eastAsia="Arial" w:hAnsi="Arial" w:cs="Arial"/>
          <w:sz w:val="22"/>
          <w:szCs w:val="22"/>
          <w:lang w:val="en"/>
        </w:rPr>
        <w:t>.</w:t>
      </w:r>
    </w:p>
    <w:p w14:paraId="4033E679" w14:textId="1AE583AC" w:rsidR="001E0D76" w:rsidRDefault="4FA888C2" w:rsidP="07D5B37C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Actions Taken:</w:t>
      </w:r>
    </w:p>
    <w:p w14:paraId="275B54F8" w14:textId="6ADE3E91" w:rsidR="001E0D76" w:rsidRDefault="2E163C34" w:rsidP="07D5B37C">
      <w:pPr>
        <w:pStyle w:val="ListParagraph"/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sz w:val="22"/>
          <w:szCs w:val="22"/>
        </w:rPr>
        <w:t>Architected and applied an AI-enabled, reproducible CAR-T target evaluation platform and centralized knowledge graph to integrate multi-omic, transcriptomic, proteomic, real-world, and normal-tissue safety data.</w:t>
      </w:r>
    </w:p>
    <w:p w14:paraId="2528DEAF" w14:textId="21710209" w:rsidR="001E0D76" w:rsidRDefault="2E163C34" w:rsidP="07D5B37C">
      <w:pPr>
        <w:pStyle w:val="ListParagraph"/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sz w:val="22"/>
          <w:szCs w:val="22"/>
        </w:rPr>
        <w:t>Conducted comprehensive expression and safety-liability profiling of the prostate cancer targets STEAP1, STEAP2, and KLK2 using integrated tumor, single-cell, proteomic, and GTEx healthy-tissue datasets.</w:t>
      </w:r>
    </w:p>
    <w:p w14:paraId="4496A3B3" w14:textId="44EC5BDB" w:rsidR="001E0D76" w:rsidRDefault="2E163C34" w:rsidP="07D5B37C">
      <w:pPr>
        <w:pStyle w:val="ListParagraph"/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sz w:val="22"/>
          <w:szCs w:val="22"/>
        </w:rPr>
        <w:t>Evaluated tumor specificity, normal-tissue expression, tumor microenvironment cell-type distribution, and potential off-tumor safety risks to support target and construct prioritization.</w:t>
      </w:r>
    </w:p>
    <w:p w14:paraId="5175198C" w14:textId="08CC789C" w:rsidR="001E0D76" w:rsidRDefault="2E163C34" w:rsidP="07D5B37C">
      <w:pPr>
        <w:pStyle w:val="ListParagraph"/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sz w:val="22"/>
          <w:szCs w:val="22"/>
        </w:rPr>
        <w:t>Applied the target-evaluation framework to colorectal cancer cohorts to assess LY6G6D and identify high-potential targets for CAR-T development.</w:t>
      </w:r>
    </w:p>
    <w:p w14:paraId="39446E5B" w14:textId="6BD5836A" w:rsidR="001E0D76" w:rsidRDefault="2E163C34" w:rsidP="07D5B37C">
      <w:pPr>
        <w:pStyle w:val="ListParagraph"/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sz w:val="22"/>
          <w:szCs w:val="22"/>
        </w:rPr>
        <w:t>Established reproducible analytical workflows and knowledge-graph infrastructure to facilitate cross-program deployment and future integration of emerging single-cell, real-world, and proteomic datasets.</w:t>
      </w:r>
    </w:p>
    <w:p w14:paraId="59B6BAED" w14:textId="7E7CF75E" w:rsidR="001E0D76" w:rsidRDefault="2E163C34" w:rsidP="07D5B37C">
      <w:pPr>
        <w:pStyle w:val="ListParagraph"/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sz w:val="22"/>
          <w:szCs w:val="22"/>
        </w:rPr>
        <w:t>Translated analytical outputs into decision-ready evidence and scientific presentation materials, including contributions to an ACOS poster presentation</w:t>
      </w:r>
    </w:p>
    <w:p w14:paraId="4572FB96" w14:textId="78DBC580" w:rsidR="001E0D76" w:rsidRDefault="4FA888C2" w:rsidP="07D5B37C">
      <w:pPr>
        <w:pStyle w:val="ListParagraph"/>
        <w:numPr>
          <w:ilvl w:val="0"/>
          <w:numId w:val="4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Key Results:</w:t>
      </w:r>
    </w:p>
    <w:p w14:paraId="2CF79B3F" w14:textId="42335753" w:rsidR="001E0D76" w:rsidRDefault="4FA888C2" w:rsidP="07D5B37C">
      <w:pPr>
        <w:pStyle w:val="ListParagraph"/>
        <w:numPr>
          <w:ilvl w:val="1"/>
          <w:numId w:val="4"/>
        </w:numPr>
        <w:spacing w:after="0" w:line="276" w:lineRule="auto"/>
        <w:rPr>
          <w:rFonts w:ascii="Arial" w:eastAsia="Arial" w:hAnsi="Arial" w:cs="Arial"/>
          <w:color w:val="000000" w:themeColor="text1"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Accelerated Governance:</w:t>
      </w:r>
      <w:r w:rsidRPr="07D5B37C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 xml:space="preserve"> Provided the quantitative evidence base that supported an </w:t>
      </w:r>
      <w:r w:rsidRPr="07D5B37C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expedited Lead Optimization (LO) governance transition</w:t>
      </w:r>
      <w:r w:rsidRPr="07D5B37C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 xml:space="preserve"> for the prostate </w:t>
      </w:r>
      <w:r w:rsidRPr="07D5B37C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KLK2/STEAP1</w:t>
      </w:r>
      <w:r w:rsidRPr="07D5B37C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 xml:space="preserve"> program</w:t>
      </w:r>
      <w:r w:rsidR="00B453F0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 xml:space="preserve">, and </w:t>
      </w:r>
      <w:r w:rsidR="00B453F0" w:rsidRPr="002E1C6A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 xml:space="preserve">LY6G6D </w:t>
      </w:r>
      <w:r w:rsidR="002E1C6A" w:rsidRPr="002E1C6A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HG transition</w:t>
      </w:r>
      <w:r w:rsidRPr="07D5B37C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>.</w:t>
      </w:r>
    </w:p>
    <w:p w14:paraId="17C09ABC" w14:textId="2E64E915" w:rsidR="001E0D76" w:rsidRDefault="4FA888C2" w:rsidP="07D5B37C">
      <w:pPr>
        <w:pStyle w:val="ListParagraph"/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b/>
          <w:bCs/>
          <w:sz w:val="22"/>
          <w:szCs w:val="22"/>
        </w:rPr>
        <w:t>Pipeline Expansion:</w:t>
      </w:r>
      <w:r w:rsidRPr="07D5B37C">
        <w:rPr>
          <w:rFonts w:ascii="Arial" w:eastAsia="Arial" w:hAnsi="Arial" w:cs="Arial"/>
          <w:sz w:val="22"/>
          <w:szCs w:val="22"/>
        </w:rPr>
        <w:t xml:space="preserve"> Identified </w:t>
      </w:r>
      <w:r w:rsidRPr="07D5B37C">
        <w:rPr>
          <w:rFonts w:ascii="Arial" w:eastAsia="Arial" w:hAnsi="Arial" w:cs="Arial"/>
          <w:b/>
          <w:bCs/>
          <w:sz w:val="22"/>
          <w:szCs w:val="22"/>
        </w:rPr>
        <w:t>2 highly recommended CRC targets</w:t>
      </w:r>
      <w:r w:rsidRPr="07D5B37C">
        <w:rPr>
          <w:rFonts w:ascii="Arial" w:eastAsia="Arial" w:hAnsi="Arial" w:cs="Arial"/>
          <w:sz w:val="22"/>
          <w:szCs w:val="22"/>
        </w:rPr>
        <w:t>, currently queued for active team exploration.</w:t>
      </w:r>
    </w:p>
    <w:p w14:paraId="67B70AEA" w14:textId="13FDC33C" w:rsidR="001E0D76" w:rsidRDefault="4FA888C2" w:rsidP="07D5B37C">
      <w:pPr>
        <w:pStyle w:val="ListParagraph"/>
        <w:numPr>
          <w:ilvl w:val="1"/>
          <w:numId w:val="4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b/>
          <w:bCs/>
          <w:sz w:val="22"/>
          <w:szCs w:val="22"/>
        </w:rPr>
        <w:t>External Visibility:</w:t>
      </w:r>
      <w:r w:rsidRPr="07D5B37C">
        <w:rPr>
          <w:rFonts w:ascii="Arial" w:eastAsia="Arial" w:hAnsi="Arial" w:cs="Arial"/>
          <w:sz w:val="22"/>
          <w:szCs w:val="22"/>
        </w:rPr>
        <w:t xml:space="preserve"> Platform outputs were selected and highlighted in an </w:t>
      </w:r>
      <w:r w:rsidRPr="07D5B37C">
        <w:rPr>
          <w:rFonts w:ascii="Arial" w:eastAsia="Arial" w:hAnsi="Arial" w:cs="Arial"/>
          <w:b/>
          <w:bCs/>
          <w:sz w:val="22"/>
          <w:szCs w:val="22"/>
        </w:rPr>
        <w:t>ACOS poster presentation</w:t>
      </w:r>
      <w:r w:rsidRPr="07D5B37C">
        <w:rPr>
          <w:rFonts w:ascii="Arial" w:eastAsia="Arial" w:hAnsi="Arial" w:cs="Arial"/>
          <w:sz w:val="22"/>
          <w:szCs w:val="22"/>
        </w:rPr>
        <w:t>, broadening external visibility for our target evaluation methodology.</w:t>
      </w:r>
    </w:p>
    <w:p w14:paraId="327CBE7F" w14:textId="0D8AA7A5" w:rsidR="001E0D76" w:rsidRDefault="001E0D76" w:rsidP="07D5B37C">
      <w:pPr>
        <w:pStyle w:val="ListParagraph"/>
        <w:spacing w:after="0" w:line="276" w:lineRule="auto"/>
        <w:ind w:left="1440" w:hanging="360"/>
        <w:rPr>
          <w:rFonts w:ascii="Arial" w:eastAsia="Arial" w:hAnsi="Arial" w:cs="Arial"/>
          <w:sz w:val="22"/>
          <w:szCs w:val="22"/>
        </w:rPr>
      </w:pPr>
    </w:p>
    <w:p w14:paraId="797EAB32" w14:textId="14331ECA" w:rsidR="001E0D76" w:rsidRDefault="4FA888C2" w:rsidP="07D5B37C">
      <w:pPr>
        <w:pStyle w:val="Heading4"/>
        <w:spacing w:before="0" w:line="276" w:lineRule="auto"/>
      </w:pPr>
      <w:r w:rsidRPr="07D5B37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3. CLDN18.2 CAR-T Companion Diagnostic (CDx) Cutoff Assessment</w:t>
      </w:r>
    </w:p>
    <w:p w14:paraId="4978A42D" w14:textId="52A32B1A" w:rsidR="001E0D76" w:rsidRDefault="001E0D76" w:rsidP="07D5B37C"/>
    <w:p w14:paraId="387D43D2" w14:textId="2D29F6D7" w:rsidR="001E0D76" w:rsidRDefault="4FA888C2" w:rsidP="07D5B37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b/>
          <w:bCs/>
          <w:sz w:val="22"/>
          <w:szCs w:val="22"/>
        </w:rPr>
        <w:t>Objective:</w:t>
      </w:r>
      <w:r w:rsidRPr="07D5B37C">
        <w:rPr>
          <w:rFonts w:ascii="Arial" w:eastAsia="Arial" w:hAnsi="Arial" w:cs="Arial"/>
          <w:sz w:val="22"/>
          <w:szCs w:val="22"/>
        </w:rPr>
        <w:t xml:space="preserve"> Establish a data-backed biomarker threshold strategy for CLDN18.2 to guide clinical trial patient selection.</w:t>
      </w:r>
    </w:p>
    <w:p w14:paraId="4A01014C" w14:textId="5504C9D0" w:rsidR="001E0D76" w:rsidRDefault="4FA888C2" w:rsidP="07D5B37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Actions Taken:</w:t>
      </w:r>
    </w:p>
    <w:p w14:paraId="6AB424CF" w14:textId="5505CA7C" w:rsidR="001E0D76" w:rsidRDefault="4FA888C2" w:rsidP="07D5B37C">
      <w:pPr>
        <w:pStyle w:val="ListParagraph"/>
        <w:numPr>
          <w:ilvl w:val="1"/>
          <w:numId w:val="3"/>
        </w:num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7D5B37C">
        <w:rPr>
          <w:rFonts w:ascii="Arial" w:eastAsia="Arial" w:hAnsi="Arial" w:cs="Arial"/>
          <w:sz w:val="22"/>
          <w:szCs w:val="22"/>
          <w:lang w:val="en"/>
        </w:rPr>
        <w:t xml:space="preserve">Led the computational and statistical assessment of companion diagnostic expression cutoffs for </w:t>
      </w: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CLDN18.2</w:t>
      </w:r>
      <w:r w:rsidRPr="07D5B37C">
        <w:rPr>
          <w:rFonts w:ascii="Arial" w:eastAsia="Arial" w:hAnsi="Arial" w:cs="Arial"/>
          <w:sz w:val="22"/>
          <w:szCs w:val="22"/>
          <w:lang w:val="en"/>
        </w:rPr>
        <w:t xml:space="preserve"> across clinical trial patient samples.</w:t>
      </w:r>
    </w:p>
    <w:p w14:paraId="70FE381D" w14:textId="150862F7" w:rsidR="001E0D76" w:rsidRDefault="4FA888C2" w:rsidP="07D5B37C">
      <w:pPr>
        <w:pStyle w:val="ListParagraph"/>
        <w:numPr>
          <w:ilvl w:val="1"/>
          <w:numId w:val="3"/>
        </w:num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7D5B37C">
        <w:rPr>
          <w:rFonts w:ascii="Arial" w:eastAsia="Arial" w:hAnsi="Arial" w:cs="Arial"/>
          <w:sz w:val="22"/>
          <w:szCs w:val="22"/>
          <w:lang w:val="en"/>
        </w:rPr>
        <w:t>Evaluated expression distribution matrices and paired IHC/clinical data to model therapeutic sensitivity windows and positivity thresholds.</w:t>
      </w:r>
    </w:p>
    <w:p w14:paraId="1156235D" w14:textId="0F12A9AD" w:rsidR="001E0D76" w:rsidRDefault="4FA888C2" w:rsidP="07D5B37C">
      <w:pPr>
        <w:pStyle w:val="ListParagraph"/>
        <w:numPr>
          <w:ilvl w:val="1"/>
          <w:numId w:val="3"/>
        </w:num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7D5B37C">
        <w:rPr>
          <w:rFonts w:ascii="Arial" w:eastAsia="Arial" w:hAnsi="Arial" w:cs="Arial"/>
          <w:sz w:val="22"/>
          <w:szCs w:val="22"/>
          <w:lang w:val="en"/>
        </w:rPr>
        <w:t>Partnered directly with Precision Medicine (PMED) leadership to present clear, decision-ready risk-benefit sensitivity profiles.</w:t>
      </w:r>
    </w:p>
    <w:p w14:paraId="4340429B" w14:textId="09ACBE96" w:rsidR="001E0D76" w:rsidRDefault="4FA888C2" w:rsidP="07D5B37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Key Results:</w:t>
      </w:r>
    </w:p>
    <w:p w14:paraId="4078BFC3" w14:textId="32327033" w:rsidR="001E0D76" w:rsidRDefault="44D8D68F" w:rsidP="07D5B37C">
      <w:pPr>
        <w:pStyle w:val="ListParagraph"/>
        <w:numPr>
          <w:ilvl w:val="1"/>
          <w:numId w:val="3"/>
        </w:numPr>
        <w:spacing w:after="0" w:line="276" w:lineRule="auto"/>
        <w:rPr>
          <w:rFonts w:ascii="Arial" w:eastAsia="Arial" w:hAnsi="Arial" w:cs="Arial"/>
          <w:color w:val="1F1F1F"/>
          <w:sz w:val="22"/>
          <w:szCs w:val="22"/>
        </w:rPr>
      </w:pPr>
      <w:r w:rsidRPr="07D5B37C">
        <w:rPr>
          <w:rFonts w:ascii="Arial" w:eastAsia="Arial" w:hAnsi="Arial" w:cs="Arial"/>
          <w:b/>
          <w:bCs/>
          <w:color w:val="1F1F1F"/>
          <w:sz w:val="22"/>
          <w:szCs w:val="22"/>
        </w:rPr>
        <w:t>Informed Clinical Decision-Making and Enrollment Strategy</w:t>
      </w:r>
      <w:r w:rsidRPr="07D5B37C">
        <w:rPr>
          <w:rFonts w:ascii="Arial" w:eastAsia="Arial" w:hAnsi="Arial" w:cs="Arial"/>
          <w:color w:val="1F1F1F"/>
          <w:sz w:val="22"/>
          <w:szCs w:val="22"/>
        </w:rPr>
        <w:t>: Delivered the analytical foundation used by Precision Medicine leadership to select the primary CLDN18.2 companion diagnostic (CDx) cutoff for clinical-trial eligibility.</w:t>
      </w:r>
    </w:p>
    <w:p w14:paraId="1CF33C86" w14:textId="54A8282D" w:rsidR="001E0D76" w:rsidRDefault="78B75A0C" w:rsidP="07D5B37C">
      <w:pPr>
        <w:pStyle w:val="ListParagraph"/>
        <w:numPr>
          <w:ilvl w:val="1"/>
          <w:numId w:val="3"/>
        </w:numPr>
        <w:spacing w:after="0" w:line="276" w:lineRule="auto"/>
        <w:rPr>
          <w:rFonts w:ascii="Arial" w:eastAsia="Arial" w:hAnsi="Arial" w:cs="Arial"/>
          <w:color w:val="1F1F1F"/>
          <w:sz w:val="22"/>
          <w:szCs w:val="22"/>
        </w:rPr>
      </w:pPr>
      <w:r w:rsidRPr="07D5B37C">
        <w:rPr>
          <w:rFonts w:ascii="Arial" w:eastAsia="Arial" w:hAnsi="Arial" w:cs="Arial"/>
          <w:b/>
          <w:bCs/>
          <w:color w:val="1F1F1F"/>
          <w:sz w:val="22"/>
          <w:szCs w:val="22"/>
        </w:rPr>
        <w:t>Optimized Inclusion Criteria:</w:t>
      </w:r>
      <w:r w:rsidRPr="07D5B37C">
        <w:rPr>
          <w:rFonts w:ascii="Arial" w:eastAsia="Arial" w:hAnsi="Arial" w:cs="Arial"/>
          <w:color w:val="1F1F1F"/>
          <w:sz w:val="22"/>
          <w:szCs w:val="22"/>
        </w:rPr>
        <w:t xml:space="preserve"> </w:t>
      </w:r>
      <w:r w:rsidR="09FD4779" w:rsidRPr="07D5B37C">
        <w:rPr>
          <w:rFonts w:ascii="Arial" w:eastAsia="Arial" w:hAnsi="Arial" w:cs="Arial"/>
          <w:color w:val="1F1F1F"/>
          <w:sz w:val="22"/>
          <w:szCs w:val="22"/>
        </w:rPr>
        <w:t>Recommended Cutoff B, which identified CLDN18.2 positivity in more than 54% of real-world GEC patients, supporting broader patient inclusion for the CLDN18.2 CAR-T trial while maintaining a data-driven framework for evaluating more stringent CDx thresholds.</w:t>
      </w:r>
    </w:p>
    <w:p w14:paraId="04B70DB2" w14:textId="0ABAAF00" w:rsidR="001E0D76" w:rsidRDefault="001E0D76" w:rsidP="07D5B37C">
      <w:pPr>
        <w:pStyle w:val="ListParagraph"/>
        <w:numPr>
          <w:ilvl w:val="1"/>
          <w:numId w:val="3"/>
        </w:numPr>
        <w:spacing w:after="0" w:line="276" w:lineRule="auto"/>
        <w:rPr>
          <w:rFonts w:ascii="Arial" w:eastAsia="Arial" w:hAnsi="Arial" w:cs="Arial"/>
          <w:color w:val="1F1F1F"/>
          <w:sz w:val="22"/>
          <w:szCs w:val="22"/>
        </w:rPr>
      </w:pPr>
    </w:p>
    <w:p w14:paraId="76ECE22D" w14:textId="29F0B99C" w:rsidR="001E0D76" w:rsidRDefault="001E0D76" w:rsidP="07D5B37C">
      <w:pPr>
        <w:pStyle w:val="ListParagraph"/>
        <w:spacing w:after="0" w:line="276" w:lineRule="auto"/>
        <w:ind w:left="1440" w:hanging="360"/>
        <w:rPr>
          <w:rFonts w:ascii="Arial" w:eastAsia="Arial" w:hAnsi="Arial" w:cs="Arial"/>
          <w:color w:val="1F1F1F"/>
          <w:sz w:val="22"/>
          <w:szCs w:val="22"/>
        </w:rPr>
      </w:pPr>
    </w:p>
    <w:p w14:paraId="56709206" w14:textId="01841FD2" w:rsidR="001E0D76" w:rsidRDefault="4FA888C2" w:rsidP="07D5B37C">
      <w:pPr>
        <w:pStyle w:val="Heading4"/>
        <w:spacing w:before="0" w:line="276" w:lineRule="auto"/>
      </w:pPr>
      <w:r w:rsidRPr="07D5B37C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4. Armoring Strategy for CAR-T — Prostate Cancer</w:t>
      </w:r>
    </w:p>
    <w:p w14:paraId="2CEC862A" w14:textId="07E3DE2A" w:rsidR="001E0D76" w:rsidRDefault="001E0D76" w:rsidP="07D5B37C">
      <w:pPr>
        <w:rPr>
          <w:lang w:val="en"/>
        </w:rPr>
      </w:pPr>
    </w:p>
    <w:p w14:paraId="7F89463B" w14:textId="66DB5C2E" w:rsidR="001E0D76" w:rsidRDefault="4FA888C2" w:rsidP="07D5B37C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b/>
          <w:bCs/>
          <w:sz w:val="22"/>
          <w:szCs w:val="22"/>
        </w:rPr>
        <w:t>Objective:</w:t>
      </w:r>
      <w:r w:rsidRPr="07D5B37C">
        <w:rPr>
          <w:rFonts w:ascii="Arial" w:eastAsia="Arial" w:hAnsi="Arial" w:cs="Arial"/>
          <w:sz w:val="22"/>
          <w:szCs w:val="22"/>
        </w:rPr>
        <w:t xml:space="preserve"> Characterize the tumor microenvironment (TME) and tumor-infiltrating lymphocyte (TIL) landscape to identify high-rationale armoring strategies for solid tumor CAR-T programs.</w:t>
      </w:r>
    </w:p>
    <w:p w14:paraId="5FF46DFB" w14:textId="40051786" w:rsidR="001E0D76" w:rsidRDefault="4FA888C2" w:rsidP="07D5B37C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Actions Taken:</w:t>
      </w:r>
    </w:p>
    <w:p w14:paraId="222B2246" w14:textId="7FEF2DDB" w:rsidR="001E0D76" w:rsidRDefault="6B8406C8" w:rsidP="07D5B37C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sz w:val="22"/>
          <w:szCs w:val="22"/>
        </w:rPr>
        <w:t>Analyze</w:t>
      </w:r>
      <w:r w:rsidR="4FA888C2" w:rsidRPr="07D5B37C">
        <w:rPr>
          <w:rFonts w:ascii="Arial" w:eastAsia="Arial" w:hAnsi="Arial" w:cs="Arial"/>
          <w:sz w:val="22"/>
          <w:szCs w:val="22"/>
        </w:rPr>
        <w:t xml:space="preserve"> TME and TIL expression profiles across </w:t>
      </w:r>
      <w:r w:rsidR="029570A0" w:rsidRPr="07D5B37C">
        <w:rPr>
          <w:rFonts w:ascii="Arial" w:eastAsia="Arial" w:hAnsi="Arial" w:cs="Arial"/>
          <w:b/>
          <w:bCs/>
          <w:sz w:val="22"/>
          <w:szCs w:val="22"/>
        </w:rPr>
        <w:t xml:space="preserve">PRAD </w:t>
      </w:r>
      <w:r w:rsidR="4FA888C2" w:rsidRPr="07D5B37C">
        <w:rPr>
          <w:rFonts w:ascii="Arial" w:eastAsia="Arial" w:hAnsi="Arial" w:cs="Arial"/>
          <w:b/>
          <w:bCs/>
          <w:sz w:val="22"/>
          <w:szCs w:val="22"/>
        </w:rPr>
        <w:t>and CRC dataset</w:t>
      </w:r>
      <w:r w:rsidR="5C421CF1" w:rsidRPr="07D5B37C">
        <w:rPr>
          <w:rFonts w:ascii="Arial" w:eastAsia="Arial" w:hAnsi="Arial" w:cs="Arial"/>
          <w:b/>
          <w:bCs/>
          <w:sz w:val="22"/>
          <w:szCs w:val="22"/>
        </w:rPr>
        <w:t>s</w:t>
      </w:r>
      <w:r w:rsidR="4FA888C2" w:rsidRPr="07D5B37C">
        <w:rPr>
          <w:rFonts w:ascii="Arial" w:eastAsia="Arial" w:hAnsi="Arial" w:cs="Arial"/>
          <w:sz w:val="22"/>
          <w:szCs w:val="22"/>
        </w:rPr>
        <w:t xml:space="preserve"> to map immunosuppressive barriers and receptor signaling status.</w:t>
      </w:r>
    </w:p>
    <w:p w14:paraId="546E392E" w14:textId="4E9EC1D9" w:rsidR="001E0D76" w:rsidRDefault="4FA888C2" w:rsidP="07D5B37C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sz w:val="22"/>
          <w:szCs w:val="22"/>
        </w:rPr>
        <w:t xml:space="preserve">Discovered a distinct "signaling starvation" state: TILs in both PC and CRC tumors retain high receptor density and intact intracellular signaling machinery for </w:t>
      </w:r>
      <w:r w:rsidRPr="07D5B37C">
        <w:rPr>
          <w:rFonts w:ascii="Arial" w:eastAsia="Arial" w:hAnsi="Arial" w:cs="Arial"/>
          <w:b/>
          <w:bCs/>
          <w:sz w:val="22"/>
          <w:szCs w:val="22"/>
        </w:rPr>
        <w:t>IL-7</w:t>
      </w:r>
      <w:r w:rsidRPr="07D5B37C">
        <w:rPr>
          <w:rFonts w:ascii="Arial" w:eastAsia="Arial" w:hAnsi="Arial" w:cs="Arial"/>
          <w:sz w:val="22"/>
          <w:szCs w:val="22"/>
        </w:rPr>
        <w:t xml:space="preserve"> and </w:t>
      </w:r>
      <w:r w:rsidRPr="07D5B37C">
        <w:rPr>
          <w:rFonts w:ascii="Arial" w:eastAsia="Arial" w:hAnsi="Arial" w:cs="Arial"/>
          <w:b/>
          <w:bCs/>
          <w:sz w:val="22"/>
          <w:szCs w:val="22"/>
        </w:rPr>
        <w:t>IL-15</w:t>
      </w:r>
      <w:r w:rsidRPr="07D5B37C">
        <w:rPr>
          <w:rFonts w:ascii="Arial" w:eastAsia="Arial" w:hAnsi="Arial" w:cs="Arial"/>
          <w:sz w:val="22"/>
          <w:szCs w:val="22"/>
        </w:rPr>
        <w:t>, despite operating in a ligand-depleted TME.</w:t>
      </w:r>
    </w:p>
    <w:p w14:paraId="72D1F964" w14:textId="186E6A02" w:rsidR="001E0D76" w:rsidRDefault="4FA888C2" w:rsidP="07D5B37C">
      <w:pPr>
        <w:pStyle w:val="ListParagraph"/>
        <w:numPr>
          <w:ilvl w:val="1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sz w:val="22"/>
          <w:szCs w:val="22"/>
        </w:rPr>
        <w:t xml:space="preserve">Profiled effector cell populations to show that </w:t>
      </w:r>
      <w:r w:rsidRPr="07D5B37C">
        <w:rPr>
          <w:rFonts w:ascii="Arial" w:eastAsia="Arial" w:hAnsi="Arial" w:cs="Arial"/>
          <w:b/>
          <w:bCs/>
          <w:sz w:val="22"/>
          <w:szCs w:val="22"/>
        </w:rPr>
        <w:t>IL-21R</w:t>
      </w:r>
      <w:r w:rsidRPr="07D5B37C">
        <w:rPr>
          <w:rFonts w:ascii="Arial" w:eastAsia="Arial" w:hAnsi="Arial" w:cs="Arial"/>
          <w:sz w:val="22"/>
          <w:szCs w:val="22"/>
        </w:rPr>
        <w:t xml:space="preserve"> remains expressed on CD8+ effector cells, demonstrating preserved responsiveness to IL-21 signaling.</w:t>
      </w:r>
    </w:p>
    <w:p w14:paraId="2F947CC1" w14:textId="492F99BC" w:rsidR="001E0D76" w:rsidRDefault="4FA888C2" w:rsidP="07D5B37C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Key Results:</w:t>
      </w:r>
    </w:p>
    <w:p w14:paraId="0A2DF805" w14:textId="39B3AC8B" w:rsidR="001E0D76" w:rsidRDefault="253F3D68" w:rsidP="07D5B37C">
      <w:pPr>
        <w:pStyle w:val="ListParagraph"/>
        <w:numPr>
          <w:ilvl w:val="1"/>
          <w:numId w:val="2"/>
        </w:numPr>
        <w:spacing w:after="0" w:line="276" w:lineRule="auto"/>
      </w:pPr>
      <w:r w:rsidRPr="07D5B37C">
        <w:rPr>
          <w:rFonts w:ascii="Arial" w:eastAsia="Arial" w:hAnsi="Arial" w:cs="Arial"/>
          <w:sz w:val="22"/>
          <w:szCs w:val="22"/>
        </w:rPr>
        <w:t>Developed a Cytokine-Armoring Framework: Established a computational framework to evaluate the potential relevance of IL-7, IL-15, and IL-21 signaling pathways for supporting CAR-T persistence, fitness, and function.</w:t>
      </w:r>
    </w:p>
    <w:p w14:paraId="72E0FD98" w14:textId="61D62B6C" w:rsidR="001E0D76" w:rsidRDefault="253F3D68" w:rsidP="07D5B37C">
      <w:pPr>
        <w:pStyle w:val="ListParagraph"/>
        <w:numPr>
          <w:ilvl w:val="1"/>
          <w:numId w:val="2"/>
        </w:numPr>
        <w:spacing w:after="0" w:line="276" w:lineRule="auto"/>
      </w:pPr>
      <w:r>
        <w:t xml:space="preserve">Enabled Preclinical Translation: Prioritized cytokine-receptor co-expression profiling as a key analysis for guiding and validating armoring strategies in </w:t>
      </w:r>
      <w:r w:rsidR="7C82E9D3">
        <w:t>preclinical</w:t>
      </w:r>
      <w:r>
        <w:t xml:space="preserve"> models.</w:t>
      </w:r>
    </w:p>
    <w:p w14:paraId="6536174A" w14:textId="4897A372" w:rsidR="001E0D76" w:rsidRDefault="253F3D68" w:rsidP="07D5B37C">
      <w:pPr>
        <w:pStyle w:val="ListParagraph"/>
        <w:numPr>
          <w:ilvl w:val="1"/>
          <w:numId w:val="2"/>
        </w:numPr>
      </w:pPr>
      <w:r>
        <w:lastRenderedPageBreak/>
        <w:t>Improved Reproducibility and Cross-Program Deployment: Standardized T-cell exhaustion and cytokine-receptor signaling analyses in Code Ocean to support reproducible application across additional solid-tumor CAR-T programs.</w:t>
      </w:r>
    </w:p>
    <w:p w14:paraId="3DDFF6E1" w14:textId="465D9418" w:rsidR="001E0D76" w:rsidRDefault="001E0D76" w:rsidP="07D5B37C">
      <w:pPr>
        <w:pStyle w:val="ListParagraph"/>
        <w:spacing w:after="0" w:line="276" w:lineRule="auto"/>
        <w:ind w:left="1440" w:hanging="360"/>
        <w:rPr>
          <w:rFonts w:ascii="Arial" w:eastAsia="Arial" w:hAnsi="Arial" w:cs="Arial"/>
          <w:sz w:val="22"/>
          <w:szCs w:val="22"/>
        </w:rPr>
      </w:pPr>
    </w:p>
    <w:p w14:paraId="5612CC60" w14:textId="7733A6C7" w:rsidR="001E0D76" w:rsidRDefault="4FA888C2" w:rsidP="07D5B37C">
      <w:pPr>
        <w:pStyle w:val="Heading4"/>
        <w:spacing w:before="0" w:line="276" w:lineRule="auto"/>
      </w:pPr>
      <w:r w:rsidRPr="07D5B37C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5. Enhancing Bioinformatics Manuscript — PTPN2</w:t>
      </w:r>
    </w:p>
    <w:p w14:paraId="3EACA8EF" w14:textId="3B36DDBA" w:rsidR="001E0D76" w:rsidRDefault="001E0D76" w:rsidP="07D5B37C">
      <w:pPr>
        <w:rPr>
          <w:lang w:val="en"/>
        </w:rPr>
      </w:pPr>
    </w:p>
    <w:p w14:paraId="3D33352C" w14:textId="7F507828" w:rsidR="001E0D76" w:rsidRDefault="4FA888C2" w:rsidP="07D5B37C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Objective:</w:t>
      </w:r>
      <w:r w:rsidRPr="07D5B37C">
        <w:rPr>
          <w:rFonts w:ascii="Arial" w:eastAsia="Arial" w:hAnsi="Arial" w:cs="Arial"/>
          <w:sz w:val="22"/>
          <w:szCs w:val="22"/>
          <w:lang w:val="en"/>
        </w:rPr>
        <w:t xml:space="preserve"> Elevate the bioinformatic rigor and scientific documentation for foundational target biology research on PTPN2.</w:t>
      </w:r>
    </w:p>
    <w:p w14:paraId="7C54F6C5" w14:textId="53AE6E45" w:rsidR="001E0D76" w:rsidRDefault="4FA888C2" w:rsidP="07D5B37C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Actions Taken:</w:t>
      </w:r>
    </w:p>
    <w:p w14:paraId="38A36B9B" w14:textId="739E1FC9" w:rsidR="001E0D76" w:rsidRDefault="4FA888C2" w:rsidP="07D5B37C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  <w:lang w:val="en"/>
        </w:rPr>
      </w:pPr>
      <w:r w:rsidRPr="07D5B37C">
        <w:rPr>
          <w:rFonts w:ascii="Arial" w:eastAsia="Arial" w:hAnsi="Arial" w:cs="Arial"/>
          <w:sz w:val="22"/>
          <w:szCs w:val="22"/>
          <w:lang w:val="en"/>
        </w:rPr>
        <w:t>Executed enhanced multi-omic, regulatory, and pathway enrichment analyses investigating PTPN2 signaling networks.</w:t>
      </w:r>
    </w:p>
    <w:p w14:paraId="7F6144AE" w14:textId="59ADE88B" w:rsidR="001E0D76" w:rsidRDefault="4FA888C2" w:rsidP="07D5B37C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sz w:val="22"/>
          <w:szCs w:val="22"/>
        </w:rPr>
        <w:t>Developed publication-ready figures and validated underlying computational code to guarantee full analytical reproducibility.</w:t>
      </w:r>
    </w:p>
    <w:p w14:paraId="30DDFC11" w14:textId="0F5CD30C" w:rsidR="001E0D76" w:rsidRDefault="4FA888C2" w:rsidP="07D5B37C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rial" w:hAnsi="Arial" w:cs="Arial"/>
          <w:b/>
          <w:bCs/>
          <w:sz w:val="22"/>
          <w:szCs w:val="22"/>
          <w:lang w:val="en"/>
        </w:rPr>
      </w:pPr>
      <w:r w:rsidRPr="07D5B37C">
        <w:rPr>
          <w:rFonts w:ascii="Arial" w:eastAsia="Arial" w:hAnsi="Arial" w:cs="Arial"/>
          <w:b/>
          <w:bCs/>
          <w:sz w:val="22"/>
          <w:szCs w:val="22"/>
          <w:lang w:val="en"/>
        </w:rPr>
        <w:t>Key Results:</w:t>
      </w:r>
    </w:p>
    <w:p w14:paraId="058FC7EA" w14:textId="5A2E3F55" w:rsidR="001E0D76" w:rsidRDefault="4FA888C2" w:rsidP="07D5B37C">
      <w:pPr>
        <w:pStyle w:val="ListParagraph"/>
        <w:numPr>
          <w:ilvl w:val="1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7D5B37C">
        <w:rPr>
          <w:rFonts w:ascii="Arial" w:eastAsia="Arial" w:hAnsi="Arial" w:cs="Arial"/>
          <w:b/>
          <w:bCs/>
          <w:sz w:val="22"/>
          <w:szCs w:val="22"/>
        </w:rPr>
        <w:t>Advanced Toward Publication:</w:t>
      </w:r>
      <w:r w:rsidRPr="07D5B37C">
        <w:rPr>
          <w:rFonts w:ascii="Arial" w:eastAsia="Arial" w:hAnsi="Arial" w:cs="Arial"/>
          <w:sz w:val="22"/>
          <w:szCs w:val="22"/>
        </w:rPr>
        <w:t xml:space="preserve"> Completed the enhanced bioinformatic package and successfully submitted the manuscript for </w:t>
      </w:r>
      <w:r w:rsidRPr="07D5B37C">
        <w:rPr>
          <w:rFonts w:ascii="Arial" w:eastAsia="Arial" w:hAnsi="Arial" w:cs="Arial"/>
          <w:b/>
          <w:bCs/>
          <w:sz w:val="22"/>
          <w:szCs w:val="22"/>
        </w:rPr>
        <w:t>internal review</w:t>
      </w:r>
      <w:r w:rsidRPr="07D5B37C">
        <w:rPr>
          <w:rFonts w:ascii="Arial" w:eastAsia="Arial" w:hAnsi="Arial" w:cs="Arial"/>
          <w:sz w:val="22"/>
          <w:szCs w:val="22"/>
        </w:rPr>
        <w:t xml:space="preserve">, clearing the path for external submission to the </w:t>
      </w:r>
      <w:r w:rsidRPr="07D5B37C">
        <w:rPr>
          <w:rFonts w:ascii="Arial" w:eastAsia="Arial" w:hAnsi="Arial" w:cs="Arial"/>
          <w:i/>
          <w:iCs/>
          <w:sz w:val="22"/>
          <w:szCs w:val="22"/>
        </w:rPr>
        <w:t>Journal for ImmunoTherapy of Cancer</w:t>
      </w:r>
      <w:r w:rsidRPr="07D5B37C">
        <w:rPr>
          <w:rFonts w:ascii="Arial" w:eastAsia="Arial" w:hAnsi="Arial" w:cs="Arial"/>
          <w:sz w:val="22"/>
          <w:szCs w:val="22"/>
        </w:rPr>
        <w:t xml:space="preserve"> (JITC).</w:t>
      </w:r>
      <w:r w:rsidR="006C14CD">
        <w:br/>
      </w:r>
      <w:r w:rsidR="006C14CD">
        <w:br/>
      </w:r>
    </w:p>
    <w:p w14:paraId="2C078E63" w14:textId="62063C18" w:rsidR="001E0D76" w:rsidRDefault="001E0D76"/>
    <w:sectPr w:rsidR="001E0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8D301C"/>
    <w:multiLevelType w:val="hybridMultilevel"/>
    <w:tmpl w:val="CD56D0CE"/>
    <w:lvl w:ilvl="0" w:tplc="1598EAB8">
      <w:start w:val="1"/>
      <w:numFmt w:val="decimal"/>
      <w:lvlText w:val="●"/>
      <w:lvlJc w:val="left"/>
      <w:pPr>
        <w:ind w:left="720" w:hanging="360"/>
      </w:pPr>
    </w:lvl>
    <w:lvl w:ilvl="1" w:tplc="5DFCFFC6">
      <w:start w:val="1"/>
      <w:numFmt w:val="decimal"/>
      <w:lvlText w:val="○"/>
      <w:lvlJc w:val="left"/>
      <w:pPr>
        <w:ind w:left="1440" w:hanging="360"/>
      </w:pPr>
    </w:lvl>
    <w:lvl w:ilvl="2" w:tplc="172A207E">
      <w:start w:val="1"/>
      <w:numFmt w:val="lowerRoman"/>
      <w:lvlText w:val="%3."/>
      <w:lvlJc w:val="right"/>
      <w:pPr>
        <w:ind w:left="2160" w:hanging="180"/>
      </w:pPr>
    </w:lvl>
    <w:lvl w:ilvl="3" w:tplc="EE8C1854">
      <w:start w:val="1"/>
      <w:numFmt w:val="decimal"/>
      <w:lvlText w:val="%4."/>
      <w:lvlJc w:val="left"/>
      <w:pPr>
        <w:ind w:left="2880" w:hanging="360"/>
      </w:pPr>
    </w:lvl>
    <w:lvl w:ilvl="4" w:tplc="B832C878">
      <w:start w:val="1"/>
      <w:numFmt w:val="lowerLetter"/>
      <w:lvlText w:val="%5."/>
      <w:lvlJc w:val="left"/>
      <w:pPr>
        <w:ind w:left="3600" w:hanging="360"/>
      </w:pPr>
    </w:lvl>
    <w:lvl w:ilvl="5" w:tplc="2572F71C">
      <w:start w:val="1"/>
      <w:numFmt w:val="lowerRoman"/>
      <w:lvlText w:val="%6."/>
      <w:lvlJc w:val="right"/>
      <w:pPr>
        <w:ind w:left="4320" w:hanging="180"/>
      </w:pPr>
    </w:lvl>
    <w:lvl w:ilvl="6" w:tplc="99BAFFB0">
      <w:start w:val="1"/>
      <w:numFmt w:val="decimal"/>
      <w:lvlText w:val="%7."/>
      <w:lvlJc w:val="left"/>
      <w:pPr>
        <w:ind w:left="5040" w:hanging="360"/>
      </w:pPr>
    </w:lvl>
    <w:lvl w:ilvl="7" w:tplc="A52E3D9C">
      <w:start w:val="1"/>
      <w:numFmt w:val="lowerLetter"/>
      <w:lvlText w:val="%8."/>
      <w:lvlJc w:val="left"/>
      <w:pPr>
        <w:ind w:left="5760" w:hanging="360"/>
      </w:pPr>
    </w:lvl>
    <w:lvl w:ilvl="8" w:tplc="F0E651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40D0C"/>
    <w:multiLevelType w:val="hybridMultilevel"/>
    <w:tmpl w:val="BE3E0292"/>
    <w:lvl w:ilvl="0" w:tplc="D1F2AE48">
      <w:start w:val="1"/>
      <w:numFmt w:val="decimal"/>
      <w:lvlText w:val="●"/>
      <w:lvlJc w:val="left"/>
      <w:pPr>
        <w:ind w:left="720" w:hanging="360"/>
      </w:pPr>
    </w:lvl>
    <w:lvl w:ilvl="1" w:tplc="8B3043F6">
      <w:start w:val="1"/>
      <w:numFmt w:val="decimal"/>
      <w:lvlText w:val="○"/>
      <w:lvlJc w:val="left"/>
      <w:pPr>
        <w:ind w:left="1440" w:hanging="360"/>
      </w:pPr>
    </w:lvl>
    <w:lvl w:ilvl="2" w:tplc="A168996E">
      <w:start w:val="1"/>
      <w:numFmt w:val="lowerRoman"/>
      <w:lvlText w:val="%3."/>
      <w:lvlJc w:val="right"/>
      <w:pPr>
        <w:ind w:left="2160" w:hanging="180"/>
      </w:pPr>
    </w:lvl>
    <w:lvl w:ilvl="3" w:tplc="88688112">
      <w:start w:val="1"/>
      <w:numFmt w:val="decimal"/>
      <w:lvlText w:val="%4."/>
      <w:lvlJc w:val="left"/>
      <w:pPr>
        <w:ind w:left="2880" w:hanging="360"/>
      </w:pPr>
    </w:lvl>
    <w:lvl w:ilvl="4" w:tplc="F7A04D64">
      <w:start w:val="1"/>
      <w:numFmt w:val="lowerLetter"/>
      <w:lvlText w:val="%5."/>
      <w:lvlJc w:val="left"/>
      <w:pPr>
        <w:ind w:left="3600" w:hanging="360"/>
      </w:pPr>
    </w:lvl>
    <w:lvl w:ilvl="5" w:tplc="8A4AA66E">
      <w:start w:val="1"/>
      <w:numFmt w:val="lowerRoman"/>
      <w:lvlText w:val="%6."/>
      <w:lvlJc w:val="right"/>
      <w:pPr>
        <w:ind w:left="4320" w:hanging="180"/>
      </w:pPr>
    </w:lvl>
    <w:lvl w:ilvl="6" w:tplc="3FC4BE92">
      <w:start w:val="1"/>
      <w:numFmt w:val="decimal"/>
      <w:lvlText w:val="%7."/>
      <w:lvlJc w:val="left"/>
      <w:pPr>
        <w:ind w:left="5040" w:hanging="360"/>
      </w:pPr>
    </w:lvl>
    <w:lvl w:ilvl="7" w:tplc="9176F356">
      <w:start w:val="1"/>
      <w:numFmt w:val="lowerLetter"/>
      <w:lvlText w:val="%8."/>
      <w:lvlJc w:val="left"/>
      <w:pPr>
        <w:ind w:left="5760" w:hanging="360"/>
      </w:pPr>
    </w:lvl>
    <w:lvl w:ilvl="8" w:tplc="B30EB9B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DE9DC"/>
    <w:multiLevelType w:val="hybridMultilevel"/>
    <w:tmpl w:val="C94ACCEA"/>
    <w:lvl w:ilvl="0" w:tplc="BD7E2DAE">
      <w:start w:val="1"/>
      <w:numFmt w:val="decimal"/>
      <w:lvlText w:val="%1."/>
      <w:lvlJc w:val="left"/>
      <w:pPr>
        <w:ind w:left="720" w:hanging="360"/>
      </w:pPr>
    </w:lvl>
    <w:lvl w:ilvl="1" w:tplc="D248CE5A">
      <w:start w:val="1"/>
      <w:numFmt w:val="lowerLetter"/>
      <w:lvlText w:val="%2."/>
      <w:lvlJc w:val="left"/>
      <w:pPr>
        <w:ind w:left="1440" w:hanging="360"/>
      </w:pPr>
    </w:lvl>
    <w:lvl w:ilvl="2" w:tplc="EAFEA098">
      <w:start w:val="1"/>
      <w:numFmt w:val="lowerRoman"/>
      <w:lvlText w:val="%3."/>
      <w:lvlJc w:val="right"/>
      <w:pPr>
        <w:ind w:left="2160" w:hanging="180"/>
      </w:pPr>
    </w:lvl>
    <w:lvl w:ilvl="3" w:tplc="9788E960">
      <w:start w:val="1"/>
      <w:numFmt w:val="decimal"/>
      <w:lvlText w:val="%4."/>
      <w:lvlJc w:val="left"/>
      <w:pPr>
        <w:ind w:left="2880" w:hanging="360"/>
      </w:pPr>
    </w:lvl>
    <w:lvl w:ilvl="4" w:tplc="866693F2">
      <w:start w:val="1"/>
      <w:numFmt w:val="lowerLetter"/>
      <w:lvlText w:val="%5."/>
      <w:lvlJc w:val="left"/>
      <w:pPr>
        <w:ind w:left="3600" w:hanging="360"/>
      </w:pPr>
    </w:lvl>
    <w:lvl w:ilvl="5" w:tplc="20408210">
      <w:start w:val="1"/>
      <w:numFmt w:val="lowerRoman"/>
      <w:lvlText w:val="%6."/>
      <w:lvlJc w:val="right"/>
      <w:pPr>
        <w:ind w:left="4320" w:hanging="180"/>
      </w:pPr>
    </w:lvl>
    <w:lvl w:ilvl="6" w:tplc="0152182C">
      <w:start w:val="1"/>
      <w:numFmt w:val="decimal"/>
      <w:lvlText w:val="%7."/>
      <w:lvlJc w:val="left"/>
      <w:pPr>
        <w:ind w:left="5040" w:hanging="360"/>
      </w:pPr>
    </w:lvl>
    <w:lvl w:ilvl="7" w:tplc="D4A8D9A8">
      <w:start w:val="1"/>
      <w:numFmt w:val="lowerLetter"/>
      <w:lvlText w:val="%8."/>
      <w:lvlJc w:val="left"/>
      <w:pPr>
        <w:ind w:left="5760" w:hanging="360"/>
      </w:pPr>
    </w:lvl>
    <w:lvl w:ilvl="8" w:tplc="7AFEFC9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141AC"/>
    <w:multiLevelType w:val="hybridMultilevel"/>
    <w:tmpl w:val="9CD2C5D2"/>
    <w:lvl w:ilvl="0" w:tplc="7F1A7976">
      <w:start w:val="1"/>
      <w:numFmt w:val="decimal"/>
      <w:lvlText w:val="●"/>
      <w:lvlJc w:val="left"/>
      <w:pPr>
        <w:ind w:left="720" w:hanging="360"/>
      </w:pPr>
    </w:lvl>
    <w:lvl w:ilvl="1" w:tplc="33C8D1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849024">
      <w:start w:val="1"/>
      <w:numFmt w:val="lowerRoman"/>
      <w:lvlText w:val="%3."/>
      <w:lvlJc w:val="right"/>
      <w:pPr>
        <w:ind w:left="2160" w:hanging="180"/>
      </w:pPr>
    </w:lvl>
    <w:lvl w:ilvl="3" w:tplc="295E4B90">
      <w:start w:val="1"/>
      <w:numFmt w:val="decimal"/>
      <w:lvlText w:val="%4."/>
      <w:lvlJc w:val="left"/>
      <w:pPr>
        <w:ind w:left="2880" w:hanging="360"/>
      </w:pPr>
    </w:lvl>
    <w:lvl w:ilvl="4" w:tplc="374E0BE2">
      <w:start w:val="1"/>
      <w:numFmt w:val="lowerLetter"/>
      <w:lvlText w:val="%5."/>
      <w:lvlJc w:val="left"/>
      <w:pPr>
        <w:ind w:left="3600" w:hanging="360"/>
      </w:pPr>
    </w:lvl>
    <w:lvl w:ilvl="5" w:tplc="32C62E2C">
      <w:start w:val="1"/>
      <w:numFmt w:val="lowerRoman"/>
      <w:lvlText w:val="%6."/>
      <w:lvlJc w:val="right"/>
      <w:pPr>
        <w:ind w:left="4320" w:hanging="180"/>
      </w:pPr>
    </w:lvl>
    <w:lvl w:ilvl="6" w:tplc="D84A4AC8">
      <w:start w:val="1"/>
      <w:numFmt w:val="decimal"/>
      <w:lvlText w:val="%7."/>
      <w:lvlJc w:val="left"/>
      <w:pPr>
        <w:ind w:left="5040" w:hanging="360"/>
      </w:pPr>
    </w:lvl>
    <w:lvl w:ilvl="7" w:tplc="3CE8F452">
      <w:start w:val="1"/>
      <w:numFmt w:val="lowerLetter"/>
      <w:lvlText w:val="%8."/>
      <w:lvlJc w:val="left"/>
      <w:pPr>
        <w:ind w:left="5760" w:hanging="360"/>
      </w:pPr>
    </w:lvl>
    <w:lvl w:ilvl="8" w:tplc="956A9FC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B8AC2"/>
    <w:multiLevelType w:val="hybridMultilevel"/>
    <w:tmpl w:val="CB703F46"/>
    <w:lvl w:ilvl="0" w:tplc="ACE0C0CA">
      <w:start w:val="1"/>
      <w:numFmt w:val="decimal"/>
      <w:lvlText w:val="●"/>
      <w:lvlJc w:val="left"/>
      <w:pPr>
        <w:ind w:left="720" w:hanging="360"/>
      </w:pPr>
    </w:lvl>
    <w:lvl w:ilvl="1" w:tplc="B4188DB4">
      <w:start w:val="1"/>
      <w:numFmt w:val="decimal"/>
      <w:lvlText w:val="○"/>
      <w:lvlJc w:val="left"/>
      <w:pPr>
        <w:ind w:left="1440" w:hanging="360"/>
      </w:pPr>
    </w:lvl>
    <w:lvl w:ilvl="2" w:tplc="DDAE0352">
      <w:start w:val="1"/>
      <w:numFmt w:val="lowerRoman"/>
      <w:lvlText w:val="%3."/>
      <w:lvlJc w:val="right"/>
      <w:pPr>
        <w:ind w:left="2160" w:hanging="180"/>
      </w:pPr>
    </w:lvl>
    <w:lvl w:ilvl="3" w:tplc="D1A42B3A">
      <w:start w:val="1"/>
      <w:numFmt w:val="decimal"/>
      <w:lvlText w:val="%4."/>
      <w:lvlJc w:val="left"/>
      <w:pPr>
        <w:ind w:left="2880" w:hanging="360"/>
      </w:pPr>
    </w:lvl>
    <w:lvl w:ilvl="4" w:tplc="C030672A">
      <w:start w:val="1"/>
      <w:numFmt w:val="lowerLetter"/>
      <w:lvlText w:val="%5."/>
      <w:lvlJc w:val="left"/>
      <w:pPr>
        <w:ind w:left="3600" w:hanging="360"/>
      </w:pPr>
    </w:lvl>
    <w:lvl w:ilvl="5" w:tplc="2AE87214">
      <w:start w:val="1"/>
      <w:numFmt w:val="lowerRoman"/>
      <w:lvlText w:val="%6."/>
      <w:lvlJc w:val="right"/>
      <w:pPr>
        <w:ind w:left="4320" w:hanging="180"/>
      </w:pPr>
    </w:lvl>
    <w:lvl w:ilvl="6" w:tplc="D5F0F756">
      <w:start w:val="1"/>
      <w:numFmt w:val="decimal"/>
      <w:lvlText w:val="%7."/>
      <w:lvlJc w:val="left"/>
      <w:pPr>
        <w:ind w:left="5040" w:hanging="360"/>
      </w:pPr>
    </w:lvl>
    <w:lvl w:ilvl="7" w:tplc="4B0EC4A0">
      <w:start w:val="1"/>
      <w:numFmt w:val="lowerLetter"/>
      <w:lvlText w:val="%8."/>
      <w:lvlJc w:val="left"/>
      <w:pPr>
        <w:ind w:left="5760" w:hanging="360"/>
      </w:pPr>
    </w:lvl>
    <w:lvl w:ilvl="8" w:tplc="A87AC70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D20D38"/>
    <w:multiLevelType w:val="hybridMultilevel"/>
    <w:tmpl w:val="C42E9A3A"/>
    <w:lvl w:ilvl="0" w:tplc="230AA000">
      <w:start w:val="1"/>
      <w:numFmt w:val="decimal"/>
      <w:lvlText w:val="●"/>
      <w:lvlJc w:val="left"/>
      <w:pPr>
        <w:ind w:left="720" w:hanging="360"/>
      </w:pPr>
    </w:lvl>
    <w:lvl w:ilvl="1" w:tplc="CCEAD3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663A6">
      <w:start w:val="1"/>
      <w:numFmt w:val="lowerRoman"/>
      <w:lvlText w:val="%3."/>
      <w:lvlJc w:val="right"/>
      <w:pPr>
        <w:ind w:left="2160" w:hanging="180"/>
      </w:pPr>
    </w:lvl>
    <w:lvl w:ilvl="3" w:tplc="31784810">
      <w:start w:val="1"/>
      <w:numFmt w:val="decimal"/>
      <w:lvlText w:val="%4."/>
      <w:lvlJc w:val="left"/>
      <w:pPr>
        <w:ind w:left="2880" w:hanging="360"/>
      </w:pPr>
    </w:lvl>
    <w:lvl w:ilvl="4" w:tplc="2530105C">
      <w:start w:val="1"/>
      <w:numFmt w:val="lowerLetter"/>
      <w:lvlText w:val="%5."/>
      <w:lvlJc w:val="left"/>
      <w:pPr>
        <w:ind w:left="3600" w:hanging="360"/>
      </w:pPr>
    </w:lvl>
    <w:lvl w:ilvl="5" w:tplc="E1E25E38">
      <w:start w:val="1"/>
      <w:numFmt w:val="lowerRoman"/>
      <w:lvlText w:val="%6."/>
      <w:lvlJc w:val="right"/>
      <w:pPr>
        <w:ind w:left="4320" w:hanging="180"/>
      </w:pPr>
    </w:lvl>
    <w:lvl w:ilvl="6" w:tplc="28220B60">
      <w:start w:val="1"/>
      <w:numFmt w:val="decimal"/>
      <w:lvlText w:val="%7."/>
      <w:lvlJc w:val="left"/>
      <w:pPr>
        <w:ind w:left="5040" w:hanging="360"/>
      </w:pPr>
    </w:lvl>
    <w:lvl w:ilvl="7" w:tplc="D276B782">
      <w:start w:val="1"/>
      <w:numFmt w:val="lowerLetter"/>
      <w:lvlText w:val="%8."/>
      <w:lvlJc w:val="left"/>
      <w:pPr>
        <w:ind w:left="5760" w:hanging="360"/>
      </w:pPr>
    </w:lvl>
    <w:lvl w:ilvl="8" w:tplc="8B7A6714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828935">
    <w:abstractNumId w:val="1"/>
  </w:num>
  <w:num w:numId="2" w16cid:durableId="836336760">
    <w:abstractNumId w:val="3"/>
  </w:num>
  <w:num w:numId="3" w16cid:durableId="1009912424">
    <w:abstractNumId w:val="0"/>
  </w:num>
  <w:num w:numId="4" w16cid:durableId="475532570">
    <w:abstractNumId w:val="4"/>
  </w:num>
  <w:num w:numId="5" w16cid:durableId="1361321008">
    <w:abstractNumId w:val="5"/>
  </w:num>
  <w:num w:numId="6" w16cid:durableId="16517303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9D6CFB"/>
    <w:rsid w:val="001B1424"/>
    <w:rsid w:val="001E0D76"/>
    <w:rsid w:val="00293560"/>
    <w:rsid w:val="002E1C6A"/>
    <w:rsid w:val="005F5979"/>
    <w:rsid w:val="00B453F0"/>
    <w:rsid w:val="00C14C61"/>
    <w:rsid w:val="00D6563B"/>
    <w:rsid w:val="026E66A3"/>
    <w:rsid w:val="029570A0"/>
    <w:rsid w:val="0361E876"/>
    <w:rsid w:val="04FD1872"/>
    <w:rsid w:val="05A3DDF9"/>
    <w:rsid w:val="061933B3"/>
    <w:rsid w:val="07AD8D4E"/>
    <w:rsid w:val="07D5B37C"/>
    <w:rsid w:val="09FD4779"/>
    <w:rsid w:val="0A9CC8B5"/>
    <w:rsid w:val="10900124"/>
    <w:rsid w:val="11D71773"/>
    <w:rsid w:val="1210AA80"/>
    <w:rsid w:val="129D6CFB"/>
    <w:rsid w:val="1755FABC"/>
    <w:rsid w:val="190B9FB0"/>
    <w:rsid w:val="1BD89E25"/>
    <w:rsid w:val="1D495494"/>
    <w:rsid w:val="1F1DA5DA"/>
    <w:rsid w:val="24673A37"/>
    <w:rsid w:val="253F3D68"/>
    <w:rsid w:val="2ABCF756"/>
    <w:rsid w:val="2D5F4062"/>
    <w:rsid w:val="2DA77FE3"/>
    <w:rsid w:val="2DBC697A"/>
    <w:rsid w:val="2E163C34"/>
    <w:rsid w:val="2F23913B"/>
    <w:rsid w:val="324A1BB8"/>
    <w:rsid w:val="327CD482"/>
    <w:rsid w:val="354CC133"/>
    <w:rsid w:val="3786CC28"/>
    <w:rsid w:val="3B0EE632"/>
    <w:rsid w:val="3DABF559"/>
    <w:rsid w:val="44D8D68F"/>
    <w:rsid w:val="45099EC0"/>
    <w:rsid w:val="465510C5"/>
    <w:rsid w:val="4F538DB8"/>
    <w:rsid w:val="4FA888C2"/>
    <w:rsid w:val="52700CF6"/>
    <w:rsid w:val="553EFBD7"/>
    <w:rsid w:val="58949416"/>
    <w:rsid w:val="5AC35308"/>
    <w:rsid w:val="5C421CF1"/>
    <w:rsid w:val="5DF3C5C1"/>
    <w:rsid w:val="61D5712C"/>
    <w:rsid w:val="692D6E17"/>
    <w:rsid w:val="6B8406C8"/>
    <w:rsid w:val="78B75A0C"/>
    <w:rsid w:val="78E3B936"/>
    <w:rsid w:val="7C82E9D3"/>
    <w:rsid w:val="7D2B28DC"/>
    <w:rsid w:val="7EFFC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EA2FE"/>
  <w15:chartTrackingRefBased/>
  <w15:docId w15:val="{2BAD0580-3DD1-4F87-ADA5-23988505E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7D5B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07D5B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7D5B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7D5B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990</Words>
  <Characters>6996</Characters>
  <Application>Microsoft Office Word</Application>
  <DocSecurity>0</DocSecurity>
  <Lines>142</Lines>
  <Paragraphs>64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Zhan, Yao</dc:creator>
  <cp:keywords/>
  <dc:description/>
  <cp:lastModifiedBy>Zhan, Yao</cp:lastModifiedBy>
  <cp:revision>6</cp:revision>
  <dcterms:created xsi:type="dcterms:W3CDTF">2026-09-25T18:28:00Z</dcterms:created>
  <dcterms:modified xsi:type="dcterms:W3CDTF">2026-10-20T16:55:00Z</dcterms:modified>
</cp:coreProperties>
</file>