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69E30" w14:textId="0A532C5D" w:rsidR="00A9657E" w:rsidRDefault="002E6012" w:rsidP="00A9657E">
      <w:pPr>
        <w:pStyle w:val="Title"/>
      </w:pPr>
      <w:r w:rsidRPr="002E6012">
        <w:t>ABBV-CLS-484 Enhances Anti-Tumor Immunity by Modulating IL-6/STAT3 Signaling and Regulatory T Cell Stability</w:t>
      </w:r>
    </w:p>
    <w:p w14:paraId="0E9C841E" w14:textId="16CC26BB" w:rsidR="001A08A2" w:rsidRDefault="001A08A2" w:rsidP="001A08A2">
      <w:pPr>
        <w:pStyle w:val="Heading1"/>
      </w:pPr>
      <w:r>
        <w:t>Abstract</w:t>
      </w:r>
    </w:p>
    <w:p w14:paraId="2F71668A" w14:textId="087B9797" w:rsidR="00C51059" w:rsidRDefault="00C51059" w:rsidP="00C51059">
      <w:pPr>
        <w:ind w:firstLine="720"/>
      </w:pPr>
      <w:r w:rsidRPr="00C51059">
        <w:t xml:space="preserve">Regulatory T cells (Tregs) suppress anti-tumor immunity, presenting a major barrier to effective cancer immunotherapy. We demonstrate that pharmacological inhibition of </w:t>
      </w:r>
      <w:commentRangeStart w:id="0"/>
      <w:r w:rsidRPr="00C51059">
        <w:t>PTPN</w:t>
      </w:r>
      <w:r w:rsidR="004C45EF">
        <w:t>1</w:t>
      </w:r>
      <w:r w:rsidR="0C2CFA23">
        <w:t>/</w:t>
      </w:r>
      <w:r w:rsidR="004C45EF">
        <w:t>2</w:t>
      </w:r>
      <w:r w:rsidRPr="00C51059">
        <w:t xml:space="preserve"> </w:t>
      </w:r>
      <w:commentRangeEnd w:id="0"/>
      <w:r w:rsidRPr="00C51059">
        <w:rPr>
          <w:rStyle w:val="CommentReference"/>
          <w:sz w:val="24"/>
          <w:szCs w:val="24"/>
        </w:rPr>
        <w:commentReference w:id="0"/>
      </w:r>
      <w:r w:rsidRPr="00C51059">
        <w:t xml:space="preserve">with ABBV-CLS-484 in a mouse tumor model disrupts Treg identity and function by downregulating Foxp3 and modulating the Il6/Stat3/Dnmt3a signaling axis. Single-cell RNA sequencing revealed decreased Treg proportions and activation, alongside enhanced activation and clonal expansion of </w:t>
      </w:r>
      <w:r w:rsidR="00666B15">
        <w:t>Cd4</w:t>
      </w:r>
      <w:r w:rsidRPr="00C51059">
        <w:t xml:space="preserve"> and </w:t>
      </w:r>
      <w:r w:rsidR="00666B15">
        <w:t>Cd8</w:t>
      </w:r>
      <w:r w:rsidRPr="00C51059">
        <w:t xml:space="preserve"> effector T cells, shifting the tumor microenvironment toward a pro-inflammatory state. Validation with public datasets confirmed changes in chromatin accessibility associated with</w:t>
      </w:r>
      <w:r w:rsidR="00B81EC7">
        <w:t xml:space="preserve"> reduced</w:t>
      </w:r>
      <w:r w:rsidRPr="00C51059">
        <w:t xml:space="preserve"> Ptpn2. Importantly, our analysis suggests </w:t>
      </w:r>
      <w:r w:rsidR="00642336">
        <w:t xml:space="preserve">that </w:t>
      </w:r>
      <w:r w:rsidRPr="00C51059">
        <w:t xml:space="preserve">administration of </w:t>
      </w:r>
      <w:r w:rsidR="00CE71B7" w:rsidRPr="00C51059">
        <w:t>ABBV-CLS-484</w:t>
      </w:r>
      <w:r w:rsidRPr="00C51059">
        <w:t xml:space="preserve"> may optimize Treg depletion and boost effector T cell responses. Differential expression of immune checkpoint markers such as C</w:t>
      </w:r>
      <w:r w:rsidR="00330431">
        <w:t>tla</w:t>
      </w:r>
      <w:r w:rsidRPr="00C51059">
        <w:t>4, T</w:t>
      </w:r>
      <w:r w:rsidR="00330431">
        <w:t>igit</w:t>
      </w:r>
      <w:r w:rsidRPr="00C51059">
        <w:t xml:space="preserve">, and </w:t>
      </w:r>
      <w:r w:rsidR="00330431">
        <w:t>Lag</w:t>
      </w:r>
      <w:r w:rsidRPr="00C51059">
        <w:t xml:space="preserve">3 further highlights opportunities for combinatorial therapeutic strategies. Our findings establish </w:t>
      </w:r>
      <w:r w:rsidR="00CE71B7" w:rsidRPr="00C51059">
        <w:t>ABBV-CLS-484</w:t>
      </w:r>
      <w:r w:rsidRPr="00C51059">
        <w:t xml:space="preserve"> as a promising approach to overcome Treg-mediated immune suppression and support its integration into rationally designed cancer immunotherapy regimens.</w:t>
      </w:r>
      <w:r w:rsidR="004D7C49">
        <w:t xml:space="preserve"> </w:t>
      </w:r>
    </w:p>
    <w:p w14:paraId="4DE29F1E" w14:textId="02C089C1" w:rsidR="001A08A2" w:rsidRDefault="001A08A2" w:rsidP="001A08A2">
      <w:pPr>
        <w:pStyle w:val="Heading1"/>
      </w:pPr>
      <w:r>
        <w:t>Introduction</w:t>
      </w:r>
    </w:p>
    <w:p w14:paraId="4A7A307C" w14:textId="096118D5" w:rsidR="00B01AE3" w:rsidRPr="00B01AE3" w:rsidRDefault="00B01AE3" w:rsidP="00B01AE3">
      <w:pPr>
        <w:ind w:firstLine="720"/>
      </w:pPr>
      <w:r w:rsidRPr="00B01AE3">
        <w:t>Regulatory T cells (Tregs) are an immunosuppressive T cell subset that suppresses the activity of effector T cells (PMID</w:t>
      </w:r>
      <w:r w:rsidR="00165197">
        <w:t>:</w:t>
      </w:r>
      <w:r w:rsidRPr="00B01AE3">
        <w:t>16648838). Tregs develop either in the thymus (tTregs), marked by stable Foxp3 expression, or in the periphery (</w:t>
      </w:r>
      <w:r w:rsidR="00A25E4E">
        <w:t>i</w:t>
      </w:r>
      <w:r w:rsidRPr="00B01AE3">
        <w:t>Tregs) in the presence of IL-2 and TGF-β1 (</w:t>
      </w:r>
      <w:r w:rsidR="000C720E">
        <w:t>PMID:</w:t>
      </w:r>
      <w:r w:rsidRPr="00B01AE3">
        <w:t>31993063). Elevated Treg frequencies in breast, colorectal, and ovarian cancers are associated with poorer prognoses (</w:t>
      </w:r>
      <w:r w:rsidR="00165197">
        <w:t>PMID:</w:t>
      </w:r>
      <w:r w:rsidRPr="00B01AE3">
        <w:t>16322278). Thus, efforts to target Tregs aim to restore protective tumor immunosurveillance without compromising self-tolerance, which remains a substantial challenge (</w:t>
      </w:r>
      <w:r w:rsidR="00165197">
        <w:t>PMID:</w:t>
      </w:r>
      <w:r w:rsidRPr="00B01AE3">
        <w:t>32680511). One possible approach involves targeting upstream regulators of Foxp3 expression, particularly via the Il6/Stat3 signaling axis in both tTregs and iTregs.</w:t>
      </w:r>
    </w:p>
    <w:p w14:paraId="1FC91694" w14:textId="26A971D1" w:rsidR="00B01AE3" w:rsidRPr="00B01AE3" w:rsidRDefault="00B01AE3" w:rsidP="00B01AE3">
      <w:pPr>
        <w:ind w:firstLine="720"/>
      </w:pPr>
      <w:r w:rsidRPr="00B01AE3">
        <w:t xml:space="preserve">The Il6/Stat3 signaling pathway is initiated upon Il6 binding to its receptor complex (Il6ra and Il6st), resulting in the phosphorylation and activation of Stat3. Phosphorylated Stat3 (p-Stat3) dimerizes and </w:t>
      </w:r>
      <w:r w:rsidR="00330431" w:rsidRPr="00B01AE3">
        <w:t>translocate</w:t>
      </w:r>
      <w:r w:rsidRPr="00B01AE3">
        <w:t xml:space="preserve"> to the nucleus, where it regulates transcription of genes involved in cell proliferation, survival, and immune differentiation.</w:t>
      </w:r>
    </w:p>
    <w:p w14:paraId="7A6766C0" w14:textId="75A8ACE5" w:rsidR="00B01AE3" w:rsidRPr="00B01AE3" w:rsidRDefault="00B01AE3" w:rsidP="00B01AE3">
      <w:pPr>
        <w:ind w:firstLine="720"/>
      </w:pPr>
      <w:r w:rsidRPr="00B01AE3">
        <w:t>The tTreg lineage maintains its identity through epigenetic demethylation at the Foxp3 locus (</w:t>
      </w:r>
      <w:r w:rsidR="00165197">
        <w:t>PMID:</w:t>
      </w:r>
      <w:r w:rsidRPr="00B01AE3">
        <w:t>19114986). However, Il6/Stat3 signaling can destabilize tTreg identity by altering the epigenetic Status of Foxp3 via Stat3-mediated upregulation of Dnmt3a and transcriptional silencing of Prdm1 (</w:t>
      </w:r>
      <w:r w:rsidR="00165197">
        <w:t>PMID:</w:t>
      </w:r>
      <w:r w:rsidRPr="00B01AE3">
        <w:t>30759395). Moreover, Stat3-dependent destabilization of Treg identity occurs in models of reduced Ptpn2 expression (</w:t>
      </w:r>
      <w:r w:rsidR="00165197">
        <w:t>PMID:</w:t>
      </w:r>
      <w:r w:rsidRPr="00B01AE3">
        <w:t>30620725). Il6/Stat3-mediated Foxp3 destabilization can convert tTregs into effector T cells (</w:t>
      </w:r>
      <w:r w:rsidR="00165197">
        <w:t>PMID:</w:t>
      </w:r>
      <w:r w:rsidRPr="00B01AE3">
        <w:t xml:space="preserve">20926793), a process </w:t>
      </w:r>
      <w:r w:rsidRPr="00B01AE3">
        <w:lastRenderedPageBreak/>
        <w:t>potentially beneficial for cancer immunotherapy, especially given the reported Treg TCR repertoire bias toward autoantigens (</w:t>
      </w:r>
      <w:r w:rsidR="00165197">
        <w:t>PMID:</w:t>
      </w:r>
      <w:r w:rsidRPr="00B01AE3">
        <w:t xml:space="preserve">16532000, </w:t>
      </w:r>
      <w:r w:rsidR="00165197">
        <w:t>PMID:</w:t>
      </w:r>
      <w:r w:rsidRPr="00B01AE3">
        <w:t xml:space="preserve">15308106, </w:t>
      </w:r>
      <w:r w:rsidR="00165197">
        <w:t>PMID:</w:t>
      </w:r>
      <w:r w:rsidRPr="00B01AE3">
        <w:t>16879995).</w:t>
      </w:r>
    </w:p>
    <w:p w14:paraId="5AF92F36" w14:textId="26683E26" w:rsidR="00B01AE3" w:rsidRPr="00B01AE3" w:rsidRDefault="00B01AE3" w:rsidP="00B01AE3">
      <w:pPr>
        <w:ind w:firstLine="720"/>
      </w:pPr>
      <w:r w:rsidRPr="00B01AE3">
        <w:t>Il6 receptors (IL6ra and IL6st) are highly expressed on naïve CD4 T cells (</w:t>
      </w:r>
      <w:r w:rsidR="00165197">
        <w:t>PMID:</w:t>
      </w:r>
      <w:r w:rsidRPr="00B01AE3">
        <w:t>16540526) and are rapidly downregulated following Il6 engagement, leading to increased expression of C</w:t>
      </w:r>
      <w:r w:rsidR="000E2B41">
        <w:t>cr</w:t>
      </w:r>
      <w:r w:rsidRPr="00B01AE3">
        <w:t xml:space="preserve">7 and </w:t>
      </w:r>
      <w:r w:rsidR="00FE4EA5">
        <w:t>Sell</w:t>
      </w:r>
      <w:r w:rsidRPr="00B01AE3">
        <w:t xml:space="preserve"> (</w:t>
      </w:r>
      <w:r w:rsidR="00165197">
        <w:t>PMID:</w:t>
      </w:r>
      <w:r w:rsidRPr="00B01AE3">
        <w:t>20083667). Il6 suppresses TGF-β-induced Foxp3 expression during the differentiation of naïve CD4 T cells into iTregs, instead redirecting them toward Th17 development (</w:t>
      </w:r>
      <w:r w:rsidR="00165197">
        <w:t>PMID:</w:t>
      </w:r>
      <w:r w:rsidRPr="00B01AE3">
        <w:t>34325116). Il6 also acts as a proliferative stimulus for naïve T cells (</w:t>
      </w:r>
      <w:r w:rsidR="00165197">
        <w:t>PMID:</w:t>
      </w:r>
      <w:r w:rsidRPr="00B01AE3">
        <w:t>1977837). Upon Il6 stimulation, naïve T cells show tyrosine phosphorylation of Stat1 and Stat3, driving transcriptional programs that shape the effector T cells (</w:t>
      </w:r>
      <w:r w:rsidR="00165197">
        <w:t>PMID:</w:t>
      </w:r>
      <w:r w:rsidRPr="00B01AE3">
        <w:t xml:space="preserve">25898198, </w:t>
      </w:r>
      <w:r w:rsidR="00165197">
        <w:t>PMID:</w:t>
      </w:r>
      <w:r w:rsidRPr="00B01AE3">
        <w:t xml:space="preserve">10727454, </w:t>
      </w:r>
      <w:r w:rsidR="00165197">
        <w:t>PMID:</w:t>
      </w:r>
      <w:r w:rsidRPr="00B01AE3">
        <w:t>28323260). Phosphorylation of Stat1 in response to Il6 is regulated by Ptpn2, which dephosphorylates Stat proteins during memory CD4 T cell development (</w:t>
      </w:r>
      <w:r w:rsidR="00165197">
        <w:t>PMID:</w:t>
      </w:r>
      <w:r w:rsidRPr="00B01AE3">
        <w:t>30890796).</w:t>
      </w:r>
    </w:p>
    <w:p w14:paraId="083CBB9D" w14:textId="2CBD2CC1" w:rsidR="00B01AE3" w:rsidRPr="00B01AE3" w:rsidRDefault="00B01AE3" w:rsidP="00B01AE3">
      <w:pPr>
        <w:ind w:firstLine="720"/>
      </w:pPr>
      <w:r w:rsidRPr="00B01AE3">
        <w:t>P</w:t>
      </w:r>
      <w:r w:rsidR="00C34EDE">
        <w:t>tpn2</w:t>
      </w:r>
      <w:r w:rsidRPr="00B01AE3">
        <w:t xml:space="preserve"> (protein tyrosine phosphatase non-receptor type 2) acts as a critical intracellular immune checkpoint, negatively regulating the J</w:t>
      </w:r>
      <w:r w:rsidR="00053C0E">
        <w:t>ak</w:t>
      </w:r>
      <w:r w:rsidRPr="00B01AE3">
        <w:t>-Stat pathway in both T cells and tumor cells, thereby restraining anti-tumor immunity and dampening responses to interferons and immune checkpoint therapies (</w:t>
      </w:r>
      <w:r w:rsidR="00165197">
        <w:t>PMID:</w:t>
      </w:r>
      <w:r w:rsidRPr="00B01AE3">
        <w:t>37794185). Genetic deletion or pharmacological inhibition of PTPN2 in preclinical models enhances antigen presentation, increases inflammatory cytokine signaling, and improves T cell function and recruitment in the tumor microenvironment (</w:t>
      </w:r>
      <w:r w:rsidR="00165197">
        <w:t>PMID:</w:t>
      </w:r>
      <w:r w:rsidRPr="00B01AE3">
        <w:t xml:space="preserve">31803974, </w:t>
      </w:r>
      <w:r w:rsidR="00165197">
        <w:t>PMID:</w:t>
      </w:r>
      <w:r w:rsidRPr="00B01AE3">
        <w:t>37500611). Loss-of-function SNPs within PTPN2 are associated with several autoimmune diseases (</w:t>
      </w:r>
      <w:r w:rsidR="00165197">
        <w:t>PMID:</w:t>
      </w:r>
      <w:r w:rsidRPr="00B01AE3">
        <w:t xml:space="preserve">32721438, </w:t>
      </w:r>
      <w:r w:rsidR="00165197">
        <w:t>PMID:</w:t>
      </w:r>
      <w:r w:rsidRPr="00B01AE3">
        <w:t>32499645), and full-body Ptpn2 deletion in mice causes fatal systemic myeloid cell-driven inflammation (</w:t>
      </w:r>
      <w:r w:rsidR="00165197">
        <w:t>PMID:</w:t>
      </w:r>
      <w:r w:rsidRPr="00B01AE3">
        <w:t>9271584). However, conditional deletion of PTPN2 has been shown to enhance TCR signaling, thymic selection, and peripheral T cell proliferation (</w:t>
      </w:r>
      <w:r w:rsidR="00165197">
        <w:t>PMID:</w:t>
      </w:r>
      <w:r w:rsidRPr="00B01AE3">
        <w:t>22080863).</w:t>
      </w:r>
    </w:p>
    <w:p w14:paraId="690DD7BA" w14:textId="5309DFAB" w:rsidR="00B01AE3" w:rsidRDefault="00B01AE3" w:rsidP="00B01AE3">
      <w:pPr>
        <w:ind w:firstLine="720"/>
      </w:pPr>
      <w:r w:rsidRPr="00B01AE3">
        <w:t>We have previously demonstrated that ABBV-CLS-484 (</w:t>
      </w:r>
      <w:r w:rsidR="00434F41">
        <w:t>Ptpn2i</w:t>
      </w:r>
      <w:r w:rsidRPr="00B01AE3">
        <w:t>), a potent inhibitor of PTPN</w:t>
      </w:r>
      <w:r w:rsidR="00A07AC2">
        <w:t>1</w:t>
      </w:r>
      <w:r w:rsidRPr="00B01AE3">
        <w:t xml:space="preserve"> and PTPN</w:t>
      </w:r>
      <w:r w:rsidR="00A07AC2">
        <w:t>2</w:t>
      </w:r>
      <w:r w:rsidRPr="00B01AE3">
        <w:t xml:space="preserve">, inflames the tumor microenvironment and promotes natural killer cell and </w:t>
      </w:r>
      <w:r w:rsidR="00666B15">
        <w:t>CD8</w:t>
      </w:r>
      <w:r w:rsidRPr="00B01AE3">
        <w:t xml:space="preserve"> T cell function by enhancing JAK-Stat signaling and reducing T cell dysfunction (</w:t>
      </w:r>
      <w:r w:rsidR="00165197">
        <w:t>PMID:</w:t>
      </w:r>
      <w:r w:rsidRPr="00B01AE3">
        <w:t xml:space="preserve">37794185). However, the impact of AC484 on Tregs and through the Il6-Stat3 pathway has not been explored. In this study, we investigate shifts in Treg and effector T cell proportions, TCR stabilization within CD4 and CD8 T cell populations, and changes in the Il6–Stat3 signaling axis following </w:t>
      </w:r>
      <w:r w:rsidR="004C45EF" w:rsidRPr="00B01AE3">
        <w:t>ABBV-CLS-484</w:t>
      </w:r>
      <w:r w:rsidR="004C45EF">
        <w:t xml:space="preserve"> </w:t>
      </w:r>
      <w:r w:rsidRPr="00B01AE3">
        <w:t>mediated Ptpn2 inhibition (Ptpn2i), both alone and in combination with anti-PD1 antibody (aPD1 and Ptpn2i + aPD1).</w:t>
      </w:r>
    </w:p>
    <w:p w14:paraId="2258EC39" w14:textId="433F28D2" w:rsidR="0047646C" w:rsidRDefault="001A08A2" w:rsidP="00B01AE3">
      <w:pPr>
        <w:pStyle w:val="Heading1"/>
      </w:pPr>
      <w:r>
        <w:t>Methods</w:t>
      </w:r>
    </w:p>
    <w:p w14:paraId="3A8089E1" w14:textId="5E28C2E1" w:rsidR="009D3397" w:rsidRDefault="00393CE4" w:rsidP="00893486">
      <w:pPr>
        <w:pStyle w:val="Heading2"/>
      </w:pPr>
      <w:r>
        <w:t xml:space="preserve">Tumor-infiltrating Immune cell </w:t>
      </w:r>
      <w:r w:rsidR="004642EB">
        <w:t>scRNAseq</w:t>
      </w:r>
    </w:p>
    <w:p w14:paraId="248EAE8B" w14:textId="00C69636" w:rsidR="00893486" w:rsidRPr="00893486" w:rsidRDefault="000764F2" w:rsidP="000C64A5">
      <w:pPr>
        <w:ind w:firstLine="720"/>
      </w:pPr>
      <w:r>
        <w:rPr>
          <w:shd w:val="clear" w:color="auto" w:fill="FFFFFF"/>
        </w:rPr>
        <w:t xml:space="preserve">C57BL/6J mice received subcutaneous injections of </w:t>
      </w:r>
      <w:r w:rsidR="00A55360">
        <w:rPr>
          <w:shd w:val="clear" w:color="auto" w:fill="FFFFFF"/>
        </w:rPr>
        <w:t>CT26</w:t>
      </w:r>
      <w:r>
        <w:rPr>
          <w:shd w:val="clear" w:color="auto" w:fill="FFFFFF"/>
        </w:rPr>
        <w:t xml:space="preserve"> tumors and were administered either </w:t>
      </w:r>
      <w:r w:rsidR="004A01E7">
        <w:rPr>
          <w:shd w:val="clear" w:color="auto" w:fill="FFFFFF"/>
        </w:rPr>
        <w:t>PTPN2I</w:t>
      </w:r>
      <w:r>
        <w:rPr>
          <w:shd w:val="clear" w:color="auto" w:fill="FFFFFF"/>
        </w:rPr>
        <w:t xml:space="preserve">, anti-PD-1, or left untreated. For the study, 16 unilateral </w:t>
      </w:r>
      <w:r w:rsidR="00C41751">
        <w:rPr>
          <w:shd w:val="clear" w:color="auto" w:fill="FFFFFF"/>
        </w:rPr>
        <w:t>CT26</w:t>
      </w:r>
      <w:r>
        <w:rPr>
          <w:shd w:val="clear" w:color="auto" w:fill="FFFFFF"/>
        </w:rPr>
        <w:t xml:space="preserve"> tumors (5 untreated, 5 treated with anti-PD-1, and 6 treated with </w:t>
      </w:r>
      <w:r w:rsidR="004A01E7">
        <w:rPr>
          <w:shd w:val="clear" w:color="auto" w:fill="FFFFFF"/>
        </w:rPr>
        <w:t>PTPN2I</w:t>
      </w:r>
      <w:r>
        <w:rPr>
          <w:shd w:val="clear" w:color="auto" w:fill="FFFFFF"/>
        </w:rPr>
        <w:t xml:space="preserve">) and 12 unilateral </w:t>
      </w:r>
      <w:r w:rsidR="00C41751">
        <w:rPr>
          <w:shd w:val="clear" w:color="auto" w:fill="FFFFFF"/>
        </w:rPr>
        <w:t>CT26</w:t>
      </w:r>
      <w:r>
        <w:rPr>
          <w:shd w:val="clear" w:color="auto" w:fill="FFFFFF"/>
        </w:rPr>
        <w:t xml:space="preserve"> tumors (4 untreated, 4 treated with anti-PD-1, and 4 treated with </w:t>
      </w:r>
      <w:r w:rsidR="004A01E7">
        <w:rPr>
          <w:shd w:val="clear" w:color="auto" w:fill="FFFFFF"/>
        </w:rPr>
        <w:t>PTPN2I</w:t>
      </w:r>
      <w:r>
        <w:rPr>
          <w:shd w:val="clear" w:color="auto" w:fill="FFFFFF"/>
        </w:rPr>
        <w:t xml:space="preserve">) from GVAX-vaccinated mice were collected on day 13. The tumors were weighed, cut into smaller pieces, and then processed using a tumor dissociation kit (Miltenyi) and a gentleMACS dissociator (Miltenyi) with the m-TDK-1 program for chemical and mechanical digestion. Immune cells were isolated through density centrifugation using a lympholyte reagent (Cedarlane Labs), followed by CD45+ cell selection using MicroBeads and a magnetic separator (Miltenyi). Single-cell isolation in droplets and the preparation of 5' sequencing libraries </w:t>
      </w:r>
      <w:r w:rsidR="003A08A4">
        <w:rPr>
          <w:shd w:val="clear" w:color="auto" w:fill="FFFFFF"/>
        </w:rPr>
        <w:t>was</w:t>
      </w:r>
      <w:r>
        <w:rPr>
          <w:shd w:val="clear" w:color="auto" w:fill="FFFFFF"/>
        </w:rPr>
        <w:t xml:space="preserve"> completed with a Chromium Controller and </w:t>
      </w:r>
      <w:r>
        <w:rPr>
          <w:shd w:val="clear" w:color="auto" w:fill="FFFFFF"/>
        </w:rPr>
        <w:lastRenderedPageBreak/>
        <w:t xml:space="preserve">the 10x Genomics platform according to the manufacturer's instructions. Libraries were generated using Chromium Next GEM Single Cell Reagent kits, specifically the 5′ v.1 chemistry or 5′ v.2.2 chemistry. </w:t>
      </w:r>
      <w:r w:rsidR="004642EB">
        <w:rPr>
          <w:shd w:val="clear" w:color="auto" w:fill="FFFFFF"/>
        </w:rPr>
        <w:t>scRNAseq</w:t>
      </w:r>
      <w:r>
        <w:rPr>
          <w:shd w:val="clear" w:color="auto" w:fill="FFFFFF"/>
        </w:rPr>
        <w:t xml:space="preserve"> profiles were obtained from 4–6 tumors for each treatment condition within each model, yielding a dataset of </w:t>
      </w:r>
      <w:r w:rsidR="008F386C">
        <w:rPr>
          <w:rFonts w:ascii="Aptos Narrow" w:hAnsi="Aptos Narrow" w:cs="Aptos Narrow"/>
          <w:color w:val="000000"/>
        </w:rPr>
        <w:t>102863</w:t>
      </w:r>
      <w:r w:rsidR="00C41751">
        <w:rPr>
          <w:rFonts w:ascii="Aptos Narrow" w:hAnsi="Aptos Narrow" w:cs="Aptos Narrow"/>
          <w:color w:val="000000"/>
        </w:rPr>
        <w:t xml:space="preserve"> </w:t>
      </w:r>
      <w:r>
        <w:rPr>
          <w:shd w:val="clear" w:color="auto" w:fill="FFFFFF"/>
        </w:rPr>
        <w:t>immune cell transcriptomes for all combined conditions.</w:t>
      </w:r>
    </w:p>
    <w:p w14:paraId="314936DC" w14:textId="06000D7E" w:rsidR="009D3397" w:rsidRDefault="009D3397" w:rsidP="00893486">
      <w:pPr>
        <w:pStyle w:val="Heading2"/>
      </w:pPr>
      <w:r w:rsidRPr="009D3397">
        <w:t>Single-cell data analyses</w:t>
      </w:r>
    </w:p>
    <w:p w14:paraId="0C005CD6" w14:textId="397C3EC0" w:rsidR="004F3C78" w:rsidRPr="00293114" w:rsidRDefault="004F3C78" w:rsidP="000C64A5">
      <w:pPr>
        <w:ind w:firstLine="720"/>
        <w:rPr>
          <w:rFonts w:ascii="Aptos Narrow" w:hAnsi="Aptos Narrow"/>
          <w:color w:val="000000"/>
        </w:rPr>
      </w:pPr>
      <w:r>
        <w:t xml:space="preserve">Equimolar pooled 5′ 10x output libraries were sequenced on an Illumina SP flow cell utilizing a paired-end 150 cycle kit. Subsequent preprocessing was conducted with cellranger (v.5.0.1), where the quality of individual replicates was assessed by examining the number of recovered cells, mean reads per cell, and median genes per cell. All replicates achieved sequencing depth exceeding Cell Ranger's recommendation of 25,000 mean reads per cell. An anti-PD-1-treated KPC tumor with low cell recovery was excluded based on early quality-control metrics. Following this exclusion, </w:t>
      </w:r>
      <w:r w:rsidR="008F386C">
        <w:rPr>
          <w:rFonts w:ascii="Aptos Narrow" w:hAnsi="Aptos Narrow"/>
          <w:color w:val="000000"/>
        </w:rPr>
        <w:t>102863</w:t>
      </w:r>
      <w:r w:rsidR="00293114">
        <w:rPr>
          <w:rFonts w:ascii="Aptos Narrow" w:hAnsi="Aptos Narrow"/>
          <w:color w:val="000000"/>
        </w:rPr>
        <w:t xml:space="preserve"> </w:t>
      </w:r>
      <w:r>
        <w:t>cells were recovered across various conditions. Further cell and gene filtering was performed using scanpy (v.1.7.2)</w:t>
      </w:r>
      <w:r w:rsidR="0059092D">
        <w:t xml:space="preserve"> </w:t>
      </w:r>
      <w:r w:rsidR="00A74159">
        <w:t>(</w:t>
      </w:r>
      <w:r w:rsidR="00F95F71">
        <w:t>PMID:</w:t>
      </w:r>
      <w:r w:rsidR="00AC3BF6" w:rsidRPr="00AC3BF6">
        <w:t>29409532</w:t>
      </w:r>
      <w:r w:rsidR="00A74159">
        <w:t>)</w:t>
      </w:r>
      <w:r>
        <w:t>. Cells with over 10% mitochondrial gene content were removed. Additionally, genes absent in all cells were excluded from later analysis.</w:t>
      </w:r>
    </w:p>
    <w:p w14:paraId="5B964053" w14:textId="34B8E97B" w:rsidR="002B12D6" w:rsidRDefault="004F3C78" w:rsidP="000C64A5">
      <w:pPr>
        <w:ind w:firstLine="720"/>
      </w:pPr>
      <w:r>
        <w:t>Gene counts were normalized to a library size of 100,000 and underwent log transformation with a pseudo</w:t>
      </w:r>
      <w:r w:rsidR="00F95F71">
        <w:t>-</w:t>
      </w:r>
      <w:r>
        <w:t>count of 1. PCA and nearest neighbor graphs were computed for visualization on a UMAP projection. Harmony batch correction was applied to adjust PCA embeddings for technical batch effects between experiments</w:t>
      </w:r>
      <w:r w:rsidR="00CF12F3">
        <w:t xml:space="preserve"> </w:t>
      </w:r>
      <w:r w:rsidR="00A74159">
        <w:t>(</w:t>
      </w:r>
      <w:r w:rsidR="00F95F71">
        <w:t>PMID:</w:t>
      </w:r>
      <w:r w:rsidR="00EE2964" w:rsidRPr="00EE2964">
        <w:t>31740819</w:t>
      </w:r>
      <w:r w:rsidR="00A74159">
        <w:t>)</w:t>
      </w:r>
      <w:r>
        <w:t>. The leiden algorithm grouped cells into 21 distinct clusters, excluding those with high doublet scores or markers of low cell viability, like the long noncoding RNA Malat1. After this filtering, 68,080 cells remained for further analysis. Cells were re-clustered and classified based on one-vs-rest differential expression and immune-related gene signatures using scanpy's built-in function</w:t>
      </w:r>
      <w:r w:rsidR="00AC3BF6">
        <w:t xml:space="preserve"> </w:t>
      </w:r>
      <w:r w:rsidR="00A74159">
        <w:t>(</w:t>
      </w:r>
      <w:r w:rsidR="00F95F71">
        <w:t>PMID:</w:t>
      </w:r>
      <w:r w:rsidR="00AC3BF6" w:rsidRPr="00AC3BF6">
        <w:t>29409532</w:t>
      </w:r>
      <w:r w:rsidR="00A74159">
        <w:t>)</w:t>
      </w:r>
      <w:r>
        <w:t xml:space="preserve">. For finer distinction between T and NK cell subtypes, </w:t>
      </w:r>
      <w:r w:rsidR="000E0B0E">
        <w:t>sub clustering</w:t>
      </w:r>
      <w:r>
        <w:t xml:space="preserve"> focused on clusters expressing Cd8a, Cd4, and Ncr1 transcripts. New PCA embeddings, nearest neighbor graphs, and harmony batch corrections were recomputed for this subset using 10,000 highly variable genes. Differential gene expression between treatment conditions was calculated through a logistic regression model, creating ranked gene lists with signed p-values from logistic regression</w:t>
      </w:r>
      <w:r w:rsidR="0014239D">
        <w:t xml:space="preserve"> </w:t>
      </w:r>
      <w:r w:rsidR="00A74159">
        <w:t>(</w:t>
      </w:r>
      <w:r w:rsidR="00F95F71">
        <w:t>PMID:</w:t>
      </w:r>
      <w:r w:rsidR="00C37E8A" w:rsidRPr="00C37E8A">
        <w:t>30664774</w:t>
      </w:r>
      <w:r w:rsidR="00A74159">
        <w:t>)</w:t>
      </w:r>
      <w:r>
        <w:t>.</w:t>
      </w:r>
    </w:p>
    <w:p w14:paraId="69DE8F1D" w14:textId="2DE99019" w:rsidR="002B12D6" w:rsidRDefault="002B12D6" w:rsidP="002B12D6">
      <w:pPr>
        <w:pStyle w:val="Heading2"/>
      </w:pPr>
      <w:r>
        <w:t>Two proportion Z-Test</w:t>
      </w:r>
    </w:p>
    <w:p w14:paraId="47671876" w14:textId="7EB6A6FC" w:rsidR="002B12D6" w:rsidRPr="002B12D6" w:rsidRDefault="00F86BA4" w:rsidP="009661A2">
      <w:pPr>
        <w:ind w:firstLine="720"/>
      </w:pPr>
      <w:r>
        <w:rPr>
          <w:shd w:val="clear" w:color="auto" w:fill="FFFFFF"/>
        </w:rPr>
        <w:t>To assess differences in proportions, the two-proportions z-test in R was employed. The proportions of different cell types were determined by dividing the number of cells in each specific group by the total number of cells per treatment condition, and these were then compared between treatment conditions using the two-proportions z-test. The null hypothesis assumes no difference in proportions, while the alternative hypothesis suggests a difference exists. The calculated z-score was evaluated against the standard normal distribution to assess statistical significance, with a p-value of less than 0.05 indicating a significant difference between the two proportions. The results were illustrated with bar plots created using the R package ggplot2.</w:t>
      </w:r>
    </w:p>
    <w:p w14:paraId="080E3EB8" w14:textId="3AB2FBEC" w:rsidR="00EF488F" w:rsidRDefault="009A0610" w:rsidP="002B12D6">
      <w:pPr>
        <w:pStyle w:val="Heading2"/>
      </w:pPr>
      <w:r>
        <w:lastRenderedPageBreak/>
        <w:t>Mouse Genome Informatics Gene Ontology Browser and Gene Set Scoring</w:t>
      </w:r>
    </w:p>
    <w:p w14:paraId="4A755BE2" w14:textId="2B6EE2D7" w:rsidR="005B1DB1" w:rsidRDefault="005B1DB1" w:rsidP="009661A2">
      <w:pPr>
        <w:ind w:firstLine="720"/>
      </w:pPr>
      <w:r>
        <w:t>Gene Ontology (GO) term investigation was performed using the Mouse Genome Informatics (MGI) Gene Ontology browser (PMID:38531069) to identify and select relevant ontological gene sets associated with the biological processes of interest. Genes corresponding to the selected GO terms were compiled for downstream enrichment analysis. Gene set enrichment analysis was conducted using the Enrichr platform (PMID:23586463, PMID:27141961, PMID:33780170). The lists of genes derived from the MGI GO browser were submitted to Enrichr, which assesses enrichment for various biological categories based on curated gene set libraries. Statistical significance and enrichment scores were reported as provided by the platform.</w:t>
      </w:r>
    </w:p>
    <w:p w14:paraId="4AD54643" w14:textId="77777777" w:rsidR="007C48D9" w:rsidRPr="00EF488F" w:rsidRDefault="007C48D9" w:rsidP="00EF488F"/>
    <w:p w14:paraId="4C00B632" w14:textId="7DC19F6E" w:rsidR="00D83623" w:rsidRDefault="00D83623" w:rsidP="002B12D6">
      <w:pPr>
        <w:pStyle w:val="Heading2"/>
      </w:pPr>
      <w:r>
        <w:t>AUcell Scoring</w:t>
      </w:r>
      <w:r w:rsidR="006938B2">
        <w:t xml:space="preserve"> of T cell Activation Signatures</w:t>
      </w:r>
    </w:p>
    <w:p w14:paraId="3C4ED83D" w14:textId="6A97BF3E" w:rsidR="00D83623" w:rsidRDefault="006938B2" w:rsidP="009661A2">
      <w:pPr>
        <w:ind w:firstLine="720"/>
      </w:pPr>
      <w:r>
        <w:rPr>
          <w:shd w:val="clear" w:color="auto" w:fill="FFFFFF"/>
        </w:rPr>
        <w:t xml:space="preserve">The "FindMarkers" function from Seurat was employed to identify differentially expressed genes (DEGs) across various treatment scenarios, while activation signatures for Cd4 T cells, Cd8 T cells, and Tregs were developed. SCENIC's AUCell scoring algorithm </w:t>
      </w:r>
      <w:r w:rsidR="00A74159">
        <w:rPr>
          <w:shd w:val="clear" w:color="auto" w:fill="FFFFFF"/>
        </w:rPr>
        <w:t>(</w:t>
      </w:r>
      <w:r w:rsidR="00F95F71">
        <w:rPr>
          <w:shd w:val="clear" w:color="auto" w:fill="FFFFFF"/>
        </w:rPr>
        <w:t>PMID:</w:t>
      </w:r>
      <w:r>
        <w:rPr>
          <w:shd w:val="clear" w:color="auto" w:fill="FFFFFF"/>
        </w:rPr>
        <w:t>28991892</w:t>
      </w:r>
      <w:r w:rsidR="00A74159">
        <w:rPr>
          <w:shd w:val="clear" w:color="auto" w:fill="FFFFFF"/>
        </w:rPr>
        <w:t>)</w:t>
      </w:r>
      <w:r>
        <w:rPr>
          <w:shd w:val="clear" w:color="auto" w:fill="FFFFFF"/>
        </w:rPr>
        <w:t xml:space="preserve"> was used to quantify changes in these activation signatures within cell populations under different treatment conditions. AUCell determines the functional state of a cell's transcriptome by assessing gene set activity on a per-cell basis. It calculates the area under the cumulative distribution curve (AUC) to evaluate the expression ranking of a specific gene set within an individual cell. Initially, genes in each cell are ranked according to their expression levels, and the gene set's activity is then measured using AUC scores. This method offers significant advantages in analyzing gene set activity in high-dimensional single-cell datasets and is especially proficient in examining the impact of genes with low expression levels.</w:t>
      </w:r>
    </w:p>
    <w:p w14:paraId="6C0F30FE" w14:textId="77777777" w:rsidR="00A37BED" w:rsidRDefault="00A37BED" w:rsidP="00A37BED">
      <w:pPr>
        <w:pStyle w:val="Heading2"/>
      </w:pPr>
      <w:r>
        <w:t>Monocle3 Trajectory Analysis</w:t>
      </w:r>
    </w:p>
    <w:p w14:paraId="2FE7855A" w14:textId="6BABE99B" w:rsidR="00B723AD" w:rsidRDefault="004E6D5D" w:rsidP="009661A2">
      <w:pPr>
        <w:ind w:firstLine="720"/>
        <w:rPr>
          <w:shd w:val="clear" w:color="auto" w:fill="FFFFFF"/>
        </w:rPr>
      </w:pPr>
      <w:r>
        <w:rPr>
          <w:shd w:val="clear" w:color="auto" w:fill="FFFFFF"/>
        </w:rPr>
        <w:t xml:space="preserve">A </w:t>
      </w:r>
      <w:r w:rsidR="00BD2594">
        <w:rPr>
          <w:shd w:val="clear" w:color="auto" w:fill="FFFFFF"/>
        </w:rPr>
        <w:t>pseudo-time</w:t>
      </w:r>
      <w:r>
        <w:rPr>
          <w:shd w:val="clear" w:color="auto" w:fill="FFFFFF"/>
        </w:rPr>
        <w:t xml:space="preserve"> trajectory analysis was carried out with Monocle3 to deduce the transcriptional progression of cells, as referenced in </w:t>
      </w:r>
      <w:r w:rsidR="00A74159">
        <w:rPr>
          <w:shd w:val="clear" w:color="auto" w:fill="FFFFFF"/>
        </w:rPr>
        <w:t>(</w:t>
      </w:r>
      <w:r w:rsidR="00F95F71">
        <w:rPr>
          <w:shd w:val="clear" w:color="auto" w:fill="FFFFFF"/>
        </w:rPr>
        <w:t>PMID:</w:t>
      </w:r>
      <w:r>
        <w:rPr>
          <w:shd w:val="clear" w:color="auto" w:fill="FFFFFF"/>
        </w:rPr>
        <w:t>24658644,</w:t>
      </w:r>
      <w:r w:rsidR="00BB33B9" w:rsidRPr="00BB33B9">
        <w:rPr>
          <w:shd w:val="clear" w:color="auto" w:fill="FFFFFF"/>
        </w:rPr>
        <w:t xml:space="preserve"> </w:t>
      </w:r>
      <w:r w:rsidR="00BB33B9">
        <w:rPr>
          <w:shd w:val="clear" w:color="auto" w:fill="FFFFFF"/>
        </w:rPr>
        <w:t>PMID:</w:t>
      </w:r>
      <w:r>
        <w:rPr>
          <w:shd w:val="clear" w:color="auto" w:fill="FFFFFF"/>
        </w:rPr>
        <w:t>30787437</w:t>
      </w:r>
      <w:r w:rsidR="00A74159">
        <w:rPr>
          <w:shd w:val="clear" w:color="auto" w:fill="FFFFFF"/>
        </w:rPr>
        <w:t>)</w:t>
      </w:r>
      <w:r>
        <w:rPr>
          <w:shd w:val="clear" w:color="auto" w:fill="FFFFFF"/>
        </w:rPr>
        <w:t xml:space="preserve">. We brought in the expression matrix alongside metadata from Seurat. Following normalization, dimensionality reduction was executed using Monocle3's reduce_dimension function, and the cells were grouped using the cluster_cells function. A trajectory graph of cells was developed via the learn_graph function, which facilitated the ordering of cells along the </w:t>
      </w:r>
      <w:r w:rsidR="00BD2594">
        <w:rPr>
          <w:shd w:val="clear" w:color="auto" w:fill="FFFFFF"/>
        </w:rPr>
        <w:t>pseudo-time</w:t>
      </w:r>
      <w:r>
        <w:rPr>
          <w:shd w:val="clear" w:color="auto" w:fill="FFFFFF"/>
        </w:rPr>
        <w:t xml:space="preserve"> pathway. Expression patterns of selected genes were illustrated through plots across the </w:t>
      </w:r>
      <w:r w:rsidR="00BD2594">
        <w:rPr>
          <w:shd w:val="clear" w:color="auto" w:fill="FFFFFF"/>
        </w:rPr>
        <w:t>pseudo-time</w:t>
      </w:r>
      <w:r>
        <w:rPr>
          <w:shd w:val="clear" w:color="auto" w:fill="FFFFFF"/>
        </w:rPr>
        <w:t>, showcasing their trends along differentiation routes.</w:t>
      </w:r>
    </w:p>
    <w:p w14:paraId="3797773B" w14:textId="68FDBE54" w:rsidR="00B723AD" w:rsidRPr="00975350" w:rsidRDefault="00B723AD" w:rsidP="00975350">
      <w:pPr>
        <w:pStyle w:val="Heading2"/>
      </w:pPr>
      <w:r w:rsidRPr="00975350">
        <w:lastRenderedPageBreak/>
        <w:t xml:space="preserve">Public </w:t>
      </w:r>
      <w:r w:rsidR="00975350" w:rsidRPr="00975350">
        <w:rPr>
          <w:rStyle w:val="Strong"/>
          <w:b w:val="0"/>
          <w:bCs w:val="0"/>
        </w:rPr>
        <w:t>Data Acquisition from NCBI GEO</w:t>
      </w:r>
    </w:p>
    <w:p w14:paraId="05355E42" w14:textId="45FC8017" w:rsidR="00C6743B" w:rsidRDefault="00C6743B" w:rsidP="00C6743B">
      <w:pPr>
        <w:pStyle w:val="Heading2"/>
        <w:ind w:firstLine="720"/>
        <w:rPr>
          <w:rFonts w:ascii="Times New Roman" w:eastAsia="Times New Roman" w:hAnsi="Times New Roman" w:cs="Times New Roman"/>
          <w:color w:val="auto"/>
          <w:sz w:val="24"/>
          <w:szCs w:val="24"/>
        </w:rPr>
      </w:pPr>
      <w:r w:rsidRPr="00C6743B">
        <w:rPr>
          <w:rFonts w:ascii="Times New Roman" w:eastAsia="Times New Roman" w:hAnsi="Times New Roman" w:cs="Times New Roman"/>
          <w:color w:val="auto"/>
          <w:sz w:val="24"/>
          <w:szCs w:val="24"/>
        </w:rPr>
        <w:t xml:space="preserve">Publicly available gene expression and chromatin accessibility data were obtained from the NCBI Gene Expression Omnibus (GEO) under the accession number GSE123488 ("Loss-of-function of PTPN2 promotes pathogenic loss of FoxP3+ in RORgt+ Tregs"). This data series includes two subseries: GSE123484, consisting of bulk RNA-seq data, and GSE123486, consisting of ATAC-seq data. </w:t>
      </w:r>
      <w:r w:rsidR="000C64A5" w:rsidRPr="00C6743B">
        <w:rPr>
          <w:rFonts w:ascii="Times New Roman" w:eastAsia="Times New Roman" w:hAnsi="Times New Roman" w:cs="Times New Roman"/>
          <w:color w:val="auto"/>
          <w:sz w:val="24"/>
          <w:szCs w:val="24"/>
        </w:rPr>
        <w:t>Each</w:t>
      </w:r>
      <w:r w:rsidRPr="00C6743B">
        <w:rPr>
          <w:rFonts w:ascii="Times New Roman" w:eastAsia="Times New Roman" w:hAnsi="Times New Roman" w:cs="Times New Roman"/>
          <w:color w:val="auto"/>
          <w:sz w:val="24"/>
          <w:szCs w:val="24"/>
        </w:rPr>
        <w:t xml:space="preserve"> subseries pertains to the investigation of the effects of PTPN2 loss-of-function in FoxP3+ RORγt+ Tregs, as described in the associated publication (PMID: 30620725).</w:t>
      </w:r>
      <w:r>
        <w:rPr>
          <w:rFonts w:ascii="Times New Roman" w:eastAsia="Times New Roman" w:hAnsi="Times New Roman" w:cs="Times New Roman"/>
          <w:color w:val="auto"/>
          <w:sz w:val="24"/>
          <w:szCs w:val="24"/>
        </w:rPr>
        <w:t xml:space="preserve"> </w:t>
      </w:r>
      <w:r w:rsidRPr="00C6743B">
        <w:rPr>
          <w:rFonts w:ascii="Times New Roman" w:eastAsia="Times New Roman" w:hAnsi="Times New Roman" w:cs="Times New Roman"/>
          <w:color w:val="auto"/>
          <w:sz w:val="24"/>
          <w:szCs w:val="24"/>
        </w:rPr>
        <w:t>The raw and processed data files were downloaded directly from the GEO website (https://www.ncbi.nlm.nih.gov/geo/) using the respective accession numbers. Briefly, series matrix and supplementary files were accessed through the "Download Series Matrix File(s)" and "Supplementary files" sections on the GSE123488, GSE123484, and GSE123486 GEO pages. Data were downloaded as compressed files (.tar, .gz, or .zip formats) and extracted for further downstream analysis.</w:t>
      </w:r>
    </w:p>
    <w:p w14:paraId="67C87731" w14:textId="4F8A3C3A" w:rsidR="001548A5" w:rsidRDefault="00A33468" w:rsidP="00C6743B">
      <w:pPr>
        <w:pStyle w:val="Heading2"/>
      </w:pPr>
      <w:r>
        <w:t>Meme suite Tools</w:t>
      </w:r>
    </w:p>
    <w:p w14:paraId="416CF40F" w14:textId="6E65F8E5" w:rsidR="00FE40F5" w:rsidRDefault="00FE40F5" w:rsidP="00FE40F5">
      <w:pPr>
        <w:ind w:firstLine="720"/>
      </w:pPr>
      <w:r w:rsidRPr="00FE40F5">
        <w:t xml:space="preserve">Motif analyses were performed using tools from the MEME Suite (PMID:25953851). To assess motif enrichment, we employed the Analysis of Motif Enrichment (AME) tool (PMID:20356413), which identifies statistically significant enrichment of known motifs in input DNA sequences compared to a control set. For finding individual motif occurrences, we used the Find Individual Motif Occurrences (FIMO) tool (PMID:21330290), which scans sequences to detect locations of motifs with defined thresholds for </w:t>
      </w:r>
      <w:r w:rsidR="002F3720" w:rsidRPr="00FE40F5">
        <w:t>significance. For</w:t>
      </w:r>
      <w:r w:rsidRPr="00FE40F5">
        <w:t xml:space="preserve"> both enrichment and motif discovery analyses, we used the JASPAR 2026 CORE non-redundant motif database (PMID:41325984), selecting the collection of vertebrate transcription factor binding profiles. The relevant database was downloaded in MEME-compatible format and provided to both AME and FIMO as the motif input resource.</w:t>
      </w:r>
      <w:r>
        <w:t xml:space="preserve"> </w:t>
      </w:r>
      <w:r w:rsidRPr="00FE40F5">
        <w:t>All tools were run using default parameters unless otherwise specified. Motif occurrence thresholds were set according to recommended practices in the tool documentation. Results were further analyzed for biological relevance and visualized using meme-suite outputs.</w:t>
      </w:r>
    </w:p>
    <w:p w14:paraId="63235FCB" w14:textId="4D0B313E" w:rsidR="001548A5" w:rsidRPr="00FE40F5" w:rsidRDefault="001548A5" w:rsidP="00FE40F5">
      <w:pPr>
        <w:pStyle w:val="Heading2"/>
        <w:rPr>
          <w:rFonts w:ascii="Times New Roman" w:eastAsia="Times New Roman" w:hAnsi="Times New Roman" w:cs="Times New Roman"/>
          <w:color w:val="auto"/>
          <w:sz w:val="24"/>
          <w:szCs w:val="24"/>
        </w:rPr>
      </w:pPr>
      <w:r>
        <w:t>Integrated Genome Viewer</w:t>
      </w:r>
    </w:p>
    <w:p w14:paraId="43056E75" w14:textId="7366F433" w:rsidR="00B723AD" w:rsidRPr="00B723AD" w:rsidRDefault="00C50565" w:rsidP="00C50565">
      <w:pPr>
        <w:ind w:firstLine="720"/>
      </w:pPr>
      <w:r w:rsidRPr="00C50565">
        <w:t xml:space="preserve">Sequencing data aligned to the mm10 mouse reference genome were processed for visualization in the Integrative Genomics Viewer (IGV) (PMID:21221095). BED files containing genomic features were first sorted by chromosome and start position using standard UNIX sort commands to ensure compatibility using the samtools package (PMID:19505943). The sorted BED files were compressed with bgzip, then indexed with tabix to enable efficient loading and navigation within IGV. All processed files—compressed and indexed BED tracks </w:t>
      </w:r>
      <w:r w:rsidR="00A25E4E" w:rsidRPr="00C50565">
        <w:t>(. bed.gz</w:t>
      </w:r>
      <w:r w:rsidRPr="00C50565">
        <w:t xml:space="preserve"> with accompanying .tbi files) and bigWig (.bw) tracks—were loaded into IGV, with the mm10 reference genome selected.</w:t>
      </w:r>
    </w:p>
    <w:p w14:paraId="1C274F1E" w14:textId="62DA5DCC" w:rsidR="001A08A2" w:rsidRDefault="001A08A2" w:rsidP="001A08A2">
      <w:pPr>
        <w:pStyle w:val="Heading1"/>
      </w:pPr>
      <w:r>
        <w:lastRenderedPageBreak/>
        <w:t>Results</w:t>
      </w:r>
    </w:p>
    <w:p w14:paraId="591FD67F" w14:textId="580B2D84" w:rsidR="00F03A81" w:rsidRDefault="00F03A81" w:rsidP="00F03A81">
      <w:pPr>
        <w:pStyle w:val="Heading2"/>
      </w:pPr>
      <w:r>
        <w:t>Impact of PTPN2 Inhibition and PD-1 Blockade on Tumor-Infiltrating Lymphocyte Subsets and Activation Signatures</w:t>
      </w:r>
    </w:p>
    <w:p w14:paraId="3AA06572" w14:textId="7EC8A165" w:rsidR="005609C3" w:rsidRPr="00CE3CD4" w:rsidRDefault="00576E71" w:rsidP="005609C3">
      <w:pPr>
        <w:ind w:firstLine="720"/>
        <w:rPr>
          <w:rStyle w:val="Hyperlink"/>
        </w:rPr>
      </w:pPr>
      <w:r w:rsidRPr="00F03A81">
        <w:t>We</w:t>
      </w:r>
      <w:r w:rsidRPr="00576E71">
        <w:t xml:space="preserve"> investigated the influence of ABBV-CLS-484 (Ptpn2i) and an antibody for Pdcd1 (aPD1), both individually and in combination, on the phenotypes of tumor-infiltrating Treg and C</w:t>
      </w:r>
      <w:r w:rsidR="00B07132">
        <w:t>d</w:t>
      </w:r>
      <w:r w:rsidRPr="00576E71">
        <w:t>4/C</w:t>
      </w:r>
      <w:r w:rsidR="00B07132">
        <w:t>d</w:t>
      </w:r>
      <w:r w:rsidRPr="00576E71">
        <w:t xml:space="preserve">8 T cells using </w:t>
      </w:r>
      <w:r w:rsidR="005609C3">
        <w:t>single-cell RNA sequencing (</w:t>
      </w:r>
      <w:r w:rsidR="004642EB">
        <w:t>scRNAseq</w:t>
      </w:r>
      <w:r w:rsidR="005609C3">
        <w:t xml:space="preserve">) on CD45+ tumor-infiltrating lymphocytes (TILs) from CT26 tumors, </w:t>
      </w:r>
      <w:r w:rsidR="00A16F50">
        <w:t>across timepoints D3, D6, and D10</w:t>
      </w:r>
      <w:r w:rsidR="00D23627">
        <w:t xml:space="preserve"> (</w:t>
      </w:r>
      <w:hyperlink w:anchor="_Figure_One:_T" w:history="1">
        <w:r w:rsidR="00D23627" w:rsidRPr="00C81531">
          <w:rPr>
            <w:rStyle w:val="Hyperlink"/>
          </w:rPr>
          <w:t>Fig</w:t>
        </w:r>
        <w:r w:rsidR="00C81531" w:rsidRPr="00C81531">
          <w:rPr>
            <w:rStyle w:val="Hyperlink"/>
          </w:rPr>
          <w:t>. 1A</w:t>
        </w:r>
      </w:hyperlink>
      <w:r w:rsidR="00D23627">
        <w:t>)</w:t>
      </w:r>
      <w:r w:rsidR="00A16F50">
        <w:t xml:space="preserve">. In total </w:t>
      </w:r>
      <w:r w:rsidR="00BF1C0C" w:rsidRPr="00BF1C0C">
        <w:t>102863</w:t>
      </w:r>
      <w:r w:rsidR="00BF1C0C">
        <w:t xml:space="preserve"> cells were sequenced (</w:t>
      </w:r>
      <w:hyperlink w:anchor="SuppTableOne" w:history="1">
        <w:r w:rsidR="00A17FC7" w:rsidRPr="007A7490">
          <w:rPr>
            <w:rStyle w:val="Hyperlink"/>
          </w:rPr>
          <w:t>Supplementary Table One</w:t>
        </w:r>
      </w:hyperlink>
      <w:r w:rsidR="00BF1C0C">
        <w:t>)</w:t>
      </w:r>
      <w:r w:rsidR="007A7490">
        <w:t>.</w:t>
      </w:r>
      <w:r w:rsidR="00A16F50">
        <w:t xml:space="preserve"> </w:t>
      </w:r>
      <w:r w:rsidR="005F3068" w:rsidRPr="005F3068">
        <w:t>We present a uniform manifold approximation and projection (UMAP) analysis conducted on a dataset comprising 102,863 cells, which led to the identification of 16 distinct clusters within the CD45+-enriched immune cell population.</w:t>
      </w:r>
      <w:r w:rsidR="005609C3" w:rsidRPr="005F3068">
        <w:t xml:space="preserve"> (</w:t>
      </w:r>
      <w:r w:rsidR="00CE3CD4">
        <w:fldChar w:fldCharType="begin"/>
      </w:r>
      <w:r w:rsidR="00C81531">
        <w:instrText>HYPERLINK  \l "FigureOne"</w:instrText>
      </w:r>
      <w:r w:rsidR="00CE3CD4">
        <w:fldChar w:fldCharType="separate"/>
      </w:r>
      <w:r w:rsidR="005609C3" w:rsidRPr="00CE3CD4">
        <w:rPr>
          <w:rStyle w:val="Hyperlink"/>
        </w:rPr>
        <w:t>Fig. 1</w:t>
      </w:r>
      <w:r w:rsidR="009D2EF3">
        <w:rPr>
          <w:rStyle w:val="Hyperlink"/>
        </w:rPr>
        <w:t>B</w:t>
      </w:r>
      <w:r w:rsidR="005609C3" w:rsidRPr="00CE3CD4">
        <w:rPr>
          <w:rStyle w:val="Hyperlink"/>
        </w:rPr>
        <w:t>).</w:t>
      </w:r>
    </w:p>
    <w:p w14:paraId="3660A799" w14:textId="5C2F028F" w:rsidR="005609C3" w:rsidRDefault="00CE3CD4" w:rsidP="005609C3">
      <w:pPr>
        <w:ind w:firstLine="720"/>
      </w:pPr>
      <w:r>
        <w:fldChar w:fldCharType="end"/>
      </w:r>
      <w:r w:rsidR="005609C3">
        <w:t>To assess the efficacy of</w:t>
      </w:r>
      <w:r w:rsidR="00576E71">
        <w:t xml:space="preserve"> Ptpn2i</w:t>
      </w:r>
      <w:r w:rsidR="005609C3">
        <w:t xml:space="preserve"> treatment and potential mechanisms of action within the tumor microenvironment, we</w:t>
      </w:r>
      <w:r w:rsidR="005E1C75">
        <w:t xml:space="preserve"> calculated and</w:t>
      </w:r>
      <w:r w:rsidR="005609C3">
        <w:t xml:space="preserve"> analyzed temporal changes in cell type proportions, depicted using a stacked bar plot. The Y-axis represented cell proportions, while the X-axis indicated sequenced cells post-treatment, with different colors for each cell type (</w:t>
      </w:r>
      <w:hyperlink w:anchor="_Figure_One:_T" w:history="1">
        <w:r w:rsidR="00FE0F3B" w:rsidRPr="00302E7A">
          <w:rPr>
            <w:rStyle w:val="Hyperlink"/>
          </w:rPr>
          <w:t>Fig.1C</w:t>
        </w:r>
      </w:hyperlink>
      <w:r w:rsidR="005609C3">
        <w:t>). This approach allowed us to evaluate relative changes, mitigate the impact of absolute cell counts, and minimize technical variability.</w:t>
      </w:r>
    </w:p>
    <w:p w14:paraId="24E53913" w14:textId="3A34F6BD" w:rsidR="002C05EE" w:rsidRDefault="005609C3" w:rsidP="005609C3">
      <w:pPr>
        <w:ind w:firstLine="720"/>
      </w:pPr>
      <w:r>
        <w:t>Bar plots were</w:t>
      </w:r>
      <w:r w:rsidR="00474CAE">
        <w:t xml:space="preserve"> then</w:t>
      </w:r>
      <w:r>
        <w:t xml:space="preserve"> generated to illustrate changes in Treg</w:t>
      </w:r>
      <w:r w:rsidR="00375BFA">
        <w:t xml:space="preserve">, </w:t>
      </w:r>
      <w:r w:rsidR="00666B15">
        <w:t>Cd4</w:t>
      </w:r>
      <w:r w:rsidR="00375BFA">
        <w:t xml:space="preserve"> T </w:t>
      </w:r>
      <w:r>
        <w:t>cell</w:t>
      </w:r>
      <w:r w:rsidR="00375BFA">
        <w:t xml:space="preserve">, and </w:t>
      </w:r>
      <w:r w:rsidR="00666B15">
        <w:t>Cd8</w:t>
      </w:r>
      <w:r w:rsidR="00375BFA">
        <w:t xml:space="preserve"> T cell</w:t>
      </w:r>
      <w:r>
        <w:t xml:space="preserve"> </w:t>
      </w:r>
      <w:r w:rsidR="00375BFA">
        <w:t xml:space="preserve">cluster </w:t>
      </w:r>
      <w:r>
        <w:t xml:space="preserve">proportions following </w:t>
      </w:r>
      <w:r w:rsidR="004A01E7">
        <w:t>PTPN2i</w:t>
      </w:r>
      <w:r>
        <w:t xml:space="preserve"> treatment</w:t>
      </w:r>
      <w:r w:rsidR="00F70416">
        <w:t xml:space="preserve"> (</w:t>
      </w:r>
      <w:hyperlink w:anchor="_Figure_One:_T" w:history="1">
        <w:r w:rsidR="00FE0F3B" w:rsidRPr="00302E7A">
          <w:rPr>
            <w:rStyle w:val="Hyperlink"/>
          </w:rPr>
          <w:t>Fig.1D</w:t>
        </w:r>
      </w:hyperlink>
      <w:r w:rsidR="00F70416">
        <w:t>)</w:t>
      </w:r>
      <w:r>
        <w:t>. A two-proportion z-test was applied to identify significant differences between baseline and subsequent time points for each treatment. In Tregs, a significant proportional decrease was noted between D3 and D6</w:t>
      </w:r>
      <w:r w:rsidR="00DC3AD8">
        <w:t xml:space="preserve"> </w:t>
      </w:r>
      <w:r>
        <w:t xml:space="preserve">under </w:t>
      </w:r>
      <w:r w:rsidR="004A01E7">
        <w:t>PTPN2i</w:t>
      </w:r>
      <w:r>
        <w:t xml:space="preserve"> treatment</w:t>
      </w:r>
      <w:r w:rsidR="00F01F1C">
        <w:t xml:space="preserve"> (</w:t>
      </w:r>
      <w:r w:rsidR="00C1352F">
        <w:t>2.47</w:t>
      </w:r>
      <w:r w:rsidR="00F01F1C">
        <w:t>% to</w:t>
      </w:r>
      <w:r w:rsidR="00C1352F">
        <w:t xml:space="preserve"> 0.</w:t>
      </w:r>
      <w:r w:rsidR="003665C7">
        <w:t>11</w:t>
      </w:r>
      <w:r w:rsidR="00F01F1C">
        <w:t>%)</w:t>
      </w:r>
      <w:r>
        <w:t xml:space="preserve">, which was not observed in other regimens. </w:t>
      </w:r>
      <w:r w:rsidR="00666B15">
        <w:t>C</w:t>
      </w:r>
      <w:r w:rsidR="0055149F">
        <w:t>d</w:t>
      </w:r>
      <w:r w:rsidR="00666B15">
        <w:t>4</w:t>
      </w:r>
      <w:r>
        <w:t xml:space="preserve"> T cells demonstrated a decrease across all conditions except for </w:t>
      </w:r>
      <w:r w:rsidR="004A01E7">
        <w:t>PTPN2i</w:t>
      </w:r>
      <w:r>
        <w:t xml:space="preserve"> + aPD1, where proportions increased significantly</w:t>
      </w:r>
      <w:r w:rsidR="00071304">
        <w:t xml:space="preserve"> (</w:t>
      </w:r>
      <w:r w:rsidR="00071304" w:rsidRPr="00071304">
        <w:t>D3:</w:t>
      </w:r>
      <w:r w:rsidR="00071304">
        <w:t xml:space="preserve"> </w:t>
      </w:r>
      <w:r w:rsidR="00071304" w:rsidRPr="00071304">
        <w:t>4.62%;</w:t>
      </w:r>
      <w:r w:rsidR="00071304">
        <w:t xml:space="preserve"> </w:t>
      </w:r>
      <w:r w:rsidR="00071304" w:rsidRPr="00071304">
        <w:t>D6:</w:t>
      </w:r>
      <w:r w:rsidR="00071304">
        <w:t xml:space="preserve"> </w:t>
      </w:r>
      <w:r w:rsidR="00071304" w:rsidRPr="00071304">
        <w:t>6.77%;</w:t>
      </w:r>
      <w:r w:rsidR="00071304">
        <w:t xml:space="preserve"> </w:t>
      </w:r>
      <w:r w:rsidR="00071304" w:rsidRPr="00071304">
        <w:t>D10:</w:t>
      </w:r>
      <w:r w:rsidR="00071304">
        <w:t xml:space="preserve"> </w:t>
      </w:r>
      <w:r w:rsidR="00071304" w:rsidRPr="00071304">
        <w:t>10.7%</w:t>
      </w:r>
      <w:r w:rsidR="00071304">
        <w:t>)</w:t>
      </w:r>
      <w:r>
        <w:t xml:space="preserve">. </w:t>
      </w:r>
      <w:r w:rsidR="00C94DA7" w:rsidRPr="00C94DA7">
        <w:t>In C</w:t>
      </w:r>
      <w:r w:rsidR="0055149F">
        <w:t>d</w:t>
      </w:r>
      <w:r w:rsidR="00C94DA7" w:rsidRPr="00C94DA7">
        <w:t xml:space="preserve">8 T cells, a marked increase in proportions was seen between D3 and D10 for </w:t>
      </w:r>
      <w:r w:rsidR="004A01E7">
        <w:t>PTPN2i</w:t>
      </w:r>
      <w:r w:rsidR="00C94DA7" w:rsidRPr="00C94DA7">
        <w:t xml:space="preserve"> (D3: 0.16%; D6: 3.27%; D10: 6.03%) and </w:t>
      </w:r>
      <w:r w:rsidR="004A01E7">
        <w:t>PTPN2i</w:t>
      </w:r>
      <w:r w:rsidR="00C94DA7" w:rsidRPr="00C94DA7">
        <w:t xml:space="preserve"> + aPD1(D3: 0.43%; D6: 2.39%; D10: 9.18%) treatments compared to Vehicle and aPD1.</w:t>
      </w:r>
      <w:r w:rsidR="000E12D8" w:rsidRPr="000E12D8">
        <w:rPr>
          <w:rFonts w:ascii="Roboto" w:hAnsi="Roboto"/>
          <w:color w:val="071D49"/>
        </w:rPr>
        <w:t xml:space="preserve"> </w:t>
      </w:r>
      <w:r w:rsidR="000E12D8" w:rsidRPr="000E12D8">
        <w:t xml:space="preserve">We also performed a cross-regimen two-proportion z-test per experimental day for Treg, </w:t>
      </w:r>
      <w:r w:rsidR="00666B15">
        <w:t>C</w:t>
      </w:r>
      <w:r w:rsidR="0055149F">
        <w:t>d</w:t>
      </w:r>
      <w:r w:rsidR="00666B15">
        <w:t>4</w:t>
      </w:r>
      <w:r w:rsidR="000E12D8" w:rsidRPr="000E12D8">
        <w:t xml:space="preserve"> T cell, and </w:t>
      </w:r>
      <w:r w:rsidR="00666B15">
        <w:t>C</w:t>
      </w:r>
      <w:r w:rsidR="0055149F">
        <w:t>d</w:t>
      </w:r>
      <w:r w:rsidR="00666B15">
        <w:t>8</w:t>
      </w:r>
      <w:r w:rsidR="000E12D8" w:rsidRPr="000E12D8">
        <w:t xml:space="preserve"> T cell cluster proportions (</w:t>
      </w:r>
      <w:hyperlink w:anchor="_Supplementary_Figure_One:" w:history="1">
        <w:r w:rsidR="000E12D8" w:rsidRPr="000E12D8">
          <w:rPr>
            <w:rStyle w:val="Hyperlink"/>
          </w:rPr>
          <w:t>Supplementary Figure 1A</w:t>
        </w:r>
      </w:hyperlink>
      <w:r w:rsidR="000E12D8" w:rsidRPr="000E12D8">
        <w:t xml:space="preserve">). First, for Tregs on D3, we observed a significant increase in proportion across all regimens except for the combination Ptpn2i + aPD1, when compared to Vehicle (Vehicle: 1.9%; aPD1: 2.3%; Ptpn2i: 2.4%; Ptpn2i + aPD1: 1.5%). On D6, we observed a significant decrease in Treg proportions with Ptpn2i and combination Ptpn2i + aPD1 treatment regimens compared to Vehicle (Vehicle: 2.1%; Ptpn2i: 0.6%; Ptpn2i + aPD1: 1.3%). Finally, on D10, a significant decrease compared to Vehicle was observed only under the Ptpn2i regimen (Vehicle: 0.6%; Ptpn2i: 0.3%). Next, for </w:t>
      </w:r>
      <w:r w:rsidR="00666B15">
        <w:t>C</w:t>
      </w:r>
      <w:r w:rsidR="0055149F">
        <w:t>d</w:t>
      </w:r>
      <w:r w:rsidR="00666B15">
        <w:t>4</w:t>
      </w:r>
      <w:r w:rsidR="000E12D8" w:rsidRPr="000E12D8">
        <w:t xml:space="preserve"> T cells on D3, we observed a significant decrease in proportions compared to Vehicle for the Ptpn2i and combination Ptpn2i + aPD1 treatment regimens (Vehicle: 7.7%; Ptpn2i: 7.0%; Ptpn2i + aPD1: 4.6%), with the same trend observed on D6 (Vehicle: 8.1%; Ptpn2i: 5.2%; Ptpn2i + aPD1: 6.7%). On D10, we saw a significant increase in proportion across all regimens compared to Vehicle (Vehicle: 4.2%; aPD1: 5.3%; Ptpn2i: 5.7%; Ptpn2i + aPD1: 10.7%). Finally, for </w:t>
      </w:r>
      <w:r w:rsidR="00666B15">
        <w:t>C</w:t>
      </w:r>
      <w:r w:rsidR="0055149F">
        <w:t>d</w:t>
      </w:r>
      <w:r w:rsidR="00666B15">
        <w:t>8</w:t>
      </w:r>
      <w:r w:rsidR="000E12D8" w:rsidRPr="000E12D8">
        <w:t xml:space="preserve"> T cells on D3, we observed a significant increase in proportion only in the combination Ptpn2i + aPD1 regimen compared to Vehicle (Vehicle: 0.2%; Ptpn2i + aPD1: 0.4%). On D6, we observed an increase in proportion across all regimens compared to Vehicle (Vehicle: 0.7%; aPD1: 1.7%; Ptpn2i: 3.3%; Ptpn2i + aPD1: 2.3%), and again on D10, an </w:t>
      </w:r>
      <w:r w:rsidR="000E12D8" w:rsidRPr="000E12D8">
        <w:lastRenderedPageBreak/>
        <w:t>increase was observed across all regimens compared to Vehicle (Vehicle: 2.8%; aPD1: 3.5%; Ptpn2i: 6.0%; Ptpn2i + aPD1: 9.2%).</w:t>
      </w:r>
      <w:r w:rsidR="002C05EE">
        <w:t xml:space="preserve"> </w:t>
      </w:r>
    </w:p>
    <w:p w14:paraId="2D44D46D" w14:textId="5C039A44" w:rsidR="00C94DA7" w:rsidRDefault="002C05EE" w:rsidP="005609C3">
      <w:pPr>
        <w:ind w:firstLine="720"/>
      </w:pPr>
      <w:r>
        <w:t>W</w:t>
      </w:r>
      <w:r w:rsidRPr="002C05EE">
        <w:t>e</w:t>
      </w:r>
      <w:r>
        <w:t xml:space="preserve"> proceeded to</w:t>
      </w:r>
      <w:r w:rsidRPr="002C05EE">
        <w:t xml:space="preserve"> compare changes in T cell population ratios across CD4, CD8, and Treg populations in all treatment regimens (</w:t>
      </w:r>
      <w:hyperlink w:anchor="_Figure_One:_T" w:history="1">
        <w:r w:rsidRPr="002C05EE">
          <w:rPr>
            <w:rStyle w:val="Hyperlink"/>
          </w:rPr>
          <w:t>Fig. 1E</w:t>
        </w:r>
      </w:hyperlink>
      <w:r w:rsidRPr="002C05EE">
        <w:t>). Across all regimens, we observed that the largest ratio belonged to CD4 T cells, which decreased over the course of the study from Day 3 (Vehicle: 0.78; aPD1: 0.73; Ptpn2i: 0.72; Ptpn2i + aPD1: 0.71) to Day 10 (Vehicle: 0.55; aPD1: 0.54; Ptpn2i: 0.47; Ptpn2i + aPD1: 0.52), with the Ptpn2i condition exhibiting the greatest reduction. The Treg ratio was the second largest at the start of the experiment on Day 3 (Vehicle: 0.2; aPD1: 0.23; Ptpn2i: 0.25; Ptpn2i + aPD1: 0.23), but was greatly reduced by Day 10 (Vehicle: 0.09; aPD1: 0.1; Ptpn2i: 0.03; Ptpn2i + aPD1: 0.03), with the greatest reduction seen in the Ptpn2i and combination Ptpn2i + aPD1 treatments. Lastly, we observed that CD8 T cells had the smallest ratio on Day 3 (Vehicle: 0.02; aPD1: 0.03; Ptpn2i: 0.02; Ptpn2i + aPD1: 0.07) but expanded notably by Day 10 (Vehicle: 0.37; aPD1: 0.36; Ptpn2i: 0.5; Ptpn2i + aPD1: 0.45), with the highest CD8 T cell ratio observed under Ptpn2i conditions.</w:t>
      </w:r>
    </w:p>
    <w:p w14:paraId="6A75E631" w14:textId="2ACABF84" w:rsidR="005609C3" w:rsidRDefault="005609C3" w:rsidP="006D7C49">
      <w:pPr>
        <w:ind w:firstLine="720"/>
      </w:pPr>
      <w:r>
        <w:t xml:space="preserve">Following observations of shifts in </w:t>
      </w:r>
      <w:r w:rsidR="00685DBD">
        <w:t xml:space="preserve">Treg, </w:t>
      </w:r>
      <w:r w:rsidR="00666B15">
        <w:t>C</w:t>
      </w:r>
      <w:r w:rsidR="00AB448C">
        <w:t>d</w:t>
      </w:r>
      <w:r w:rsidR="00666B15">
        <w:t>4</w:t>
      </w:r>
      <w:r w:rsidR="00685DBD">
        <w:t xml:space="preserve"> T cell, and </w:t>
      </w:r>
      <w:r w:rsidR="00666B15">
        <w:t>Cd8</w:t>
      </w:r>
      <w:r w:rsidR="00685DBD">
        <w:t xml:space="preserve"> T cell cluster proportions</w:t>
      </w:r>
      <w:r>
        <w:t>, we explored changes in their activation signatures</w:t>
      </w:r>
      <w:r w:rsidR="00AA7A6A">
        <w:t>.</w:t>
      </w:r>
      <w:r w:rsidR="00E76099">
        <w:t xml:space="preserve"> Genes with differential </w:t>
      </w:r>
      <w:r w:rsidR="00065D6C">
        <w:t xml:space="preserve">expression across treatment regimens </w:t>
      </w:r>
      <w:r w:rsidR="001902E7">
        <w:t>that</w:t>
      </w:r>
      <w:r w:rsidR="00445722">
        <w:t xml:space="preserve"> belonged to the </w:t>
      </w:r>
      <w:r w:rsidR="000453A5">
        <w:t>annotated GO</w:t>
      </w:r>
      <w:r w:rsidR="00035CF6">
        <w:t xml:space="preserve"> terms </w:t>
      </w:r>
      <w:r w:rsidR="00445722">
        <w:t xml:space="preserve">: </w:t>
      </w:r>
      <w:r w:rsidR="00E5654C" w:rsidRPr="00E5654C">
        <w:t>T cell activation (GO:0042110),C</w:t>
      </w:r>
      <w:r w:rsidR="00AB448C">
        <w:t>d</w:t>
      </w:r>
      <w:r w:rsidR="00E5654C" w:rsidRPr="00E5654C">
        <w:t>8-positive T cell activation (GO:0036037),C</w:t>
      </w:r>
      <w:r w:rsidR="00AB448C">
        <w:t>d</w:t>
      </w:r>
      <w:r w:rsidR="00E5654C" w:rsidRPr="00E5654C">
        <w:t xml:space="preserve">4-positive T cell activation (GO:0035710), and Regulatory T cell </w:t>
      </w:r>
      <w:r w:rsidR="00D505C3">
        <w:t>activation</w:t>
      </w:r>
      <w:r w:rsidR="00E5654C" w:rsidRPr="00E5654C">
        <w:t xml:space="preserve"> (GO:0045066) </w:t>
      </w:r>
      <w:r w:rsidR="00420DBD">
        <w:t xml:space="preserve"> were used </w:t>
      </w:r>
      <w:r w:rsidR="00D505C3">
        <w:t xml:space="preserve">as gene sets </w:t>
      </w:r>
      <w:r w:rsidR="00056F42">
        <w:t xml:space="preserve">used by </w:t>
      </w:r>
      <w:r w:rsidR="00E76384">
        <w:t xml:space="preserve"> AuCell </w:t>
      </w:r>
      <w:r w:rsidR="00056F42">
        <w:t xml:space="preserve"> for scoring activation across the different treatment regimen </w:t>
      </w:r>
      <w:r w:rsidR="00E76384">
        <w:t xml:space="preserve">and plotted </w:t>
      </w:r>
      <w:r w:rsidR="009E2082">
        <w:t>as</w:t>
      </w:r>
      <w:r w:rsidR="00AE72A8">
        <w:t xml:space="preserve"> heatmaps</w:t>
      </w:r>
      <w:r>
        <w:t xml:space="preserve"> (</w:t>
      </w:r>
      <w:hyperlink w:anchor="_Figure_One:_T" w:history="1">
        <w:r w:rsidR="004E76C8" w:rsidRPr="00302E7A">
          <w:rPr>
            <w:rStyle w:val="Hyperlink"/>
          </w:rPr>
          <w:t>Fig.1</w:t>
        </w:r>
        <w:r w:rsidR="00302E7A" w:rsidRPr="00302E7A">
          <w:rPr>
            <w:rStyle w:val="Hyperlink"/>
          </w:rPr>
          <w:t>F</w:t>
        </w:r>
      </w:hyperlink>
      <w:r w:rsidR="00FA5113">
        <w:t xml:space="preserve">, </w:t>
      </w:r>
      <w:hyperlink w:anchor="SuppFigOne" w:history="1">
        <w:r w:rsidR="00FA5113" w:rsidRPr="007B12BB">
          <w:rPr>
            <w:rStyle w:val="Hyperlink"/>
          </w:rPr>
          <w:t xml:space="preserve">Supplementary Figure </w:t>
        </w:r>
        <w:r w:rsidR="00C02AA0" w:rsidRPr="007B12BB">
          <w:rPr>
            <w:rStyle w:val="Hyperlink"/>
          </w:rPr>
          <w:t>One</w:t>
        </w:r>
      </w:hyperlink>
      <w:r>
        <w:t xml:space="preserve">). A decrease in Treg activation scores was associated with </w:t>
      </w:r>
      <w:r w:rsidR="004A01E7">
        <w:t>PTPN2</w:t>
      </w:r>
      <w:r w:rsidR="00830A7A">
        <w:t>i</w:t>
      </w:r>
      <w:r>
        <w:t xml:space="preserve"> and </w:t>
      </w:r>
      <w:r w:rsidR="004A01E7">
        <w:t>PTPN2</w:t>
      </w:r>
      <w:r w:rsidR="00830A7A">
        <w:t>i</w:t>
      </w:r>
      <w:r>
        <w:t xml:space="preserve">+ aPD1 regimens, while </w:t>
      </w:r>
      <w:r w:rsidR="00666B15">
        <w:t>Cd4</w:t>
      </w:r>
      <w:r w:rsidR="00830A7A">
        <w:t xml:space="preserve"> T cell, and </w:t>
      </w:r>
      <w:r w:rsidR="00666B15">
        <w:t>Cd8</w:t>
      </w:r>
      <w:r w:rsidR="00830A7A">
        <w:t xml:space="preserve"> T cell cluster</w:t>
      </w:r>
      <w:r>
        <w:t xml:space="preserve"> activation scores increased, indicating a shift from an immune-suppressive to an active anti-tumor response within the tumor microenvironment.</w:t>
      </w:r>
      <w:r w:rsidR="002E20D1">
        <w:t xml:space="preserve"> In the Treg cluster, adjusted activation z-scores were evaluated on days 6 and 10 across different treatment regimens: Vehicle (D6: 0.88; D10: 0.95), aPD-1 (D6: 0.82; D10: 0.71), PTPN2i (D6: -1.0; D10: -0.55), and the combination of PTPN2i + aPD-1 (D6: -0.63; D10: -1.0). Notably, regimens involving PTPN2i demonstrated a substantial reversal in activation scores.</w:t>
      </w:r>
      <w:r w:rsidR="00580CCA">
        <w:t xml:space="preserve"> </w:t>
      </w:r>
      <w:r w:rsidR="002E20D1">
        <w:t xml:space="preserve">For </w:t>
      </w:r>
      <w:r w:rsidR="00666B15">
        <w:t>Cd4</w:t>
      </w:r>
      <w:r w:rsidR="002E20D1">
        <w:t xml:space="preserve"> T cells, a comparative analysis of adjusted activation z-scores on days 6 and 10 under various treatments revealed the following values: Vehicle (D6: -1.0; D10: -1.0), aPD-1 (D6: -0.1; D10: -0.6), PTPN2i (D6: 0.81; D10: 0.83), and PTPN2i + aPD-1 (D6: 0.66; D10: 0.88). These findings indicate an increase in activation scores in this cell population. Lastly, the assessment of adjusted activation z-scores for </w:t>
      </w:r>
      <w:r w:rsidR="00666B15">
        <w:t>Cd8</w:t>
      </w:r>
      <w:r w:rsidR="002E20D1">
        <w:t xml:space="preserve"> T cells on days 6 and 10 yielded the following: Vehicle (D6: -1.0; D10: -1.0), aPD-1 (D6: 0.00; D10: -0.31), PTPN2i (D6: 0.99; D10: 0.45), and PTPN2i + aPD-1 (D6: 0.34; D10: 1.0). An increase in activation scores was observed in </w:t>
      </w:r>
      <w:r w:rsidR="00666B15">
        <w:t>Cd8</w:t>
      </w:r>
      <w:r w:rsidR="002E20D1">
        <w:t xml:space="preserve"> T cells, particularly noteworthy with both PTPN2i and PTPN2i + aPD-1 treatments.</w:t>
      </w:r>
    </w:p>
    <w:p w14:paraId="0CB8089A" w14:textId="2E28DC0C" w:rsidR="0047646B" w:rsidRDefault="00A7552E" w:rsidP="00787A00">
      <w:pPr>
        <w:jc w:val="center"/>
        <w:rPr>
          <w:shd w:val="clear" w:color="auto" w:fill="FFFFFF"/>
        </w:rPr>
      </w:pPr>
      <w:r w:rsidRPr="00A7552E">
        <w:rPr>
          <w:noProof/>
          <w:shd w:val="clear" w:color="auto" w:fill="FFFFFF"/>
        </w:rPr>
        <w:lastRenderedPageBreak/>
        <w:drawing>
          <wp:inline distT="0" distB="0" distL="0" distR="0" wp14:anchorId="708E7799" wp14:editId="404BCE53">
            <wp:extent cx="4996815" cy="6624084"/>
            <wp:effectExtent l="0" t="0" r="0" b="5715"/>
            <wp:docPr id="1255139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139970" name=""/>
                    <pic:cNvPicPr/>
                  </pic:nvPicPr>
                  <pic:blipFill rotWithShape="1">
                    <a:blip r:embed="rId12"/>
                    <a:srcRect b="19509"/>
                    <a:stretch>
                      <a:fillRect/>
                    </a:stretch>
                  </pic:blipFill>
                  <pic:spPr bwMode="auto">
                    <a:xfrm>
                      <a:off x="0" y="0"/>
                      <a:ext cx="4996815" cy="6624084"/>
                    </a:xfrm>
                    <a:prstGeom prst="rect">
                      <a:avLst/>
                    </a:prstGeom>
                    <a:ln>
                      <a:noFill/>
                    </a:ln>
                    <a:extLst>
                      <a:ext uri="{53640926-AAD7-44D8-BBD7-CCE9431645EC}">
                        <a14:shadowObscured xmlns:a14="http://schemas.microsoft.com/office/drawing/2010/main"/>
                      </a:ext>
                    </a:extLst>
                  </pic:spPr>
                </pic:pic>
              </a:graphicData>
            </a:graphic>
          </wp:inline>
        </w:drawing>
      </w:r>
    </w:p>
    <w:p w14:paraId="244ED412" w14:textId="136B3505" w:rsidR="00CE2363" w:rsidRDefault="00EE4C0D" w:rsidP="00CE125A">
      <w:pPr>
        <w:pStyle w:val="Heading3"/>
        <w:rPr>
          <w:shd w:val="clear" w:color="auto" w:fill="FFFFFF"/>
        </w:rPr>
      </w:pPr>
      <w:bookmarkStart w:id="1" w:name="_Figure_One:_T"/>
      <w:bookmarkEnd w:id="1"/>
      <w:r w:rsidRPr="00CE125A">
        <w:t>Figure One</w:t>
      </w:r>
      <w:bookmarkStart w:id="2" w:name="FigureOne"/>
      <w:bookmarkEnd w:id="2"/>
      <w:r w:rsidRPr="00CE125A">
        <w:t xml:space="preserve">: T cell Population response to </w:t>
      </w:r>
      <w:r w:rsidR="004A01E7">
        <w:t>PTPN2i</w:t>
      </w:r>
      <w:r w:rsidRPr="00CE125A">
        <w:t xml:space="preserve"> treatment </w:t>
      </w:r>
      <w:r w:rsidR="00D27860" w:rsidRPr="00CE125A">
        <w:t>regimen</w:t>
      </w:r>
    </w:p>
    <w:p w14:paraId="69FF82F8" w14:textId="70C564EF" w:rsidR="00351D5F" w:rsidRPr="000971D6" w:rsidRDefault="00B40E7B" w:rsidP="000971D6">
      <w:pPr>
        <w:rPr>
          <w:shd w:val="clear" w:color="auto" w:fill="FFFFFF"/>
        </w:rPr>
      </w:pPr>
      <w:r>
        <w:rPr>
          <w:shd w:val="clear" w:color="auto" w:fill="FFFFFF"/>
        </w:rPr>
        <w:t>(A)</w:t>
      </w:r>
      <w:r w:rsidR="000971D6">
        <w:rPr>
          <w:shd w:val="clear" w:color="auto" w:fill="FFFFFF"/>
        </w:rPr>
        <w:t xml:space="preserve"> </w:t>
      </w:r>
      <w:r w:rsidR="000971D6" w:rsidRPr="000971D6">
        <w:rPr>
          <w:shd w:val="clear" w:color="auto" w:fill="FFFFFF"/>
        </w:rPr>
        <w:t>Schematic of</w:t>
      </w:r>
      <w:r w:rsidR="00B700EF">
        <w:rPr>
          <w:shd w:val="clear" w:color="auto" w:fill="FFFFFF"/>
        </w:rPr>
        <w:t xml:space="preserve"> scRNAseq </w:t>
      </w:r>
      <w:r w:rsidR="000971D6" w:rsidRPr="000971D6">
        <w:rPr>
          <w:shd w:val="clear" w:color="auto" w:fill="FFFFFF"/>
        </w:rPr>
        <w:t>experimental design</w:t>
      </w:r>
      <w:r w:rsidR="00B700EF">
        <w:rPr>
          <w:shd w:val="clear" w:color="auto" w:fill="FFFFFF"/>
        </w:rPr>
        <w:t>.</w:t>
      </w:r>
      <w:r w:rsidR="00A7552E" w:rsidRPr="000971D6">
        <w:rPr>
          <w:shd w:val="clear" w:color="auto" w:fill="FFFFFF"/>
        </w:rPr>
        <w:t xml:space="preserve"> (B)</w:t>
      </w:r>
      <w:r w:rsidR="000971D6">
        <w:rPr>
          <w:shd w:val="clear" w:color="auto" w:fill="FFFFFF"/>
        </w:rPr>
        <w:t xml:space="preserve"> </w:t>
      </w:r>
      <w:r w:rsidR="00351D5F" w:rsidRPr="000971D6">
        <w:rPr>
          <w:shd w:val="clear" w:color="auto" w:fill="FFFFFF"/>
        </w:rPr>
        <w:t xml:space="preserve">UMAP of total scRNAseq experiment. </w:t>
      </w:r>
      <w:r w:rsidRPr="000971D6">
        <w:rPr>
          <w:shd w:val="clear" w:color="auto" w:fill="FFFFFF"/>
        </w:rPr>
        <w:t>(</w:t>
      </w:r>
      <w:r w:rsidR="00A7552E" w:rsidRPr="000971D6">
        <w:rPr>
          <w:shd w:val="clear" w:color="auto" w:fill="FFFFFF"/>
        </w:rPr>
        <w:t>C</w:t>
      </w:r>
      <w:r w:rsidRPr="000971D6">
        <w:rPr>
          <w:shd w:val="clear" w:color="auto" w:fill="FFFFFF"/>
        </w:rPr>
        <w:t xml:space="preserve">) </w:t>
      </w:r>
      <w:r w:rsidR="00351D5F" w:rsidRPr="000971D6">
        <w:rPr>
          <w:shd w:val="clear" w:color="auto" w:fill="FFFFFF"/>
        </w:rPr>
        <w:t>Stacked bar plot of population changes across scRNAseq experiment</w:t>
      </w:r>
      <w:r w:rsidRPr="000971D6">
        <w:rPr>
          <w:shd w:val="clear" w:color="auto" w:fill="FFFFFF"/>
        </w:rPr>
        <w:t>. (</w:t>
      </w:r>
      <w:r w:rsidR="00A7552E" w:rsidRPr="000971D6">
        <w:rPr>
          <w:shd w:val="clear" w:color="auto" w:fill="FFFFFF"/>
        </w:rPr>
        <w:t>D</w:t>
      </w:r>
      <w:r w:rsidRPr="000971D6">
        <w:rPr>
          <w:shd w:val="clear" w:color="auto" w:fill="FFFFFF"/>
        </w:rPr>
        <w:t xml:space="preserve">) </w:t>
      </w:r>
      <w:r w:rsidR="00351D5F" w:rsidRPr="000971D6">
        <w:rPr>
          <w:shd w:val="clear" w:color="auto" w:fill="FFFFFF"/>
        </w:rPr>
        <w:t xml:space="preserve">Changes in T cell proportions across treatment </w:t>
      </w:r>
      <w:r w:rsidRPr="000971D6">
        <w:rPr>
          <w:shd w:val="clear" w:color="auto" w:fill="FFFFFF"/>
        </w:rPr>
        <w:t>regimen</w:t>
      </w:r>
      <w:r w:rsidR="00351D5F" w:rsidRPr="000971D6">
        <w:rPr>
          <w:shd w:val="clear" w:color="auto" w:fill="FFFFFF"/>
        </w:rPr>
        <w:t xml:space="preserve"> for i. Tregs, ii. Cd4 T cells, iii. Cd8 T cells, and iv. Effector vs. Regulatory T cell Proportions across experiment.</w:t>
      </w:r>
      <w:r w:rsidRPr="000971D6">
        <w:rPr>
          <w:shd w:val="clear" w:color="auto" w:fill="FFFFFF"/>
        </w:rPr>
        <w:t xml:space="preserve"> (</w:t>
      </w:r>
      <w:r w:rsidR="00A7552E" w:rsidRPr="000971D6">
        <w:rPr>
          <w:shd w:val="clear" w:color="auto" w:fill="FFFFFF"/>
        </w:rPr>
        <w:t>E</w:t>
      </w:r>
      <w:r w:rsidRPr="000971D6">
        <w:rPr>
          <w:shd w:val="clear" w:color="auto" w:fill="FFFFFF"/>
        </w:rPr>
        <w:t xml:space="preserve">) </w:t>
      </w:r>
      <w:r w:rsidR="00FF3D9A" w:rsidRPr="00FF3D9A">
        <w:rPr>
          <w:shd w:val="clear" w:color="auto" w:fill="FFFFFF"/>
        </w:rPr>
        <w:t>Stacked bar plot or Cd4/Cd8/Treg ratios</w:t>
      </w:r>
      <w:r w:rsidR="00B700EF">
        <w:rPr>
          <w:shd w:val="clear" w:color="auto" w:fill="FFFFFF"/>
        </w:rPr>
        <w:t xml:space="preserve"> across treatment regimen.</w:t>
      </w:r>
      <w:r w:rsidR="005A5D42">
        <w:rPr>
          <w:shd w:val="clear" w:color="auto" w:fill="FFFFFF"/>
        </w:rPr>
        <w:t xml:space="preserve"> (F) </w:t>
      </w:r>
      <w:r w:rsidR="00351D5F" w:rsidRPr="000971D6">
        <w:rPr>
          <w:shd w:val="clear" w:color="auto" w:fill="FFFFFF"/>
        </w:rPr>
        <w:t xml:space="preserve">Heatmap of AuCell Gene Set scoring of differentially expressed genes that belong </w:t>
      </w:r>
      <w:r w:rsidR="00A772D0" w:rsidRPr="000971D6">
        <w:rPr>
          <w:shd w:val="clear" w:color="auto" w:fill="FFFFFF"/>
        </w:rPr>
        <w:t>for</w:t>
      </w:r>
      <w:r w:rsidR="00351D5F" w:rsidRPr="000971D6">
        <w:rPr>
          <w:shd w:val="clear" w:color="auto" w:fill="FFFFFF"/>
        </w:rPr>
        <w:t xml:space="preserve"> i. Treg Activation, ii. Cd4 T cell Activation, iii. Cd8 T cell Activation.</w:t>
      </w:r>
    </w:p>
    <w:p w14:paraId="383F010F" w14:textId="02A5862D" w:rsidR="00114171" w:rsidRDefault="004A01E7" w:rsidP="00B50F32">
      <w:pPr>
        <w:pStyle w:val="Heading2"/>
      </w:pPr>
      <w:r>
        <w:lastRenderedPageBreak/>
        <w:t>PTPN2i</w:t>
      </w:r>
      <w:r w:rsidR="0061667F" w:rsidRPr="0061667F">
        <w:t xml:space="preserve"> </w:t>
      </w:r>
      <w:r w:rsidR="00994EB0">
        <w:t xml:space="preserve">upregulates TCR </w:t>
      </w:r>
      <w:r w:rsidR="00831901">
        <w:t>genes,</w:t>
      </w:r>
      <w:r w:rsidR="002F3090">
        <w:t xml:space="preserve"> expands</w:t>
      </w:r>
      <w:r w:rsidR="0061667F" w:rsidRPr="0061667F">
        <w:t xml:space="preserve"> TCR Clonality</w:t>
      </w:r>
      <w:r w:rsidR="00734738">
        <w:t>,</w:t>
      </w:r>
      <w:r w:rsidR="0061667F" w:rsidRPr="0061667F">
        <w:t xml:space="preserve"> and Activation</w:t>
      </w:r>
      <w:r w:rsidR="00734738">
        <w:t xml:space="preserve"> of Cd4 and Cd8 T cells</w:t>
      </w:r>
    </w:p>
    <w:p w14:paraId="76F8DC74" w14:textId="33B99E31" w:rsidR="001E7AF3" w:rsidRDefault="001E7AF3" w:rsidP="00B55D40">
      <w:pPr>
        <w:ind w:firstLine="720"/>
      </w:pPr>
      <w:r>
        <w:t xml:space="preserve">To evaluate the impact of </w:t>
      </w:r>
      <w:r w:rsidR="00DC5903">
        <w:t>Ptpn</w:t>
      </w:r>
      <w:r w:rsidR="004A01E7">
        <w:t>2i</w:t>
      </w:r>
      <w:r>
        <w:t xml:space="preserve"> treatment on TCR components' expression, TCR clonality prevalence, and its association with T cell activation states, we analyzed </w:t>
      </w:r>
      <w:r w:rsidR="001D29C9">
        <w:t>D10</w:t>
      </w:r>
      <w:r>
        <w:t xml:space="preserve"> gene expression signals across various treatment regimens. Differential expression of TCR genes was computed for </w:t>
      </w:r>
      <w:r w:rsidR="00666B15">
        <w:t>Cd4</w:t>
      </w:r>
      <w:r>
        <w:t xml:space="preserve"> T cell</w:t>
      </w:r>
      <w:r w:rsidR="00A8137F">
        <w:t xml:space="preserve"> </w:t>
      </w:r>
      <w:r>
        <w:t xml:space="preserve">and </w:t>
      </w:r>
      <w:r w:rsidR="00666B15">
        <w:t>Cd8</w:t>
      </w:r>
      <w:r>
        <w:t xml:space="preserve"> T cell clusters, and their scaled expressions were represented as heatmaps (</w:t>
      </w:r>
      <w:hyperlink w:anchor="FigureTwo" w:history="1">
        <w:r w:rsidRPr="00C919D4">
          <w:rPr>
            <w:rStyle w:val="Hyperlink"/>
          </w:rPr>
          <w:t>Fig. 2A</w:t>
        </w:r>
      </w:hyperlink>
      <w:r>
        <w:t xml:space="preserve">). Notably, </w:t>
      </w:r>
      <w:r w:rsidR="004A01E7">
        <w:t>PTPN2i</w:t>
      </w:r>
      <w:r>
        <w:t xml:space="preserve"> and combin</w:t>
      </w:r>
      <w:r w:rsidR="00EA1B3C">
        <w:t>ation</w:t>
      </w:r>
      <w:r>
        <w:t xml:space="preserve"> </w:t>
      </w:r>
      <w:r w:rsidR="004A01E7">
        <w:t>PTPN2i</w:t>
      </w:r>
      <w:r>
        <w:t xml:space="preserve"> + aPD1 treatments resulted in elevated Cd3 protein expression </w:t>
      </w:r>
      <w:r w:rsidR="00A8137F">
        <w:t xml:space="preserve">in </w:t>
      </w:r>
      <w:r w:rsidR="00666B15">
        <w:t>Cd4</w:t>
      </w:r>
      <w:r w:rsidR="00A8137F">
        <w:t xml:space="preserve"> T cells and </w:t>
      </w:r>
      <w:r w:rsidR="00666B15">
        <w:t>Cd8</w:t>
      </w:r>
      <w:r w:rsidR="00A8137F">
        <w:t xml:space="preserve"> </w:t>
      </w:r>
      <w:r>
        <w:t xml:space="preserve">compared to vehicle conditions. </w:t>
      </w:r>
      <w:r w:rsidR="00B55D40">
        <w:t xml:space="preserve">Lastly, </w:t>
      </w:r>
      <w:r w:rsidR="002B7304">
        <w:t xml:space="preserve">we also checked if there were any transcriptional differences regarding TCR signaling </w:t>
      </w:r>
      <w:r w:rsidR="00B55D40">
        <w:t xml:space="preserve">within the Treg population </w:t>
      </w:r>
      <w:r w:rsidR="002B7304">
        <w:t xml:space="preserve"> and found that </w:t>
      </w:r>
      <w:r w:rsidR="00B55D40">
        <w:t>the expression of  Cd3</w:t>
      </w:r>
      <w:r w:rsidR="00B06CBA">
        <w:t xml:space="preserve"> genes</w:t>
      </w:r>
      <w:r w:rsidR="00B55D40">
        <w:t xml:space="preserve"> were higher with aPD1 treatment, and fewer differentially expressed genes related to TCR components were detected (</w:t>
      </w:r>
      <w:hyperlink w:anchor="_Supplementary_Figure_Two:" w:history="1">
        <w:r w:rsidR="006536D6">
          <w:rPr>
            <w:rStyle w:val="Hyperlink"/>
          </w:rPr>
          <w:t>Supplementary Figure 2A</w:t>
        </w:r>
      </w:hyperlink>
      <w:r w:rsidR="00B55D40">
        <w:t>).</w:t>
      </w:r>
    </w:p>
    <w:p w14:paraId="63092048" w14:textId="69A6D18F" w:rsidR="00B53436" w:rsidRDefault="001E7AF3" w:rsidP="001E7AF3">
      <w:pPr>
        <w:ind w:firstLine="720"/>
        <w:rPr>
          <w:b/>
          <w:bCs/>
        </w:rPr>
      </w:pPr>
      <w:r>
        <w:t xml:space="preserve">TCR sequence recurrence was assessed across treatment timepoints for Treg, </w:t>
      </w:r>
      <w:r w:rsidR="00666B15">
        <w:t>Cd4</w:t>
      </w:r>
      <w:r>
        <w:t xml:space="preserve"> T cell, and </w:t>
      </w:r>
      <w:r w:rsidR="00666B15">
        <w:t>Cd8</w:t>
      </w:r>
      <w:r>
        <w:t xml:space="preserve"> T cell clusters, categorizing clonal groups as Singlets (1 cell showing the TCR sequence), Intermediate (2-10 cells), and Expanded (&gt;10 cells) (</w:t>
      </w:r>
      <w:hyperlink w:anchor="FigureTwo" w:history="1">
        <w:r w:rsidRPr="00C919D4">
          <w:rPr>
            <w:rStyle w:val="Hyperlink"/>
          </w:rPr>
          <w:t>Fig. 2B</w:t>
        </w:r>
      </w:hyperlink>
      <w:r>
        <w:t xml:space="preserve">). </w:t>
      </w:r>
      <w:r w:rsidR="00B53436" w:rsidRPr="00B53436">
        <w:t xml:space="preserve">In the </w:t>
      </w:r>
      <w:r w:rsidR="00666B15">
        <w:t>Cd4</w:t>
      </w:r>
      <w:r w:rsidR="00B53436" w:rsidRPr="00B53436">
        <w:t xml:space="preserve"> T cell cluster, a significant decrease in Singlet clonality was observed with the PTPN2i (61.9%) and PTPN2i + aPD1 (58.9%) regimens compared to Vehicle (74.4%) and aPD-1 (79.7%). No significant differences were detected in Intermediate clonality, with percentages recorded as Vehicle (19.1%), aPD-1 (17.3%), PTPN2i (18.5%), and PTPN2i + aPD1 (17.4%). However, a significant increase in Expanded clonality was noted in the PTPN2i (19.5%) and PTPN2i + aPD1 (23.5%) treatments, against Vehicle (6.5%) and aPD-1 (2.9%). For the </w:t>
      </w:r>
      <w:r w:rsidR="00666B15">
        <w:t>Cd8</w:t>
      </w:r>
      <w:r w:rsidR="00B53436" w:rsidRPr="00B53436">
        <w:t xml:space="preserve"> T cell cluster, there were no significant differences in Singlet clonality across the treatments—Vehicle (11.5%), aPD-1 (23.5%), PTPN2i (12.9%), and PTPN2i + aPD1 (11.7%). There was a significant decrease in Intermediate clonality with PTPN2i (32.3%) and PTPN2i + aPD1 (24.2%) regimens, relative to Vehicle (48.8%) and aPD-1 (42.8%). Furthermore, there was a significant increase in Expanded clonality in the PTPN2i (54.8%) and PTPN2i + aPD1 (64.1%) groups compared to Vehicle (39.5%) and aPD-1 (33.6%).</w:t>
      </w:r>
      <w:r w:rsidR="00A20DCF">
        <w:t xml:space="preserve"> </w:t>
      </w:r>
      <w:r w:rsidR="008F3E7B">
        <w:t xml:space="preserve"> </w:t>
      </w:r>
      <w:r w:rsidR="008F3E7B" w:rsidRPr="008F3E7B">
        <w:t>Looking at TCR clonality within our Treg population we observe that across treatment regimens that ~80% of Tregs contain singlet TCR sequences, 20% of Tregs containing intermediate TCR clonality, and less than 1% expanded TCR clonality with no significant difference in these reported proportions</w:t>
      </w:r>
      <w:r w:rsidR="00C77A49">
        <w:t xml:space="preserve"> (</w:t>
      </w:r>
      <w:hyperlink w:anchor="_Supplementary_Figure_Two:" w:history="1">
        <w:r w:rsidR="006536D6">
          <w:rPr>
            <w:rStyle w:val="Hyperlink"/>
          </w:rPr>
          <w:t>Supplementary Figure 2B</w:t>
        </w:r>
      </w:hyperlink>
      <w:r w:rsidR="00C77A49">
        <w:t>)</w:t>
      </w:r>
      <w:r w:rsidR="008F3E7B" w:rsidRPr="008F3E7B">
        <w:t>.</w:t>
      </w:r>
    </w:p>
    <w:p w14:paraId="40A58A86" w14:textId="22D08D53" w:rsidR="001E7AF3" w:rsidRDefault="008A4AB1" w:rsidP="001E7AF3">
      <w:pPr>
        <w:ind w:firstLine="720"/>
      </w:pPr>
      <w:r w:rsidRPr="008A4AB1">
        <w:t>We investigated transcriptional differences in genes associated with various T cell activation pathways, grouping samples by treatment regimen and TCR clonality to determine whether the singlet, intermediate, and expanded clonality groups exhibited distinct activation states following treatment. Genes with differential expression across treatment regimens and annotated in the following GO terms: C</w:t>
      </w:r>
      <w:r w:rsidR="00AB448C">
        <w:t>d</w:t>
      </w:r>
      <w:r w:rsidRPr="008A4AB1">
        <w:t>8-positive T cell activation (GO:0036037), C</w:t>
      </w:r>
      <w:r w:rsidR="00AB448C">
        <w:t>d</w:t>
      </w:r>
      <w:r w:rsidRPr="008A4AB1">
        <w:t>4-positive T cell activation (GO:0035710), and Regulatory T cell activation (GO:0045066) were used with AuCell to calculate z-scored activation across different treatment regimens and TCR clonality groups. These scores were visualized as heatmaps. For both CD4 and CD8 T cells, activation scores showed a trend in which singlet TCR clonality scored lowest, intermediate TCR clonality scored modestly higher, and expanded TCR clonality scored highest (</w:t>
      </w:r>
      <w:hyperlink w:anchor="_Figure_Two:_TCR" w:history="1">
        <w:r w:rsidRPr="008A4AB1">
          <w:rPr>
            <w:rStyle w:val="Hyperlink"/>
          </w:rPr>
          <w:t>Fig. 2C</w:t>
        </w:r>
      </w:hyperlink>
      <w:r w:rsidRPr="008A4AB1">
        <w:t>). This trend was reversed in the Treg cluster (</w:t>
      </w:r>
      <w:hyperlink w:anchor="_Supplementary_Figure_Two:" w:history="1">
        <w:r w:rsidRPr="008A4AB1">
          <w:rPr>
            <w:rStyle w:val="Hyperlink"/>
          </w:rPr>
          <w:t>Supplementary Figure 2C</w:t>
        </w:r>
      </w:hyperlink>
      <w:r w:rsidRPr="008A4AB1">
        <w:t xml:space="preserve">). Comparing across treatment regimens for CD4 T cells, we observed a slight decrease in transcriptional activation in singlet TCR clonality cells (Vehicle: -0.9; aPD1: -1.02; Ptpn2i: -1.04; Ptpn2i + aPD1: -1.14), an increase in intermediate TCR clonality cells (Vehicle: -0.15; aPD1: 0.06; Ptpn2i: 0.5; Ptpn2i + aPD1: 0.4), and reduced activation in expanded TCR clonality cells compared to vehicle (Vehicle: 1.6; </w:t>
      </w:r>
      <w:r w:rsidRPr="008A4AB1">
        <w:lastRenderedPageBreak/>
        <w:t>aPD1: 0.97; Ptpn2i: 0.97; Ptpn2i + aPD1: 0.71). For CD8 T cells, singlet TCR clonality activation was decreased across regimens (Vehicle: 0.88; aPD1: -1.3; Ptpn2i: -1; Ptpn2i + aPD1: -1.12), while intermediate TCR clonality saw an increase (Vehicle: -1.1; aPD1: 0.38; Ptpn2i: 0.02; Ptpn2i + aPD1: 0.34). Expanded TCR clonality exhibited slightly higher activation in the Ptpn2i and combination regimens (Vehicle: 0.2; aPD1: 0.75; Ptpn2i: 0.98; Ptpn2i + aPD1: 0.78). For Tregs, singlet TCR clonality cells had lower activation scores compared to vehicle (Vehicle: 0.7; aPD1: -0.86; Ptpn2i: -0.74; Ptpn2i + aPD1: -1.14), intermediate TCR clonality scored higher in all regimens (Vehicle: -0.7; aPD1: -0.23; Ptpn2i: -0.39; Ptpn2i + aPD1: 0.7), and expanded TCR clonality cells were not detected under vehicle conditions but showed the lowest activation scores in other regimens (Vehicle: N/A; aPD1: 1.10; Ptpn2i: 1.13; Ptpn2i + aPD1: 0.44)</w:t>
      </w:r>
      <w:r w:rsidR="00974503">
        <w:t xml:space="preserve"> cells we observe that Tregs had the highest activation scores under </w:t>
      </w:r>
      <w:r w:rsidR="00477D00">
        <w:t>singlet TCR clonal groups</w:t>
      </w:r>
      <w:r w:rsidR="005A2185">
        <w:t>.</w:t>
      </w:r>
    </w:p>
    <w:p w14:paraId="59C8022F" w14:textId="78852459" w:rsidR="004A3187" w:rsidRDefault="00421CF8" w:rsidP="001C33EA">
      <w:pPr>
        <w:ind w:firstLine="720"/>
      </w:pPr>
      <w:r w:rsidRPr="00421CF8">
        <w:rPr>
          <w:noProof/>
        </w:rPr>
        <w:drawing>
          <wp:inline distT="0" distB="0" distL="0" distR="0" wp14:anchorId="26D05A80" wp14:editId="377A5121">
            <wp:extent cx="3886200" cy="4061638"/>
            <wp:effectExtent l="0" t="0" r="0" b="2540"/>
            <wp:docPr id="121150557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505578" name="Picture 1" descr="A screenshot of a graph&#10;&#10;AI-generated content may be incorrect."/>
                    <pic:cNvPicPr/>
                  </pic:nvPicPr>
                  <pic:blipFill rotWithShape="1">
                    <a:blip r:embed="rId13"/>
                    <a:srcRect b="36545"/>
                    <a:stretch>
                      <a:fillRect/>
                    </a:stretch>
                  </pic:blipFill>
                  <pic:spPr bwMode="auto">
                    <a:xfrm>
                      <a:off x="0" y="0"/>
                      <a:ext cx="3886200" cy="4061638"/>
                    </a:xfrm>
                    <a:prstGeom prst="rect">
                      <a:avLst/>
                    </a:prstGeom>
                    <a:ln>
                      <a:noFill/>
                    </a:ln>
                    <a:extLst>
                      <a:ext uri="{53640926-AAD7-44D8-BBD7-CCE9431645EC}">
                        <a14:shadowObscured xmlns:a14="http://schemas.microsoft.com/office/drawing/2010/main"/>
                      </a:ext>
                    </a:extLst>
                  </pic:spPr>
                </pic:pic>
              </a:graphicData>
            </a:graphic>
          </wp:inline>
        </w:drawing>
      </w:r>
    </w:p>
    <w:p w14:paraId="21199CEC" w14:textId="3A874497" w:rsidR="00116373" w:rsidRPr="00116373" w:rsidRDefault="00116373" w:rsidP="00116373">
      <w:pPr>
        <w:pStyle w:val="Heading3"/>
      </w:pPr>
      <w:bookmarkStart w:id="3" w:name="FigureTwo"/>
      <w:bookmarkStart w:id="4" w:name="_Figure_Two:_TCR"/>
      <w:bookmarkEnd w:id="3"/>
      <w:bookmarkEnd w:id="4"/>
      <w:r w:rsidRPr="00116373">
        <w:t xml:space="preserve">Figure Two: TCR clonality and T cell Activation following </w:t>
      </w:r>
      <w:r w:rsidR="004A01E7">
        <w:t>PTPN2i</w:t>
      </w:r>
      <w:r w:rsidR="00C52CDA">
        <w:t>:</w:t>
      </w:r>
      <w:r w:rsidRPr="00116373">
        <w:t xml:space="preserve"> </w:t>
      </w:r>
    </w:p>
    <w:p w14:paraId="55C7E528" w14:textId="15E32B7D" w:rsidR="00C04286" w:rsidRDefault="00116373" w:rsidP="00C04286">
      <w:r w:rsidRPr="00116373">
        <w:rPr>
          <w:rFonts w:eastAsiaTheme="minorEastAsia"/>
        </w:rPr>
        <w:t xml:space="preserve">(A) </w:t>
      </w:r>
      <w:r w:rsidR="00EE4C0D" w:rsidRPr="00EE4C0D">
        <w:rPr>
          <w:rFonts w:eastAsiaTheme="minorEastAsia"/>
          <w:shd w:val="clear" w:color="auto" w:fill="FFFFFF"/>
        </w:rPr>
        <w:t xml:space="preserve">Heatmap of </w:t>
      </w:r>
      <w:r w:rsidR="001D29C9">
        <w:rPr>
          <w:rFonts w:eastAsiaTheme="minorEastAsia"/>
          <w:shd w:val="clear" w:color="auto" w:fill="FFFFFF"/>
        </w:rPr>
        <w:t>D10</w:t>
      </w:r>
      <w:r w:rsidR="00EE4C0D" w:rsidRPr="00EE4C0D">
        <w:rPr>
          <w:rFonts w:eastAsiaTheme="minorEastAsia"/>
          <w:shd w:val="clear" w:color="auto" w:fill="FFFFFF"/>
        </w:rPr>
        <w:t xml:space="preserve"> expression of</w:t>
      </w:r>
      <w:r w:rsidR="001F2BEC" w:rsidRPr="00116373">
        <w:t xml:space="preserve"> </w:t>
      </w:r>
      <w:r w:rsidRPr="00116373">
        <w:rPr>
          <w:rFonts w:eastAsiaTheme="minorEastAsia"/>
        </w:rPr>
        <w:t>DEG TCR components</w:t>
      </w:r>
      <w:r w:rsidR="001F2BEC">
        <w:t xml:space="preserve"> for i. </w:t>
      </w:r>
      <w:r w:rsidR="00A81991">
        <w:t>Cd4 T cells</w:t>
      </w:r>
      <w:r w:rsidR="006D6CA9">
        <w:t xml:space="preserve"> and</w:t>
      </w:r>
      <w:r w:rsidR="00A81991">
        <w:t xml:space="preserve"> ii. Cd8 T cells. </w:t>
      </w:r>
      <w:r w:rsidRPr="00116373">
        <w:rPr>
          <w:rFonts w:eastAsiaTheme="minorEastAsia"/>
        </w:rPr>
        <w:t>(</w:t>
      </w:r>
      <w:r w:rsidR="00F16D03">
        <w:t>B</w:t>
      </w:r>
      <w:r w:rsidRPr="00116373">
        <w:rPr>
          <w:rFonts w:eastAsiaTheme="minorEastAsia"/>
        </w:rPr>
        <w:t xml:space="preserve">) Stacked bar plot of TCR clonality </w:t>
      </w:r>
      <w:r w:rsidR="005276F2">
        <w:t xml:space="preserve">prevalence </w:t>
      </w:r>
      <w:r w:rsidR="002D05E3">
        <w:t xml:space="preserve">following treatment regimen </w:t>
      </w:r>
      <w:r w:rsidR="00C04286">
        <w:t>for i. Cd4 T cells</w:t>
      </w:r>
      <w:r w:rsidR="006D6CA9">
        <w:t xml:space="preserve"> and</w:t>
      </w:r>
      <w:r w:rsidR="00C04286">
        <w:t xml:space="preserve"> ii. Cd8 T cells.</w:t>
      </w:r>
      <w:r w:rsidR="00F16D03">
        <w:t xml:space="preserve"> (C)</w:t>
      </w:r>
      <w:r w:rsidR="0042078C">
        <w:t xml:space="preserve"> Heatmap of </w:t>
      </w:r>
      <w:r w:rsidR="00921F46">
        <w:t xml:space="preserve">Activation Scores per treatment and TCR clonality groups for i. </w:t>
      </w:r>
      <w:r w:rsidR="00666B15">
        <w:t>Cd4</w:t>
      </w:r>
      <w:r w:rsidR="00921F46">
        <w:t xml:space="preserve"> T cells and i</w:t>
      </w:r>
      <w:r w:rsidR="000138A9">
        <w:t>i.</w:t>
      </w:r>
      <w:r w:rsidR="00921F46">
        <w:t xml:space="preserve"> </w:t>
      </w:r>
      <w:r w:rsidR="00666B15">
        <w:t>Cd8</w:t>
      </w:r>
      <w:r w:rsidR="00921F46">
        <w:t xml:space="preserve"> T cells</w:t>
      </w:r>
      <w:r w:rsidR="00F16D03">
        <w:t xml:space="preserve">. </w:t>
      </w:r>
    </w:p>
    <w:p w14:paraId="59B98C76" w14:textId="05A1F25B" w:rsidR="007F221D" w:rsidRDefault="00E53425" w:rsidP="0004420E">
      <w:pPr>
        <w:pStyle w:val="Heading2"/>
      </w:pPr>
      <w:r>
        <w:t xml:space="preserve">PTPN2i </w:t>
      </w:r>
      <w:r w:rsidR="00C25163">
        <w:t xml:space="preserve">destabilizes Foxp3 expression in </w:t>
      </w:r>
      <w:r w:rsidR="00AB260F">
        <w:t>Treg cluster</w:t>
      </w:r>
    </w:p>
    <w:p w14:paraId="68FAE8BF" w14:textId="30AF8BA7" w:rsidR="006E5346" w:rsidRDefault="006E5346" w:rsidP="006E5346">
      <w:pPr>
        <w:ind w:firstLine="720"/>
      </w:pPr>
      <w:r>
        <w:t xml:space="preserve">Following initial research efforts examining changes in TCR component gene expression, TCR clonality expansion, and mapping increased activation states within Cd4 and Cd8 T cells, we observed an opposite trend within our Treg population. Literature searches on signaling </w:t>
      </w:r>
      <w:r>
        <w:lastRenderedPageBreak/>
        <w:t>pathways dependent upon Ptpn2 in Tregs identified the Il6/Stat3/Dnmt3a axis as a key regulator of Treg identity and function (</w:t>
      </w:r>
      <w:hyperlink w:anchor="_Figure_Three:_Il6/STAT3/Dnmt3a" w:history="1">
        <w:r w:rsidRPr="00E5464E">
          <w:rPr>
            <w:rStyle w:val="Hyperlink"/>
          </w:rPr>
          <w:t>Fig. 3A</w:t>
        </w:r>
      </w:hyperlink>
      <w:r>
        <w:t>).</w:t>
      </w:r>
    </w:p>
    <w:p w14:paraId="0C24DF39" w14:textId="28F6D580" w:rsidR="00B9116C" w:rsidRDefault="006E5346" w:rsidP="00DE5961">
      <w:pPr>
        <w:ind w:firstLine="720"/>
      </w:pPr>
      <w:r>
        <w:t>We then examined the expression of significantly differentially expressed genes</w:t>
      </w:r>
      <w:r w:rsidR="00DE5961">
        <w:t xml:space="preserve"> on D10</w:t>
      </w:r>
      <w:r>
        <w:t xml:space="preserve"> relevant to the Treg subtype and the Il6/Stat3/Dnmt3a axis, as described in existing literature, visualized in a heatmap (</w:t>
      </w:r>
      <w:hyperlink w:anchor="_Figure_Three:_Il6/STAT3/Dnmt3a" w:history="1">
        <w:r w:rsidRPr="00E5464E">
          <w:rPr>
            <w:rStyle w:val="Hyperlink"/>
          </w:rPr>
          <w:t>Fig. 3B</w:t>
        </w:r>
      </w:hyperlink>
      <w:r>
        <w:t>).</w:t>
      </w:r>
      <w:r w:rsidR="00DE5961">
        <w:t xml:space="preserve"> </w:t>
      </w:r>
      <w:r w:rsidR="00B9116C">
        <w:t>We found that Foxp3 expression was significantly reduced under Ptpn2i and combined Ptpn2i + aPD1 treatment compared to the vehicle, but not under aPD1 treatment alone (Vehicle: 0.69; aPD1: 1.0; Ptpn2i: -1.0; Ptpn2i + aPD1: -1.0). We also observed higher expression of T cell exhaustion markers (Tigit, Tox, and Lag3) relative to the vehicle under aPD1 and combined Ptpn2i + aPD1 conditions, but not under Ptpn2i alone (Tigit: Vehicle: -0.75; aPD1: 1.0; Ptpn2i: -0.1; Ptpn2i + aPD1: 0.4; Tox: Vehicle: 0.26; aPD1: 0.78; Ptpn2i: -1.0; Ptpn2i + aPD1: 1.0; Lag3: Vehicle: 0.08; aPD1: 0.79; Ptpn2i: -0.59; Ptpn2i + aPD1: 1.0). This suggests that aPD1 may help maintain Treg activation until eventual exhaustion. To further investigate, we analyzed the expression of key genes within the Il6/Stat3/Dnmt3a signaling axis and found increased expression of Il6st (Vehicle: -0.28; aPD1: -1.0; Ptpn2i: 1.0; Ptpn2i + aPD1: 1.0) and Dnmt3a (Vehicle: -0.41; aPD1: -0.09; Ptpn2i: 1.0; Ptpn2i + aPD1: -0.19) under Ptpn2i and combined Ptpn2i + aPD1 treatment compared to the vehicle. Interestingly, the reported negative regulator of Dnmt3a expression, Prdm1, displayed decreased expression compared to the vehicle only under aPD1 and Ptpn2i treatment conditions (Vehicle: 0.69; aPD1: -1.0; Ptpn2i: 0.08; Ptpn2i + aPD1: 1.0). Stat3 expression was decreased under aPD1 and Ptpn2i + aPD1 conditions relative to the vehicle, with a slight increase observed under Ptpn2i alone (Vehicle: 0.23; aPD1: -0.03; Ptpn2i: 0.24; Ptpn2i + aPD1: -1.0). Increased expression of the Il6/Stat3/Dnmt3a axis specifically under Ptpn2i, but not in the combined treatment, suggests that the effects of the combination regimen are primarily driven by aPD1.</w:t>
      </w:r>
    </w:p>
    <w:p w14:paraId="5485EB7C" w14:textId="0F18EE64" w:rsidR="006E5346" w:rsidRPr="006E5346" w:rsidRDefault="00925B67" w:rsidP="006E5346">
      <w:pPr>
        <w:ind w:firstLine="720"/>
      </w:pPr>
      <w:r w:rsidRPr="00925B67">
        <w:t>Next, we assessed gene signature changes related to Cellular Response to Il6 (GO:0071354), positive regulation of Stat phosphorylation (GO:0042531), and exhausted T cell differentiation (GO:0160083) using AuCell. Cellular response to Il6 signaling (</w:t>
      </w:r>
      <w:hyperlink w:anchor="_Figure_Three:_Il6/STAT3/Dnmt3a" w:history="1">
        <w:r w:rsidRPr="00925B67">
          <w:rPr>
            <w:rStyle w:val="Hyperlink"/>
          </w:rPr>
          <w:t>Fig. 3C</w:t>
        </w:r>
      </w:hyperlink>
      <w:r w:rsidRPr="00925B67">
        <w:t>) was highest under Ptpn2i, with gene set scores under the combined Ptpn2i + aPD1 condition much lower than those of the vehicle control (Vehicle: -0.25; aPD1: -0.21; Ptpn2i: 1.4; Ptpn2i + aPD1: -0.95). Notably, AuCell scoring for positive regulation of Stat phosphorylation (Fig. 3D) was higher than vehicle under both aPD1 and Ptpn2i treatments, with aPD1 being slightly greater, while the combination regimen yielded markedly lower scores than vehicle (Vehicle: -0.79; aPD1: 0.87; Ptpn2i: 0.86; Ptpn2i + aPD1: -0.93). Lastly, exhausted T cell differentiation (Fig. 3E) scores were highest under aPD1 and combined Ptpn2i + aPD1 treatments compared to vehicle, with Ptpn2i treatment scoring slightly above vehicle (Vehicle: -1.03; aPD1:1.28; Ptpn2i: -0.48; Ptpn2i + aPD1: 0.23). These gene set scores indicate that under Ptpn2i, Tregs become more responsive to Il6 signaling; aPD1 and Ptpn2i individually promote Stat phosphorylation, but not in combination; and differentiation into an exhaustion state is most pronounced under aPD1.</w:t>
      </w:r>
      <w:r w:rsidR="006E5346">
        <w:t>The treatment regimens explored in this study appear to influence the downstream transcriptional regulation of Pdcd1 and Il6ra/Il6st receptors. It is important to note that while transcription factors from these two signaling pathways may overlap (</w:t>
      </w:r>
      <w:hyperlink w:anchor="_Figure_Three:_Il6/STAT3/Dnmt3a" w:history="1">
        <w:r w:rsidR="006E5346" w:rsidRPr="00E5464E">
          <w:rPr>
            <w:rStyle w:val="Hyperlink"/>
          </w:rPr>
          <w:t>Fig. 3F</w:t>
        </w:r>
      </w:hyperlink>
      <w:r w:rsidR="006E5346">
        <w:t>), the activity of factors such as Stat3 depends on phosphorylation. This phosphorylation is required to induce transcription of key downstream genes like Dnmt3a, and thus Stat3 activity would be enhanced under conditions of reduced or inactive Ptpn2.</w:t>
      </w:r>
    </w:p>
    <w:p w14:paraId="788B0DCF" w14:textId="16EFA185" w:rsidR="007F221D" w:rsidRDefault="000A53ED" w:rsidP="007350C4">
      <w:pPr>
        <w:jc w:val="center"/>
      </w:pPr>
      <w:r>
        <w:lastRenderedPageBreak/>
        <w:fldChar w:fldCharType="begin"/>
      </w:r>
      <w:r>
        <w:instrText xml:space="preserve"> INCLUDEPICTURE "https://irposit.abbvienet.com/s/ce9f1cfc78a31b802e11c/graphics/4cad2c4e-fbda-4138-8f96-cd1f1249d75b.png" \* MERGEFORMATINET </w:instrText>
      </w:r>
      <w:r>
        <w:fldChar w:fldCharType="separate"/>
      </w:r>
      <w:r>
        <w:rPr>
          <w:noProof/>
        </w:rPr>
        <mc:AlternateContent>
          <mc:Choice Requires="wps">
            <w:drawing>
              <wp:inline distT="0" distB="0" distL="0" distR="0" wp14:anchorId="7CE34134" wp14:editId="6899364F">
                <wp:extent cx="308610" cy="308610"/>
                <wp:effectExtent l="0" t="0" r="0" b="0"/>
                <wp:docPr id="82047243"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rto="http://schemas.microsoft.com/office/word/2006/arto">
            <w:pict>
              <v:rect w14:anchorId="20D5FE82" id="Rectangle 1"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" filled="f" stroked="f">
                <o:lock v:ext="edit" aspectratio="t"/>
                <w10:anchorlock/>
              </v:rect>
            </w:pict>
          </mc:Fallback>
        </mc:AlternateContent>
      </w:r>
      <w:r>
        <w:fldChar w:fldCharType="end"/>
      </w:r>
      <w:r w:rsidR="00ED0F2C" w:rsidRPr="00ED0F2C">
        <w:rPr>
          <w:noProof/>
        </w:rPr>
        <w:drawing>
          <wp:inline distT="0" distB="0" distL="0" distR="0" wp14:anchorId="02143B6B" wp14:editId="6F6C2A51">
            <wp:extent cx="3886200" cy="5816009"/>
            <wp:effectExtent l="0" t="0" r="0" b="635"/>
            <wp:docPr id="344780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780501" name=""/>
                    <pic:cNvPicPr/>
                  </pic:nvPicPr>
                  <pic:blipFill rotWithShape="1">
                    <a:blip r:embed="rId14"/>
                    <a:srcRect b="9136"/>
                    <a:stretch>
                      <a:fillRect/>
                    </a:stretch>
                  </pic:blipFill>
                  <pic:spPr bwMode="auto">
                    <a:xfrm>
                      <a:off x="0" y="0"/>
                      <a:ext cx="3886200" cy="5816009"/>
                    </a:xfrm>
                    <a:prstGeom prst="rect">
                      <a:avLst/>
                    </a:prstGeom>
                    <a:ln>
                      <a:noFill/>
                    </a:ln>
                    <a:extLst>
                      <a:ext uri="{53640926-AAD7-44D8-BBD7-CCE9431645EC}">
                        <a14:shadowObscured xmlns:a14="http://schemas.microsoft.com/office/drawing/2010/main"/>
                      </a:ext>
                    </a:extLst>
                  </pic:spPr>
                </pic:pic>
              </a:graphicData>
            </a:graphic>
          </wp:inline>
        </w:drawing>
      </w:r>
    </w:p>
    <w:p w14:paraId="510A4B1C" w14:textId="263BD240" w:rsidR="00D57E14" w:rsidRDefault="007F221D" w:rsidP="007F221D">
      <w:pPr>
        <w:pStyle w:val="Heading3"/>
      </w:pPr>
      <w:bookmarkStart w:id="5" w:name="_Figure_Three:_Il6/STAT3/Dnmt3a"/>
      <w:bookmarkEnd w:id="5"/>
      <w:r>
        <w:t>Figure Three:</w:t>
      </w:r>
      <w:r w:rsidR="002B61DE" w:rsidRPr="002B61DE">
        <w:rPr>
          <w:rFonts w:asciiTheme="minorHAnsi" w:eastAsiaTheme="minorEastAsia" w:hAnsi="Aptos" w:cstheme="minorBidi"/>
          <w:color w:val="000000" w:themeColor="text1"/>
          <w:kern w:val="24"/>
          <w:sz w:val="26"/>
          <w:szCs w:val="26"/>
        </w:rPr>
        <w:t xml:space="preserve"> </w:t>
      </w:r>
      <w:r w:rsidR="002B61DE" w:rsidRPr="002B61DE">
        <w:t>Il6/STAT3/Dnmt3a signaling axis destabilizes Foxp3 expression Treg population following Ptpn2i</w:t>
      </w:r>
    </w:p>
    <w:p w14:paraId="41F06565" w14:textId="1C37618F" w:rsidR="00373DAA" w:rsidRDefault="00EA2915" w:rsidP="00D57E14">
      <w:r w:rsidRPr="00EA2915">
        <w:t xml:space="preserve">(A) Schematic of Il6/STAT3/Dnmt3a regulation of Foxp3 expression within Tregs. (B) </w:t>
      </w:r>
      <w:r w:rsidR="001D29C9">
        <w:t>D10</w:t>
      </w:r>
      <w:r w:rsidRPr="00EA2915">
        <w:t xml:space="preserve"> heatmap of key genes differentially expressed within the Treg cluster.</w:t>
      </w:r>
      <w:r>
        <w:t xml:space="preserve"> </w:t>
      </w:r>
      <w:r w:rsidRPr="00EA2915">
        <w:t>(C) Heatmap of AuCell Gene Set scoring of differentially expressed genes belonging to GOBP: Cellular response to Interleukin-6 signaling.</w:t>
      </w:r>
      <w:r>
        <w:t xml:space="preserve"> </w:t>
      </w:r>
      <w:r w:rsidRPr="00EA2915">
        <w:t>(D) Heatmap of AuCell Gene Set scoring of differentially expressed genes belonging to GOBP: Positive Regulation of Stat Phosphorylation.</w:t>
      </w:r>
      <w:r>
        <w:t xml:space="preserve"> </w:t>
      </w:r>
      <w:r w:rsidRPr="00EA2915">
        <w:t>(E) Heatmap of AuCell Gene Set scoring of differentially expressed genes belonging to GOBP: Treg exhaustion</w:t>
      </w:r>
      <w:r>
        <w:t>.</w:t>
      </w:r>
      <w:r w:rsidRPr="00EA2915">
        <w:t xml:space="preserve"> </w:t>
      </w:r>
      <w:r w:rsidR="009927E5" w:rsidRPr="009927E5">
        <w:t>(F) Venn diagram of known transcription factors that are downstream from Pdcd1 and Il6 signaling</w:t>
      </w:r>
      <w:r w:rsidR="009927E5">
        <w:t>.</w:t>
      </w:r>
    </w:p>
    <w:p w14:paraId="1F9F2AAE" w14:textId="456EAD05" w:rsidR="0004420E" w:rsidRDefault="00114171" w:rsidP="0004420E">
      <w:pPr>
        <w:pStyle w:val="Heading2"/>
      </w:pPr>
      <w:r w:rsidRPr="00114171">
        <w:lastRenderedPageBreak/>
        <w:t xml:space="preserve">Clustering and Trajectory Analysis of Treg and CD4 T </w:t>
      </w:r>
      <w:r w:rsidR="00E54325">
        <w:t>Cell</w:t>
      </w:r>
      <w:r w:rsidR="002A5F28">
        <w:t>s</w:t>
      </w:r>
    </w:p>
    <w:p w14:paraId="1E94FC20" w14:textId="5B317E04" w:rsidR="00530689" w:rsidRDefault="00530689" w:rsidP="00530689">
      <w:pPr>
        <w:ind w:firstLine="720"/>
      </w:pPr>
      <w:r>
        <w:t xml:space="preserve">Our analysis demonstrated that the </w:t>
      </w:r>
      <w:r w:rsidR="00666B15">
        <w:t>Cd4</w:t>
      </w:r>
      <w:r>
        <w:t xml:space="preserve"> T cell cluster was positioned adjacent to the Treg cluster, with overlap evident between the two populations in a UMAP plot (</w:t>
      </w:r>
      <w:hyperlink w:anchor="_Figure_Four:_PTPN2i" w:history="1">
        <w:r w:rsidR="00F33066">
          <w:rPr>
            <w:rStyle w:val="Hyperlink"/>
          </w:rPr>
          <w:t>Fig. 4A</w:t>
        </w:r>
      </w:hyperlink>
      <w:r>
        <w:t xml:space="preserve">). Recognizing that Tregs may originate from thymic development or be induced from naive </w:t>
      </w:r>
      <w:r w:rsidR="00666B15">
        <w:t>Cd4</w:t>
      </w:r>
      <w:r>
        <w:t xml:space="preserve"> T cells in the periphery </w:t>
      </w:r>
      <w:r w:rsidR="00A74159">
        <w:t>(</w:t>
      </w:r>
      <w:r>
        <w:t>PMID:19390784</w:t>
      </w:r>
      <w:r w:rsidR="00A74159">
        <w:t>)</w:t>
      </w:r>
      <w:r>
        <w:t>, we evaluated genes involved in the negative regulation of Treg differentiation</w:t>
      </w:r>
      <w:r w:rsidR="00BE40E5">
        <w:t xml:space="preserve"> within Cd4 T cells</w:t>
      </w:r>
      <w:r>
        <w:t xml:space="preserve">. These genes exhibited higher expression levels in cells treated with </w:t>
      </w:r>
      <w:r w:rsidR="004A01E7">
        <w:t>PTPN2i</w:t>
      </w:r>
      <w:r>
        <w:t xml:space="preserve"> and the combination of </w:t>
      </w:r>
      <w:r w:rsidR="004A01E7">
        <w:t>PTPN2i</w:t>
      </w:r>
      <w:r>
        <w:t xml:space="preserve"> and aPD1 (</w:t>
      </w:r>
      <w:hyperlink w:anchor="FigureThree" w:history="1">
        <w:r w:rsidR="00F33066">
          <w:rPr>
            <w:rStyle w:val="Hyperlink"/>
          </w:rPr>
          <w:t>Fig. 4B</w:t>
        </w:r>
      </w:hyperlink>
      <w:r>
        <w:t>).</w:t>
      </w:r>
    </w:p>
    <w:p w14:paraId="54992420" w14:textId="21DC07A7" w:rsidR="00530689" w:rsidRDefault="00530689" w:rsidP="00530689">
      <w:pPr>
        <w:ind w:firstLine="720"/>
      </w:pPr>
      <w:r>
        <w:t xml:space="preserve">Using the Monocle3 package in R, we constructed a trajectory analysis of the Treg and </w:t>
      </w:r>
      <w:r w:rsidR="00666B15">
        <w:t>Cd4</w:t>
      </w:r>
      <w:r>
        <w:t xml:space="preserve"> T cell populations, based on transcriptional similarity (</w:t>
      </w:r>
      <w:hyperlink w:anchor="FigureThree" w:history="1">
        <w:r w:rsidR="00F33066">
          <w:rPr>
            <w:rStyle w:val="Hyperlink"/>
          </w:rPr>
          <w:t>Fig. 4C</w:t>
        </w:r>
      </w:hyperlink>
      <w:r>
        <w:t xml:space="preserve">). The trajectory showed a distinct "C" shape, with </w:t>
      </w:r>
      <w:r w:rsidR="00666B15">
        <w:t>Cd4</w:t>
      </w:r>
      <w:r>
        <w:t xml:space="preserve"> T cells and Treg cells in the upper portion, while </w:t>
      </w:r>
      <w:r w:rsidR="00666B15">
        <w:t>Cd4</w:t>
      </w:r>
      <w:r>
        <w:t xml:space="preserve"> T cells</w:t>
      </w:r>
      <w:r w:rsidR="002A1F3F">
        <w:t xml:space="preserve"> exclusively</w:t>
      </w:r>
      <w:r>
        <w:t xml:space="preserve"> occupied the lower portion. To establish the trajectory's root node, we analyzed the expression of Tcf7 which </w:t>
      </w:r>
      <w:r w:rsidR="00F25200">
        <w:t>is a</w:t>
      </w:r>
      <w:r>
        <w:t xml:space="preserve"> marker of naive </w:t>
      </w:r>
      <w:r w:rsidR="00666B15">
        <w:t>Cd4</w:t>
      </w:r>
      <w:r>
        <w:t xml:space="preserve"> T cells </w:t>
      </w:r>
      <w:r w:rsidR="00A74159">
        <w:t>(</w:t>
      </w:r>
      <w:r>
        <w:t>PMID:33158974</w:t>
      </w:r>
      <w:r w:rsidR="00A74159">
        <w:t>)</w:t>
      </w:r>
      <w:r>
        <w:t xml:space="preserve"> and regulate T cell inflammatory responses </w:t>
      </w:r>
      <w:r w:rsidR="00A74159">
        <w:t>(</w:t>
      </w:r>
      <w:r>
        <w:t xml:space="preserve">PMID:35250280, </w:t>
      </w:r>
      <w:r w:rsidR="00F25200">
        <w:t>PMID:</w:t>
      </w:r>
      <w:r>
        <w:t>18794337</w:t>
      </w:r>
      <w:r w:rsidR="00A74159">
        <w:t>)</w:t>
      </w:r>
      <w:r>
        <w:t xml:space="preserve"> (</w:t>
      </w:r>
      <w:hyperlink w:anchor="FigureThree" w:history="1">
        <w:r w:rsidR="00F25200">
          <w:rPr>
            <w:rStyle w:val="Hyperlink"/>
          </w:rPr>
          <w:t>Fig. 4D</w:t>
        </w:r>
      </w:hyperlink>
      <w:r>
        <w:t xml:space="preserve">). Once the root node was designated, we mapped the association of Tcf7+ cells with the trajectories of </w:t>
      </w:r>
      <w:r w:rsidR="00666B15">
        <w:t>Cd4</w:t>
      </w:r>
      <w:r>
        <w:t xml:space="preserve"> T cells and Tregs using the pseudo-time variable to indicate their transcriptional similarity to naive T cells (</w:t>
      </w:r>
      <w:hyperlink w:anchor="FigureThree" w:history="1">
        <w:r w:rsidR="00F25200">
          <w:rPr>
            <w:rStyle w:val="Hyperlink"/>
          </w:rPr>
          <w:t>Fig.4E</w:t>
        </w:r>
      </w:hyperlink>
      <w:r>
        <w:t>).</w:t>
      </w:r>
    </w:p>
    <w:p w14:paraId="76768A85" w14:textId="5C6C1890" w:rsidR="0074391A" w:rsidRDefault="0074391A" w:rsidP="00171F52">
      <w:pPr>
        <w:ind w:firstLine="720"/>
      </w:pPr>
      <w:r w:rsidRPr="0074391A">
        <w:t>We further investigated changes in transcriptional states across various treatment regimens by utilizing density plots to illustrate cell distributions at different pseudotime units for Tregs (</w:t>
      </w:r>
      <w:hyperlink w:anchor="FigureThree" w:history="1">
        <w:r w:rsidRPr="0074391A">
          <w:rPr>
            <w:rStyle w:val="Hyperlink"/>
          </w:rPr>
          <w:t>Fig. 4F</w:t>
        </w:r>
      </w:hyperlink>
      <w:r w:rsidRPr="0074391A">
        <w:t xml:space="preserve">). Within the Treg trajectory, we observed distinct density peaks between pseudotime 4-8 and 12-16 under the Vehicle regimen. In contrast, other treatment regimens exhibited decreased cell density between pseudotime 4-8 (Vehicle: 0.08; aPD1: 0.05; Ptpn2i: 0.05; Ptpn2i + aPD1: 0.06) and increased density between pseudotime 12-16 (Vehicle: 0.08; aPD1: 0.1; Ptpn2i: 0.1; Ptpn2i + aPD1:0.11), indicating a decrease in the prevalence of cells with the transcriptional profiles within the Treg trajectory—specifically that are more aligned with Tcf7+ cells and a higher prevalence of cells found at pseudotime 12-16. In the Cd4 T cell trajectory, a similar bimodal density profile was apparent across the Vehicle, aPD-1, and Ptpn2i + aPD-1 treatment curves, with the first peak occurring between pseudotime 0–3 and the second between pseudotime 9–12. Notably, under Ptpn2i treatment, there was an increased density of cells between pseudotime 3–6 (Vehicle: 0.06; aPD1: 0.06; Ptpn2i: 0.1; Ptpn2i + aPD1: 0.06). Prior publications have underscored the role of Ptpn2 in maintaining Foxp3 expression and Treg cell stability, suggesting that Ptpn2 inhibition may redirect naïve Cd4 T cells from a Treg-specific fate towards other Cd4 lineages. </w:t>
      </w:r>
    </w:p>
    <w:p w14:paraId="2EF3ECA4" w14:textId="195895C6" w:rsidR="00171F52" w:rsidRDefault="00171F52" w:rsidP="00171F52">
      <w:pPr>
        <w:ind w:firstLine="720"/>
      </w:pPr>
      <w:r w:rsidRPr="00171F52">
        <w:t>To further clarify these findings, we conducted differential gene expression analysis along the Treg trajectory. Cells were binned into pseudotime intervals, and the average gene expression reported. Key T cell lineage markers and the Il6/Stat3/Dnmt3a signaling axis were visualized in a heatmap (</w:t>
      </w:r>
      <w:hyperlink w:anchor="FigureThree" w:history="1">
        <w:r w:rsidRPr="00B40AD9">
          <w:rPr>
            <w:rStyle w:val="Hyperlink"/>
          </w:rPr>
          <w:t>Fig. 4G</w:t>
        </w:r>
      </w:hyperlink>
      <w:r w:rsidRPr="00171F52">
        <w:t>). The heatmap demonstrated peak expression of the naïve T cell marker Tcf7 at the earliest pseudotime, and maximal Foxp3 expression emerging after pseudotime 12. Notably, Dnmt3a expression was absent at pseudotime 6 for Ptpn2i and Ptpn2i + aPD-1 regimens; at pseudotime 9, Foxp3 and Ikzf2 expression were lowest under Ptpn2i conditions, while Stat3 expression was elevated for all treatment regimens except Vehicle. Finally, Pdcd1 expression reached its lowest levels with Ptpn2i treatment, whereas aPD-1 and combination Ptpn2i + aPD-1 treatments resulted in slightly higher levels compared to Vehicle. Overall, this visualization effectively demonstrates lineage-specific expression dynamics across the trajectory, though it lacks the resolution needed to detect finer changes in some transcription</w:t>
      </w:r>
      <w:r>
        <w:t xml:space="preserve"> </w:t>
      </w:r>
      <w:r w:rsidRPr="00171F52">
        <w:t>factors an</w:t>
      </w:r>
      <w:r>
        <w:t xml:space="preserve">d </w:t>
      </w:r>
      <w:r w:rsidRPr="00171F52">
        <w:t>interleukin expression.</w:t>
      </w:r>
    </w:p>
    <w:p w14:paraId="5D97EFE5" w14:textId="26276D38" w:rsidR="00701783" w:rsidRPr="002A5F28" w:rsidRDefault="001E40F6" w:rsidP="00E54B28">
      <w:pPr>
        <w:jc w:val="center"/>
        <w:rPr>
          <w:rFonts w:eastAsiaTheme="majorEastAsia"/>
        </w:rPr>
      </w:pPr>
      <w:r w:rsidRPr="001E40F6">
        <w:rPr>
          <w:rFonts w:eastAsiaTheme="majorEastAsia"/>
          <w:noProof/>
        </w:rPr>
        <w:lastRenderedPageBreak/>
        <w:drawing>
          <wp:inline distT="0" distB="0" distL="0" distR="0" wp14:anchorId="5195C533" wp14:editId="58B2EFD0">
            <wp:extent cx="3886200" cy="5709684"/>
            <wp:effectExtent l="0" t="0" r="0" b="5715"/>
            <wp:docPr id="224921256" name="Picture 1" descr="A close-up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921256" name="Picture 1" descr="A close-up of a chart&#10;&#10;AI-generated content may be incorrect."/>
                    <pic:cNvPicPr/>
                  </pic:nvPicPr>
                  <pic:blipFill rotWithShape="1">
                    <a:blip r:embed="rId15"/>
                    <a:srcRect b="10797"/>
                    <a:stretch>
                      <a:fillRect/>
                    </a:stretch>
                  </pic:blipFill>
                  <pic:spPr bwMode="auto">
                    <a:xfrm>
                      <a:off x="0" y="0"/>
                      <a:ext cx="3886200" cy="5709684"/>
                    </a:xfrm>
                    <a:prstGeom prst="rect">
                      <a:avLst/>
                    </a:prstGeom>
                    <a:ln>
                      <a:noFill/>
                    </a:ln>
                    <a:extLst>
                      <a:ext uri="{53640926-AAD7-44D8-BBD7-CCE9431645EC}">
                        <a14:shadowObscured xmlns:a14="http://schemas.microsoft.com/office/drawing/2010/main"/>
                      </a:ext>
                    </a:extLst>
                  </pic:spPr>
                </pic:pic>
              </a:graphicData>
            </a:graphic>
          </wp:inline>
        </w:drawing>
      </w:r>
    </w:p>
    <w:p w14:paraId="78E050F6" w14:textId="76CFD187" w:rsidR="00BF7312" w:rsidRPr="00BF7312" w:rsidRDefault="00BF7312" w:rsidP="00BF7312">
      <w:pPr>
        <w:pStyle w:val="Heading3"/>
        <w:rPr>
          <w:rFonts w:eastAsiaTheme="minorHAnsi"/>
        </w:rPr>
      </w:pPr>
      <w:bookmarkStart w:id="6" w:name="FigureThree"/>
      <w:bookmarkStart w:id="7" w:name="_Figure_Four:_PTPN2i"/>
      <w:bookmarkEnd w:id="6"/>
      <w:bookmarkEnd w:id="7"/>
      <w:r w:rsidRPr="00BF7312">
        <w:rPr>
          <w:rFonts w:eastAsiaTheme="minorHAnsi"/>
        </w:rPr>
        <w:t xml:space="preserve">Figure </w:t>
      </w:r>
      <w:r w:rsidR="00C71B00">
        <w:rPr>
          <w:rFonts w:eastAsiaTheme="minorHAnsi"/>
        </w:rPr>
        <w:t>Four</w:t>
      </w:r>
      <w:r w:rsidRPr="00BF7312">
        <w:rPr>
          <w:rFonts w:eastAsiaTheme="minorHAnsi"/>
        </w:rPr>
        <w:t xml:space="preserve">: </w:t>
      </w:r>
      <w:r w:rsidR="004A01E7">
        <w:rPr>
          <w:rFonts w:eastAsiaTheme="minorHAnsi"/>
        </w:rPr>
        <w:t>PTPN2i</w:t>
      </w:r>
      <w:r w:rsidRPr="00BF7312">
        <w:rPr>
          <w:rFonts w:eastAsiaTheme="minorHAnsi"/>
        </w:rPr>
        <w:t xml:space="preserve"> regimen impact on T cell </w:t>
      </w:r>
      <w:r w:rsidR="00701783">
        <w:rPr>
          <w:rFonts w:eastAsiaTheme="minorHAnsi"/>
        </w:rPr>
        <w:t>trajectory</w:t>
      </w:r>
      <w:r w:rsidRPr="00BF7312">
        <w:rPr>
          <w:rFonts w:eastAsiaTheme="minorHAnsi"/>
        </w:rPr>
        <w:t xml:space="preserve"> </w:t>
      </w:r>
    </w:p>
    <w:p w14:paraId="56B51DAB" w14:textId="68BDF8D5" w:rsidR="00BF7312" w:rsidRDefault="00BF7312" w:rsidP="00701783">
      <w:pPr>
        <w:spacing w:after="160" w:line="278" w:lineRule="auto"/>
        <w:rPr>
          <w:rFonts w:asciiTheme="minorHAnsi" w:eastAsiaTheme="minorHAnsi" w:hAnsiTheme="minorHAnsi" w:cstheme="minorBidi"/>
          <w:kern w:val="2"/>
          <w14:ligatures w14:val="standardContextual"/>
        </w:rPr>
      </w:pPr>
      <w:r w:rsidRPr="00BF7312">
        <w:rPr>
          <w:rFonts w:asciiTheme="minorHAnsi" w:eastAsiaTheme="minorHAnsi" w:hAnsiTheme="minorHAnsi" w:cstheme="minorBidi"/>
          <w:kern w:val="2"/>
          <w14:ligatures w14:val="standardContextual"/>
        </w:rPr>
        <w:t>(A) UMAP of Treg and neighboring Cd4 T cells</w:t>
      </w:r>
      <w:r w:rsidR="00701783">
        <w:rPr>
          <w:rFonts w:asciiTheme="minorHAnsi" w:eastAsiaTheme="minorHAnsi" w:hAnsiTheme="minorHAnsi" w:cstheme="minorBidi"/>
          <w:kern w:val="2"/>
          <w14:ligatures w14:val="standardContextual"/>
        </w:rPr>
        <w:t xml:space="preserve"> </w:t>
      </w:r>
      <w:r w:rsidRPr="00BF7312">
        <w:rPr>
          <w:rFonts w:asciiTheme="minorHAnsi" w:eastAsiaTheme="minorHAnsi" w:hAnsiTheme="minorHAnsi" w:cstheme="minorBidi"/>
          <w:kern w:val="2"/>
          <w14:ligatures w14:val="standardContextual"/>
        </w:rPr>
        <w:t>(B) Au</w:t>
      </w:r>
      <w:r w:rsidR="00311D48">
        <w:rPr>
          <w:rFonts w:asciiTheme="minorHAnsi" w:eastAsiaTheme="minorHAnsi" w:hAnsiTheme="minorHAnsi" w:cstheme="minorBidi"/>
          <w:kern w:val="2"/>
          <w14:ligatures w14:val="standardContextual"/>
        </w:rPr>
        <w:t>C</w:t>
      </w:r>
      <w:r w:rsidRPr="00BF7312">
        <w:rPr>
          <w:rFonts w:asciiTheme="minorHAnsi" w:eastAsiaTheme="minorHAnsi" w:hAnsiTheme="minorHAnsi" w:cstheme="minorBidi"/>
          <w:kern w:val="2"/>
          <w14:ligatures w14:val="standardContextual"/>
        </w:rPr>
        <w:t xml:space="preserve">ell scores of Negative Regulation of Treg Differentiation in </w:t>
      </w:r>
      <w:r w:rsidR="005C44D1">
        <w:rPr>
          <w:rFonts w:asciiTheme="minorHAnsi" w:eastAsiaTheme="minorHAnsi" w:hAnsiTheme="minorHAnsi" w:cstheme="minorBidi"/>
          <w:kern w:val="2"/>
          <w14:ligatures w14:val="standardContextual"/>
        </w:rPr>
        <w:t xml:space="preserve">Cd4 </w:t>
      </w:r>
      <w:r w:rsidRPr="00BF7312">
        <w:rPr>
          <w:rFonts w:asciiTheme="minorHAnsi" w:eastAsiaTheme="minorHAnsi" w:hAnsiTheme="minorHAnsi" w:cstheme="minorBidi"/>
          <w:kern w:val="2"/>
          <w14:ligatures w14:val="standardContextual"/>
        </w:rPr>
        <w:t>T cells.</w:t>
      </w:r>
      <w:r w:rsidR="00701783">
        <w:rPr>
          <w:rFonts w:asciiTheme="minorHAnsi" w:eastAsiaTheme="minorHAnsi" w:hAnsiTheme="minorHAnsi" w:cstheme="minorBidi"/>
          <w:kern w:val="2"/>
          <w14:ligatures w14:val="standardContextual"/>
        </w:rPr>
        <w:t xml:space="preserve"> </w:t>
      </w:r>
      <w:r w:rsidRPr="00BF7312">
        <w:rPr>
          <w:rFonts w:asciiTheme="minorHAnsi" w:eastAsiaTheme="minorHAnsi" w:hAnsiTheme="minorHAnsi" w:cstheme="minorBidi"/>
          <w:kern w:val="2"/>
          <w14:ligatures w14:val="standardContextual"/>
        </w:rPr>
        <w:t>(C) UMAP of Monocle Trajectory of Treg and Cd4 T cells</w:t>
      </w:r>
      <w:r w:rsidR="00701783">
        <w:rPr>
          <w:rFonts w:asciiTheme="minorHAnsi" w:eastAsiaTheme="minorHAnsi" w:hAnsiTheme="minorHAnsi" w:cstheme="minorBidi"/>
          <w:kern w:val="2"/>
          <w14:ligatures w14:val="standardContextual"/>
        </w:rPr>
        <w:t xml:space="preserve">. </w:t>
      </w:r>
      <w:r w:rsidRPr="00BF7312">
        <w:rPr>
          <w:rFonts w:asciiTheme="minorHAnsi" w:eastAsiaTheme="minorHAnsi" w:hAnsiTheme="minorHAnsi" w:cstheme="minorBidi"/>
          <w:kern w:val="2"/>
          <w14:ligatures w14:val="standardContextual"/>
        </w:rPr>
        <w:t>(</w:t>
      </w:r>
      <w:r w:rsidR="00280E2F">
        <w:rPr>
          <w:rFonts w:asciiTheme="minorHAnsi" w:eastAsiaTheme="minorHAnsi" w:hAnsiTheme="minorHAnsi" w:cstheme="minorBidi"/>
          <w:kern w:val="2"/>
          <w14:ligatures w14:val="standardContextual"/>
        </w:rPr>
        <w:t>D</w:t>
      </w:r>
      <w:r w:rsidRPr="00BF7312">
        <w:rPr>
          <w:rFonts w:asciiTheme="minorHAnsi" w:eastAsiaTheme="minorHAnsi" w:hAnsiTheme="minorHAnsi" w:cstheme="minorBidi"/>
          <w:kern w:val="2"/>
          <w14:ligatures w14:val="standardContextual"/>
        </w:rPr>
        <w:t>) Using Tcf7 expression as a marker to set the root node for monitoring T cell maturation</w:t>
      </w:r>
      <w:r w:rsidR="00701783">
        <w:rPr>
          <w:rFonts w:asciiTheme="minorHAnsi" w:eastAsiaTheme="minorHAnsi" w:hAnsiTheme="minorHAnsi" w:cstheme="minorBidi"/>
          <w:kern w:val="2"/>
          <w14:ligatures w14:val="standardContextual"/>
        </w:rPr>
        <w:t xml:space="preserve">. </w:t>
      </w:r>
      <w:r w:rsidR="00C71B00">
        <w:rPr>
          <w:rFonts w:asciiTheme="minorHAnsi" w:eastAsiaTheme="minorHAnsi" w:hAnsiTheme="minorHAnsi" w:cstheme="minorBidi"/>
          <w:kern w:val="2"/>
          <w14:ligatures w14:val="standardContextual"/>
        </w:rPr>
        <w:t xml:space="preserve">(E) </w:t>
      </w:r>
      <w:r w:rsidR="00C71B00" w:rsidRPr="00BF7312">
        <w:rPr>
          <w:rFonts w:asciiTheme="minorHAnsi" w:eastAsiaTheme="minorHAnsi" w:hAnsiTheme="minorHAnsi" w:cstheme="minorBidi"/>
          <w:kern w:val="2"/>
          <w14:ligatures w14:val="standardContextual"/>
        </w:rPr>
        <w:t xml:space="preserve">UMAP of Monocle Trajectory </w:t>
      </w:r>
      <w:r w:rsidR="008C7B02">
        <w:rPr>
          <w:rFonts w:asciiTheme="minorHAnsi" w:eastAsiaTheme="minorHAnsi" w:hAnsiTheme="minorHAnsi" w:cstheme="minorBidi"/>
          <w:kern w:val="2"/>
          <w14:ligatures w14:val="standardContextual"/>
        </w:rPr>
        <w:t xml:space="preserve">colored by pseudotime. </w:t>
      </w:r>
      <w:r w:rsidRPr="00BF7312">
        <w:rPr>
          <w:rFonts w:asciiTheme="minorHAnsi" w:eastAsiaTheme="minorHAnsi" w:hAnsiTheme="minorHAnsi" w:cstheme="minorBidi"/>
          <w:kern w:val="2"/>
          <w14:ligatures w14:val="standardContextual"/>
        </w:rPr>
        <w:t>(</w:t>
      </w:r>
      <w:r w:rsidR="00280E2F">
        <w:rPr>
          <w:rFonts w:asciiTheme="minorHAnsi" w:eastAsiaTheme="minorHAnsi" w:hAnsiTheme="minorHAnsi" w:cstheme="minorBidi"/>
          <w:kern w:val="2"/>
          <w14:ligatures w14:val="standardContextual"/>
        </w:rPr>
        <w:t>F</w:t>
      </w:r>
      <w:r w:rsidRPr="00BF7312">
        <w:rPr>
          <w:rFonts w:asciiTheme="minorHAnsi" w:eastAsiaTheme="minorHAnsi" w:hAnsiTheme="minorHAnsi" w:cstheme="minorBidi"/>
          <w:kern w:val="2"/>
          <w14:ligatures w14:val="standardContextual"/>
        </w:rPr>
        <w:t>) Density plot of T cells along the Treg trajectory following days of treatment</w:t>
      </w:r>
      <w:r w:rsidR="00701783">
        <w:rPr>
          <w:rFonts w:asciiTheme="minorHAnsi" w:eastAsiaTheme="minorHAnsi" w:hAnsiTheme="minorHAnsi" w:cstheme="minorBidi"/>
          <w:kern w:val="2"/>
          <w14:ligatures w14:val="standardContextual"/>
        </w:rPr>
        <w:t xml:space="preserve">. </w:t>
      </w:r>
      <w:r w:rsidRPr="00BF7312">
        <w:rPr>
          <w:rFonts w:asciiTheme="minorHAnsi" w:eastAsiaTheme="minorHAnsi" w:hAnsiTheme="minorHAnsi" w:cstheme="minorBidi"/>
          <w:kern w:val="2"/>
          <w14:ligatures w14:val="standardContextual"/>
        </w:rPr>
        <w:t xml:space="preserve">(G) </w:t>
      </w:r>
      <w:r w:rsidR="00E804BF">
        <w:rPr>
          <w:rFonts w:asciiTheme="minorHAnsi" w:eastAsiaTheme="minorHAnsi" w:hAnsiTheme="minorHAnsi" w:cstheme="minorBidi"/>
          <w:kern w:val="2"/>
          <w14:ligatures w14:val="standardContextual"/>
        </w:rPr>
        <w:t>Heatmap of</w:t>
      </w:r>
      <w:r w:rsidR="00C20A26">
        <w:rPr>
          <w:rFonts w:asciiTheme="minorHAnsi" w:eastAsiaTheme="minorHAnsi" w:hAnsiTheme="minorHAnsi" w:cstheme="minorBidi"/>
          <w:kern w:val="2"/>
          <w14:ligatures w14:val="standardContextual"/>
        </w:rPr>
        <w:t xml:space="preserve"> </w:t>
      </w:r>
      <w:r w:rsidR="00A151E5">
        <w:rPr>
          <w:rFonts w:asciiTheme="minorHAnsi" w:eastAsiaTheme="minorHAnsi" w:hAnsiTheme="minorHAnsi" w:cstheme="minorBidi"/>
          <w:kern w:val="2"/>
          <w14:ligatures w14:val="standardContextual"/>
        </w:rPr>
        <w:t>Treg</w:t>
      </w:r>
      <w:r w:rsidR="00C20A26">
        <w:rPr>
          <w:rFonts w:asciiTheme="minorHAnsi" w:eastAsiaTheme="minorHAnsi" w:hAnsiTheme="minorHAnsi" w:cstheme="minorBidi"/>
          <w:kern w:val="2"/>
          <w14:ligatures w14:val="standardContextual"/>
        </w:rPr>
        <w:t xml:space="preserve"> </w:t>
      </w:r>
      <w:r w:rsidR="00E804BF">
        <w:rPr>
          <w:rFonts w:asciiTheme="minorHAnsi" w:eastAsiaTheme="minorHAnsi" w:hAnsiTheme="minorHAnsi" w:cstheme="minorBidi"/>
          <w:kern w:val="2"/>
          <w14:ligatures w14:val="standardContextual"/>
        </w:rPr>
        <w:t>DEGs</w:t>
      </w:r>
      <w:r w:rsidR="00D416EE">
        <w:rPr>
          <w:rFonts w:asciiTheme="minorHAnsi" w:eastAsiaTheme="minorHAnsi" w:hAnsiTheme="minorHAnsi" w:cstheme="minorBidi"/>
          <w:kern w:val="2"/>
          <w14:ligatures w14:val="standardContextual"/>
        </w:rPr>
        <w:t xml:space="preserve"> across </w:t>
      </w:r>
      <w:r w:rsidR="00BD2594">
        <w:rPr>
          <w:rFonts w:asciiTheme="minorHAnsi" w:eastAsiaTheme="minorHAnsi" w:hAnsiTheme="minorHAnsi" w:cstheme="minorBidi"/>
          <w:kern w:val="2"/>
          <w14:ligatures w14:val="standardContextual"/>
        </w:rPr>
        <w:t>pseudo-time</w:t>
      </w:r>
      <w:r w:rsidR="00E804BF">
        <w:rPr>
          <w:rFonts w:asciiTheme="minorHAnsi" w:eastAsiaTheme="minorHAnsi" w:hAnsiTheme="minorHAnsi" w:cstheme="minorBidi"/>
          <w:kern w:val="2"/>
          <w14:ligatures w14:val="standardContextual"/>
        </w:rPr>
        <w:t xml:space="preserve"> expressed </w:t>
      </w:r>
      <w:r w:rsidR="00C20A26">
        <w:rPr>
          <w:rFonts w:asciiTheme="minorHAnsi" w:eastAsiaTheme="minorHAnsi" w:hAnsiTheme="minorHAnsi" w:cstheme="minorBidi"/>
          <w:kern w:val="2"/>
          <w14:ligatures w14:val="standardContextual"/>
        </w:rPr>
        <w:t>along Treg trajectory.</w:t>
      </w:r>
    </w:p>
    <w:p w14:paraId="49408BF9" w14:textId="73BB126B" w:rsidR="007E7813" w:rsidRDefault="00521B85" w:rsidP="0009111A">
      <w:pPr>
        <w:pStyle w:val="Heading2"/>
      </w:pPr>
      <w:r w:rsidRPr="0009111A">
        <w:lastRenderedPageBreak/>
        <w:t>Ptpn2</w:t>
      </w:r>
      <w:r w:rsidR="007E7813" w:rsidRPr="0009111A">
        <w:t xml:space="preserve"> Haploinsufficiency</w:t>
      </w:r>
      <w:r w:rsidR="00F550A9" w:rsidRPr="0009111A">
        <w:t xml:space="preserve"> </w:t>
      </w:r>
      <w:r w:rsidR="00C44DBE" w:rsidRPr="0009111A">
        <w:t>within</w:t>
      </w:r>
      <w:r w:rsidR="00F550A9" w:rsidRPr="0009111A">
        <w:t xml:space="preserve"> autoimmun</w:t>
      </w:r>
      <w:r w:rsidR="00C44DBE" w:rsidRPr="0009111A">
        <w:t xml:space="preserve">e SKG Mouse model supports </w:t>
      </w:r>
      <w:r w:rsidR="00AC64B7" w:rsidRPr="0009111A">
        <w:t xml:space="preserve">a Treg-intrinsic </w:t>
      </w:r>
      <w:r w:rsidR="0009111A" w:rsidRPr="0009111A">
        <w:t>through the Il6/Stat3/Dnmt3a mechanism</w:t>
      </w:r>
    </w:p>
    <w:p w14:paraId="2C351380" w14:textId="73F0C1B5" w:rsidR="0009111A" w:rsidRDefault="00C91674" w:rsidP="00C91674">
      <w:pPr>
        <w:ind w:firstLine="720"/>
      </w:pPr>
      <w:r w:rsidRPr="00C91674">
        <w:t>We utilized the public dataset GSE123488 to evaluate whether AC484 inhibition of PTPN2 would elicit gene regulation changes analogous to those observed with genetic loss-of-function, as described in our study. Since GSE123488 includes gene expression and chromatin accessibility profiles under conditions of P</w:t>
      </w:r>
      <w:r>
        <w:t>tpn2</w:t>
      </w:r>
      <w:r w:rsidRPr="00C91674">
        <w:t xml:space="preserve"> </w:t>
      </w:r>
      <w:r w:rsidR="000E4CAE">
        <w:t>depletion</w:t>
      </w:r>
      <w:r w:rsidRPr="00C91674">
        <w:t>, it enables us to compare the molecular consequences of targeting Ptpn2 pharmacologically versus those due to genetic deficiency. This is important because, while our primary results demonstrate that reduced or lost P</w:t>
      </w:r>
      <w:r>
        <w:t>tpn2</w:t>
      </w:r>
      <w:r w:rsidRPr="00C91674">
        <w:t xml:space="preserve"> expression disrupts Treg function via specific alterations in S</w:t>
      </w:r>
      <w:r>
        <w:t>tat3</w:t>
      </w:r>
      <w:r w:rsidRPr="00C91674">
        <w:t xml:space="preserve"> signaling and Il6-associated gene regulation, confirming transcriptional profiles and their mechanisms of regulation are conserved would likely recapitulate these molecular and phenotypic outcomes. Thus, the public dataset serves as an independent validation tool for our mechanistic insights and supports the translational relevance of our findings.</w:t>
      </w:r>
    </w:p>
    <w:p w14:paraId="369A6A50" w14:textId="22EA334C" w:rsidR="003E71FF" w:rsidRDefault="003E71FF" w:rsidP="003E71FF">
      <w:pPr>
        <w:ind w:firstLine="720"/>
      </w:pPr>
      <w:r>
        <w:t>First, we investigated shifts in genomic regulation between Ptpn2+/+ and Ptpn2+/- Tregs isolated from the B6.H2d.SKG mouse strain. This was accomplished by overlapping gene lists obtained from bulk RNA-seq and ATAC-seq experiments (GSE123488) conducted prior to IL-6 stimulation (</w:t>
      </w:r>
      <w:hyperlink w:anchor="_Figure_5:_Reduced" w:history="1">
        <w:r w:rsidRPr="00462DE2">
          <w:rPr>
            <w:rStyle w:val="Hyperlink"/>
          </w:rPr>
          <w:t>Fig. 5A</w:t>
        </w:r>
      </w:hyperlink>
      <w:r>
        <w:t>). The intersection of genes showing changes in both RNA expression and DNA accessibility provided a shortlist strongly suggestive of direct Ptpn2 regulation. Next, we assessed whether similar changes occurred in genes implicated in IL-6/STAT3/DNMT3A signaling, as detailed in our study (</w:t>
      </w:r>
      <w:hyperlink w:anchor="_Figure_5:_Reduced" w:history="1">
        <w:r w:rsidRPr="00462DE2">
          <w:rPr>
            <w:rStyle w:val="Hyperlink"/>
          </w:rPr>
          <w:t>Fig. 5B</w:t>
        </w:r>
      </w:hyperlink>
      <w:r>
        <w:t>). We found that Foxp3 expression was elevated in Ptpn2+/- Tregs, accompanied by increased expression of Il6, Stat3, and Dnmt3a. While reduced Ptpn2 protein under this haploinsufficiency model may recapitulate trends observed with pharmacological inhibition, it does not fully replicate all experimental findings.</w:t>
      </w:r>
    </w:p>
    <w:p w14:paraId="6606B734" w14:textId="27018416" w:rsidR="003E71FF" w:rsidRDefault="003E71FF" w:rsidP="003E71FF">
      <w:pPr>
        <w:ind w:firstLine="720"/>
      </w:pPr>
      <w:r>
        <w:t>To further characterize functional impacts, we performed gene set enrichment analysis using KEGG and Gene Ontology Biological Processes gene sets on the overlapping gene list from the Venn diagram analysis (</w:t>
      </w:r>
      <w:hyperlink w:anchor="_Figure_5:_Reduced" w:history="1">
        <w:r w:rsidRPr="00462DE2">
          <w:rPr>
            <w:rStyle w:val="Hyperlink"/>
          </w:rPr>
          <w:t>Fig. 5C</w:t>
        </w:r>
      </w:hyperlink>
      <w:r>
        <w:t>). The significantly enriched pathways identified are relevant to T cell biology and align with Ptpn2’s role as a phosphatase. This indicates that diminished Ptpn2 activity contributes to Treg identity destabilization.</w:t>
      </w:r>
    </w:p>
    <w:p w14:paraId="0EE646F6" w14:textId="3561A538" w:rsidR="003E71FF" w:rsidRDefault="003E71FF" w:rsidP="003E71FF">
      <w:pPr>
        <w:ind w:firstLine="720"/>
      </w:pPr>
      <w:r>
        <w:t xml:space="preserve">Additionally, we loaded </w:t>
      </w:r>
      <w:r w:rsidR="009A5C8A">
        <w:t>bigwig</w:t>
      </w:r>
      <w:r>
        <w:t xml:space="preserve"> and BED files from GSE123488 into the IGV browser. Peak regions unique to Ptpn2+/- Tregs prior to IL-6 stimulation were screened for transcription factor binding sites using MEME suite tools (AME and FIMO), referencing the JASPAR 2026 CORE non-redundant motif database. We summarized both enrichment and individual occurrences of transcription factors relevant to Treg biology (</w:t>
      </w:r>
      <w:hyperlink w:anchor="_Supplementary_Table_Two:" w:history="1">
        <w:r w:rsidRPr="00462DE2">
          <w:rPr>
            <w:rStyle w:val="Hyperlink"/>
          </w:rPr>
          <w:t>Supplementary Table 2</w:t>
        </w:r>
      </w:hyperlink>
      <w:r>
        <w:t>). Focusing on STAT family binding sites, we examined the region around the Dnmt3a locus (</w:t>
      </w:r>
      <w:hyperlink w:anchor="_Figure_5:_Reduced" w:history="1">
        <w:r w:rsidRPr="00462DE2">
          <w:rPr>
            <w:rStyle w:val="Hyperlink"/>
          </w:rPr>
          <w:t>Fig. 5D</w:t>
        </w:r>
      </w:hyperlink>
      <w:r>
        <w:t>). In Ptpn2+/+ Tregs, a peak prior to exon 1 (transcripts NM_001271753.1, NM_007872.4, and XM_030246538.1) was absent before IL-6 stimulation, whereas a peak emerged in Ptpn2+/- Tregs. Following IL-6 stimulation, both genotypes exhibited a peak up to 72 hours. Notably, STAT family transcription factor binding sites overlapped with these peaks near exon 1.</w:t>
      </w:r>
    </w:p>
    <w:p w14:paraId="1B0B1701" w14:textId="2B3E8B40" w:rsidR="000D0CBE" w:rsidRDefault="003A4D8D" w:rsidP="000D0CBE">
      <w:pPr>
        <w:jc w:val="center"/>
      </w:pPr>
      <w:r w:rsidRPr="003A4D8D">
        <w:rPr>
          <w:noProof/>
        </w:rPr>
        <w:lastRenderedPageBreak/>
        <w:drawing>
          <wp:inline distT="0" distB="0" distL="0" distR="0" wp14:anchorId="1970DEB5" wp14:editId="1A1C9209">
            <wp:extent cx="4996815" cy="8229600"/>
            <wp:effectExtent l="0" t="0" r="0" b="0"/>
            <wp:docPr id="1048514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514452" name=""/>
                    <pic:cNvPicPr/>
                  </pic:nvPicPr>
                  <pic:blipFill>
                    <a:blip r:embed="rId16"/>
                    <a:stretch>
                      <a:fillRect/>
                    </a:stretch>
                  </pic:blipFill>
                  <pic:spPr>
                    <a:xfrm>
                      <a:off x="0" y="0"/>
                      <a:ext cx="4996815" cy="8229600"/>
                    </a:xfrm>
                    <a:prstGeom prst="rect">
                      <a:avLst/>
                    </a:prstGeom>
                  </pic:spPr>
                </pic:pic>
              </a:graphicData>
            </a:graphic>
          </wp:inline>
        </w:drawing>
      </w:r>
    </w:p>
    <w:p w14:paraId="06DC2751" w14:textId="77777777" w:rsidR="006E4FD9" w:rsidRPr="006E4FD9" w:rsidRDefault="006E4FD9" w:rsidP="000D0CBE">
      <w:pPr>
        <w:pStyle w:val="Heading3"/>
      </w:pPr>
      <w:bookmarkStart w:id="8" w:name="_Figure_5:_Reduced"/>
      <w:bookmarkEnd w:id="8"/>
      <w:r w:rsidRPr="006E4FD9">
        <w:lastRenderedPageBreak/>
        <w:t>Figure 5: Reduced expression of phosphatase PTPN2 promotes pathogenic conversion of Tregs in autoimmunity</w:t>
      </w:r>
    </w:p>
    <w:p w14:paraId="65D9FF82" w14:textId="643D7E29" w:rsidR="006E4FD9" w:rsidRPr="006E4FD9" w:rsidRDefault="006E4FD9" w:rsidP="006E4FD9">
      <w:r>
        <w:t xml:space="preserve">(A) </w:t>
      </w:r>
      <w:r w:rsidRPr="006E4FD9">
        <w:t>Venn diagram of differentially expressed genes and differentially unique genomic regions between Ptpn2+/+ and Ptpn2+/- Tregs prior to IL6 stimulation.</w:t>
      </w:r>
      <w:r>
        <w:t xml:space="preserve"> (B) </w:t>
      </w:r>
      <w:r w:rsidRPr="006E4FD9">
        <w:t>Heatmap of Differentially expressed Treg lineage affirming genes between Ptpn2+/+ and Ptpn2+/- Tregs prior to IL6 stimulation</w:t>
      </w:r>
      <w:r w:rsidR="00DA0AEA">
        <w:t>. (C)</w:t>
      </w:r>
      <w:r w:rsidR="00A02F03">
        <w:t xml:space="preserve"> </w:t>
      </w:r>
      <w:r w:rsidRPr="006E4FD9">
        <w:t>Dot</w:t>
      </w:r>
      <w:r w:rsidR="00BC4583">
        <w:t xml:space="preserve"> </w:t>
      </w:r>
      <w:r w:rsidRPr="006E4FD9">
        <w:t xml:space="preserve">plot of significantly enriched Pathways and biological processes obtained from </w:t>
      </w:r>
      <w:r w:rsidR="004270BB">
        <w:t xml:space="preserve">the Venn Diagram </w:t>
      </w:r>
      <w:r w:rsidRPr="006E4FD9">
        <w:t>pertaining to IL6/STAT mediated regulation of Treg to Th17 differentiation.</w:t>
      </w:r>
      <w:r w:rsidR="004270BB">
        <w:t xml:space="preserve"> (D) </w:t>
      </w:r>
      <w:r w:rsidRPr="006E4FD9">
        <w:t xml:space="preserve">IGV plot of GSE123484 </w:t>
      </w:r>
      <w:r w:rsidR="0073771D">
        <w:t xml:space="preserve">Treg </w:t>
      </w:r>
      <w:r w:rsidRPr="006E4FD9">
        <w:t>experiment between Ptpn2+/+ and Ptpn2+/- Tregs prior to and following IL6 stimulation at 0h, 24h, 48h, and 72h. Additionally using FIMO tool with Jasper STAT3</w:t>
      </w:r>
      <w:r w:rsidR="004270BB">
        <w:t xml:space="preserve"> </w:t>
      </w:r>
      <w:r w:rsidRPr="006E4FD9">
        <w:t>motif we scanned these differentially expressed regions with STAT3 binding regions.</w:t>
      </w:r>
    </w:p>
    <w:p w14:paraId="2FDBEBAE" w14:textId="65A923C9" w:rsidR="00CA339D" w:rsidRDefault="001A08A2" w:rsidP="00D75A41">
      <w:pPr>
        <w:pStyle w:val="Heading1"/>
      </w:pPr>
      <w:r>
        <w:t xml:space="preserve">Discussion </w:t>
      </w:r>
    </w:p>
    <w:p w14:paraId="70A2B73B" w14:textId="77777777" w:rsidR="0033254B" w:rsidRPr="0033254B" w:rsidRDefault="0033254B" w:rsidP="0033254B">
      <w:pPr>
        <w:pStyle w:val="Heading2"/>
      </w:pPr>
      <w:r w:rsidRPr="0033254B">
        <w:t>Prognostic Significance and Modulation of Tregs in the Tumor Microenvironment</w:t>
      </w:r>
    </w:p>
    <w:p w14:paraId="7C27E5DC" w14:textId="407C0398" w:rsidR="003E3677" w:rsidRDefault="003E3677" w:rsidP="0033254B">
      <w:pPr>
        <w:pStyle w:val="Heading2"/>
        <w:ind w:firstLine="720"/>
        <w:rPr>
          <w:rFonts w:ascii="Times New Roman" w:eastAsia="Times New Roman" w:hAnsi="Times New Roman" w:cs="Times New Roman"/>
          <w:color w:val="auto"/>
          <w:sz w:val="24"/>
          <w:szCs w:val="24"/>
        </w:rPr>
      </w:pPr>
      <w:r w:rsidRPr="003E3677">
        <w:rPr>
          <w:rFonts w:ascii="Times New Roman" w:eastAsia="Times New Roman" w:hAnsi="Times New Roman" w:cs="Times New Roman"/>
          <w:color w:val="auto"/>
          <w:sz w:val="24"/>
          <w:szCs w:val="24"/>
        </w:rPr>
        <w:t>Tregs are proposed to have prognostic value for therapy with PD-1 inhibitors, namely nivolumab and pembrolizumab, particularly in patients with melanoma, non-small cell lung cancer, and gastric cancer. Patients with prolonged overall survival and progression-free survival are reported to have high Treg levels at baseline; however, these numbers tend to decrease during immunotherapy (PMID:32117275, PMID:33149213, PMID:34066146). Conversely, patients with higher Treg to effector T cell ratios in the tumor microenvironment are associated with a poorer prognosis across several cancer indications (https://doi.org/10.1146/annurev-cancerbio-030419-033428, PMID:23199321). Tregs within the tumor microenvironment (TME) are an appealing target for cancer therapy due to their ability to suppress the immune function of other cells. Nevertheless, careful consideration is necessary to pharmaceutically challenge Tregs in a manner that balances immune regulation and the risk of autoimmune responses</w:t>
      </w:r>
      <w:r w:rsidR="00AD40C0">
        <w:rPr>
          <w:rFonts w:ascii="Times New Roman" w:eastAsia="Times New Roman" w:hAnsi="Times New Roman" w:cs="Times New Roman"/>
          <w:color w:val="auto"/>
          <w:sz w:val="24"/>
          <w:szCs w:val="24"/>
        </w:rPr>
        <w:t>.</w:t>
      </w:r>
    </w:p>
    <w:p w14:paraId="2EC9C990" w14:textId="2E55E51D" w:rsidR="001C0263" w:rsidRPr="001C0263" w:rsidRDefault="001C0263" w:rsidP="001C0263">
      <w:pPr>
        <w:ind w:firstLine="720"/>
      </w:pPr>
      <w:r w:rsidRPr="001C0263">
        <w:t>Within our data looking at Cd4/Cd8/Treg ratios, we observe the highest ratios of Tregs across all treatment regiments on D3, but then this compartment begins to shrink by D6 with Ptpn2i being markedly lower than Vehicle and are at the lowest levels on D10 with Ptpn2i and combination Ptpn2i + aPD1 being markedly lower than Vehicle. The apparent Ptpn2i mediated reduction in Treg ratios to Cd4 and Cd8 would suggest an improved patient prognosis and a decrease in the immune suppression within the TME.</w:t>
      </w:r>
    </w:p>
    <w:p w14:paraId="5C2E954E" w14:textId="359C67D4" w:rsidR="00AD40C0" w:rsidRPr="00AD40C0" w:rsidRDefault="00AD40C0" w:rsidP="00AD40C0">
      <w:r>
        <w:tab/>
        <w:t xml:space="preserve"> </w:t>
      </w:r>
    </w:p>
    <w:p w14:paraId="10DF4178" w14:textId="77777777" w:rsidR="003B747F" w:rsidRDefault="003B747F" w:rsidP="003B747F">
      <w:pPr>
        <w:pStyle w:val="Heading2"/>
      </w:pPr>
      <w:r w:rsidRPr="003B747F">
        <w:t>Interplay Between PD1/PDL1 and Ptpn2 Signaling in T Cell-Mediated Anti-Tumor Responses</w:t>
      </w:r>
    </w:p>
    <w:p w14:paraId="7B919B9A" w14:textId="20C3C167" w:rsidR="00A70D40" w:rsidRDefault="00A70D40" w:rsidP="00BF3539">
      <w:pPr>
        <w:ind w:firstLine="720"/>
      </w:pPr>
      <w:r>
        <w:t xml:space="preserve">Downstream signaling from PD1 is responsible for the downregulation of TCR signaling (PMID:25440090), and under normal conditions is necessary to control inflammation and protect surrounding tissue from autoimmune damage (PMID:28878676). PD1 and PDL1 signaling within the tumor microenvironment supports cancer progression by enabling evasion from immune surveillance. Patients who respond to anti-PD1/anti-PDL1 therapy exhibit increased numbers of effector T cells and decreased numbers of Tregs (PMID:25440090, </w:t>
      </w:r>
      <w:r>
        <w:lastRenderedPageBreak/>
        <w:t xml:space="preserve">PMID:28878676). </w:t>
      </w:r>
      <w:r w:rsidR="00BF3539">
        <w:t>Like</w:t>
      </w:r>
      <w:r>
        <w:t xml:space="preserve"> PD1, Ptpn2 acts as a negative regulator of TCR signaling; its deficiency promotes activation of TCR signaling and clonal expansion of T cell populations (PMID:22080863, PMID:28798028, PMID:24445916). Ptpn2 has been reported to negatively regulate TCR signaling by dephosphorylating Src-family kinases, specifically Lck and Zap70, which are responsible for T cell activation (PMID:15696169, PMID:22080863).</w:t>
      </w:r>
    </w:p>
    <w:p w14:paraId="5EFA2C0B" w14:textId="61C6AC44" w:rsidR="00A70D40" w:rsidRDefault="00A70D40" w:rsidP="00BF3539">
      <w:pPr>
        <w:ind w:firstLine="720"/>
      </w:pPr>
      <w:r>
        <w:t>In our experiment, at the terminal timepoints, we observed increased levels of Cd4 and Cd8 T cells in the aPD1, Ptpn2i, and combination Ptpn2i + aPD1 regimens compared to vehicle. In cases where only aPD1 or Ptpn2i were administered, there were significantly higher proportions with Ptpn2i monotherapy, except at D6 for Cd4 T cells. We also observed changes in the levels of TCR protein component expression compared to vehicle. Scaled expression analysis indicated that these genes reached their highest expression in Ptpn2i and combination Ptpn2i + aPD1 treatment groups. Furthermore, the effects of Ptpn2i on other key players in TCR signaling, including Cd3 components, Lck, Lyn, and Zap70, were evident.</w:t>
      </w:r>
    </w:p>
    <w:p w14:paraId="03A1B339" w14:textId="150444A4" w:rsidR="00A70D40" w:rsidRDefault="00A70D40" w:rsidP="00A70D40">
      <w:pPr>
        <w:ind w:firstLine="720"/>
      </w:pPr>
      <w:r>
        <w:t xml:space="preserve">In contrast to effector T cells, where PD1 inhibition and subsequent cell activation are beneficial for prognosis, PD1-mediated blockade of Tregs in patients with non-small cell lung cancer (NSCLC), gastric cancer, and malignant melanoma promoted enhanced immunosuppressive activity, contributing to tumor progression (PMID:32868929). This study further postulates that, to effectively predict the efficacy of aPD1-based therapy, the ratio of Cd8 T cells to Tregs must favor Cd8 T cells. Aside from enhancing the immunosuppressive activity of Tregs, PD1 inhibition has also been reported to induce extrathymic differentiation of </w:t>
      </w:r>
      <w:r w:rsidR="00BC4583">
        <w:t>Tregs (</w:t>
      </w:r>
      <w:r>
        <w:t>PMID:24975127).</w:t>
      </w:r>
    </w:p>
    <w:p w14:paraId="5A458542" w14:textId="6D654841" w:rsidR="00B62727" w:rsidRDefault="00A70D40" w:rsidP="00A70D40">
      <w:pPr>
        <w:ind w:firstLine="720"/>
      </w:pPr>
      <w:r>
        <w:t>In our experiment, within the Treg population, we observed that CD3 protein expression was markedly higher with aPD1 treatment, and fewer differentially expressed genes related to TCR components were detected. The TCR clonality experiments are consistent with a previous scRNAseq breast cancer analysis, which showed that the intratumoral Treg TCR repertoire has a common clonal origin with tumor-infiltrating effector T cells (PMID:33602930).</w:t>
      </w:r>
    </w:p>
    <w:p w14:paraId="4313A24C" w14:textId="77777777" w:rsidR="00130309" w:rsidRDefault="00130309" w:rsidP="00130309"/>
    <w:p w14:paraId="08193E44" w14:textId="34D74F8D" w:rsidR="00130309" w:rsidRDefault="00130309" w:rsidP="00130309">
      <w:pPr>
        <w:pStyle w:val="Heading2"/>
      </w:pPr>
      <w:r w:rsidRPr="00130309">
        <w:t>Mechanisms Underlying PTPN2-Mediated Regulation of Treg Identity</w:t>
      </w:r>
    </w:p>
    <w:p w14:paraId="5FDAF13F" w14:textId="0F2E11CD" w:rsidR="00AC4200" w:rsidRDefault="00AC4200" w:rsidP="00AC4200">
      <w:pPr>
        <w:ind w:firstLine="720"/>
      </w:pPr>
      <w:r>
        <w:t>Studies investigating PTPN2’s role within Tregs vary depending on cell classification and the transcription factors involved. In iTregs, there are conflicting reports: Ptpn2 knockout has been reported to promote Treg expansion through stabilization of the transcription factor Foxp3 in induced Tregs (PMID:22080863, PMID:28798028). However, other studies report Foxp3 depletion due to TCR-mediated dephosphorylation of STAT5b by the phosphatase PTPN2, along with downregulation of FOXO1 (PMID:26815406). Initial scRNAseq expression profiles make it difficult to distinguish or model iTregs versus tTregs. Our Treg cluster showed reduced Foxp3 expression under Ptpn2i and combination Ptpn2i + aPD1 treatment conditions, but not under aPD1 treatment alone. Furthermore, Stat5b expression was highest under vehicle conditions and lowest under aPD1 and combination Ptpn2i + aPD1 conditions, while Foxo1 expression remained high only under Ptpn2i treatment. These findings suggest that lowered Treg activation is not achieved through either of these mechanisms.</w:t>
      </w:r>
    </w:p>
    <w:p w14:paraId="2D517658" w14:textId="7C1F97DC" w:rsidR="00CC43FE" w:rsidRDefault="00AC4200" w:rsidP="00122CEF">
      <w:pPr>
        <w:ind w:firstLine="720"/>
      </w:pPr>
      <w:r>
        <w:t xml:space="preserve">Destabilization of Treg identity has been previously reported in models of reduced Ptpn2 expression (PMID:30620725) and GATA3-induced expression of miR-125a-5p (PMID:26424054). Within our Tregs, gene expression analysis showed Gata3 was highest under vehicle conditions, but not under any of our treatment regimens. Stat3 expression increased slightly under Ptpn2i treatment but not under the combination of Ptpn2i + aPD1. Ultimately, </w:t>
      </w:r>
      <w:r>
        <w:lastRenderedPageBreak/>
        <w:t>reports that IL6/Stat3 signaling can destabilize Treg identity by altering the epigenetic status of Foxp3 via Stat3-mediated upregulation of Dnmt3a and transcriptional silencing of Blimp1 (Prdm1) (PMID:30759395) most closely match our transcriptomic profile.</w:t>
      </w:r>
    </w:p>
    <w:p w14:paraId="311D6D37" w14:textId="07DC5F41" w:rsidR="0083469F" w:rsidRDefault="00AC4200" w:rsidP="00122CEF">
      <w:pPr>
        <w:ind w:firstLine="720"/>
      </w:pPr>
      <w:r>
        <w:t>Our prior publication (PMID:37794185; GSE237376) examined the ATAC-seq profiles of only CD8 T cells, which unfortunately limits our ability to discern which transcription factors are underlying the regulation of these key genes by cell type.</w:t>
      </w:r>
      <w:r w:rsidR="003075CF">
        <w:t xml:space="preserve"> We relied on a public Ptpn2 haploinsufficiency ar</w:t>
      </w:r>
      <w:r w:rsidR="0083469F">
        <w:t xml:space="preserve">thritis mouse model </w:t>
      </w:r>
      <w:r w:rsidR="00B57F38">
        <w:t xml:space="preserve">to check if </w:t>
      </w:r>
      <w:r w:rsidR="00122CEF">
        <w:t>the Dnmt</w:t>
      </w:r>
      <w:r w:rsidR="00B57F38">
        <w:t>3a</w:t>
      </w:r>
      <w:r w:rsidR="001B7FF4">
        <w:t xml:space="preserve"> loci accessibility</w:t>
      </w:r>
      <w:r w:rsidR="00B57F38">
        <w:t xml:space="preserve"> change</w:t>
      </w:r>
      <w:r w:rsidR="001B7FF4">
        <w:t>d</w:t>
      </w:r>
      <w:r w:rsidR="00B57F38">
        <w:t xml:space="preserve"> upon reduced Ptpn2 levels</w:t>
      </w:r>
      <w:r w:rsidR="001B7FF4">
        <w:t xml:space="preserve"> and if</w:t>
      </w:r>
      <w:r w:rsidR="00122CEF">
        <w:t xml:space="preserve"> Stat binding sites could be detected within these regions. </w:t>
      </w:r>
      <w:r w:rsidR="0083469F">
        <w:t xml:space="preserve">A </w:t>
      </w:r>
      <w:r w:rsidR="0083469F" w:rsidRPr="003A0697">
        <w:t xml:space="preserve">Haploinsufficiency </w:t>
      </w:r>
      <w:r w:rsidR="0083469F">
        <w:t>model, where one allele of a gene is inactive and the remaining allele is not enough to maintain normal function, can offer insight into chemical inhibition by demonstrating the biological effect of reduced enzyme levels. If reducing gene dosage (as in haploinsufficiency) produces a phenotype-like treatment with a chemical inhibitor, it suggests that partial inhibition of the enzyme may have measurable effects on cellular or organismal function. This approach helps predict the consequences of pharmacologically targeting an enzyme, since the genetic model can simulate the degree of inhibition a chemical might achieve.</w:t>
      </w:r>
    </w:p>
    <w:p w14:paraId="4C3AA615" w14:textId="77777777" w:rsidR="007B1CE9" w:rsidRDefault="007B1CE9" w:rsidP="007B1CE9"/>
    <w:p w14:paraId="5F52BD3D" w14:textId="12FF372C" w:rsidR="007B1CE9" w:rsidRDefault="007B1CE9" w:rsidP="007B1CE9">
      <w:pPr>
        <w:pStyle w:val="Heading2"/>
      </w:pPr>
      <w:r>
        <w:t xml:space="preserve">Impact of Ptpn2 Inhibition on Treg and </w:t>
      </w:r>
      <w:r w:rsidR="00666B15">
        <w:t>Cd4</w:t>
      </w:r>
      <w:r>
        <w:t xml:space="preserve"> Cell Fate Decisions</w:t>
      </w:r>
    </w:p>
    <w:p w14:paraId="4A90DB7D" w14:textId="29172299" w:rsidR="00155440" w:rsidRDefault="00155440" w:rsidP="00155440">
      <w:pPr>
        <w:ind w:firstLine="720"/>
      </w:pPr>
      <w:r>
        <w:t xml:space="preserve">Mechanistically, combating Treg-mediated immune suppression via Ptpn2 inhibition operates on two fronts: it destabilizes cell identity and activity by downregulating Foxp3 expression, and it reduces the number of iTregs produced in the TME. Research suggests that iTregs comprise a significant proportion of tumor-infiltrating Tregs (PMID:33602930, PMID:22849383). Prior work has shown that Ptpn2 deficiency in T cells during chronic intestinal inflammation favors </w:t>
      </w:r>
      <w:r w:rsidR="00666B15">
        <w:t>Cd4</w:t>
      </w:r>
      <w:r>
        <w:t xml:space="preserve"> differentiation towards Th1 and Th17 cell types (PMID:25492475). Additionally, studies of PD1-deficient mice both in vitro and in vivo found that thymic development of Tregs was not affected by PD1 deficiency, but </w:t>
      </w:r>
      <w:r w:rsidR="00666B15">
        <w:t>Cd4</w:t>
      </w:r>
      <w:r>
        <w:t xml:space="preserve"> T cell conversion into iTregs within the periphery was impaired in several in vitro experimental settings (PMID:24975127). Further studies have also demonstrated a role for the PD-1/PD-L1 axis in the differentiation of iTregs (PMID:22133721, PMID:2470842, PMID:20008522, PMID:30054205).</w:t>
      </w:r>
    </w:p>
    <w:p w14:paraId="7217E221" w14:textId="3CC0897E" w:rsidR="004A6255" w:rsidRDefault="00155440" w:rsidP="00155440">
      <w:pPr>
        <w:ind w:firstLine="720"/>
      </w:pPr>
      <w:r>
        <w:t xml:space="preserve">This aligns with our observations from monocle trajectory analysis. Within the Treg portion of the trajectory, we observe two density peaks under the vehicle condition; the first peak declines across all treatment regimens, while the second peak remains unaffected, suggesting that later pseudotime values correspond to tTregs and earlier pseudotime values correspond to iTregs. Interestingly, in the </w:t>
      </w:r>
      <w:r w:rsidR="00666B15">
        <w:t>Cd4</w:t>
      </w:r>
      <w:r>
        <w:t xml:space="preserve"> half of the trajectory analysis, we observe the emergence of a density peak at the same pseudotime value where there is a decrease in the density of cells in the Treg trajectory, but only under Ptpn2i treatment conditions. This suggests that naïve Tcf7+ </w:t>
      </w:r>
      <w:r w:rsidR="00666B15">
        <w:t>Cd4</w:t>
      </w:r>
      <w:r>
        <w:t xml:space="preserve"> cells are favoring differentiation towards a more Th-like state rather than a Treg state.</w:t>
      </w:r>
    </w:p>
    <w:p w14:paraId="68998320" w14:textId="77777777" w:rsidR="00D95325" w:rsidRDefault="00D95325" w:rsidP="00624FB2"/>
    <w:p w14:paraId="3D7CCEB9" w14:textId="77777777" w:rsidR="004941D8" w:rsidRDefault="004941D8" w:rsidP="004941D8">
      <w:pPr>
        <w:pStyle w:val="Heading2"/>
      </w:pPr>
      <w:r>
        <w:t>Immune Checkpoint Modulation and Treg Destabilization in Tumor Microenvironments</w:t>
      </w:r>
    </w:p>
    <w:p w14:paraId="4CDB6DD0" w14:textId="620506B4" w:rsidR="00AD4824" w:rsidRDefault="00AD4824" w:rsidP="00AD4824">
      <w:pPr>
        <w:ind w:firstLine="720"/>
      </w:pPr>
      <w:r>
        <w:t xml:space="preserve">Our data indicate that Ptpn2i is effective at destabilizing the Treg fraction on its own, while still priming CD4 and CD8 activation. However, we also observed that, when examining Pdcd1 expression along the Treg monocle trajectory, Pdcd1 expression was lowest under the Pdcd1 treatment regimen. This suggests another path forward: investigating whether alternative </w:t>
      </w:r>
      <w:r>
        <w:lastRenderedPageBreak/>
        <w:t>immune checkpoint receptor inhibitors used in conjunction with Ptpn2i may prove more effective. Besides PD1, Tregs often express other inhibitory immune checkpoint receptors that can affect their function, such as CTLA4, LAG3, and TIGIT (PMID:30705439).</w:t>
      </w:r>
    </w:p>
    <w:p w14:paraId="1910B5C8" w14:textId="77777777" w:rsidR="00AD4824" w:rsidRDefault="00AD4824" w:rsidP="00AD4824">
      <w:r>
        <w:t>TIGIT expression is known to strengthen Treg-mediated immunosuppression. In metastatic melanoma patients, high TIGIT expression within Tregs correlates with increased Treg frequencies in tumors and poor clinical outcomes on immune checkpoint blockade through PD1 and CTLA4 antibodies (PMID:30046006). Binding of HAVCR2 with Galectin-9 reduces effector T cell proliferation and cytokine signaling, while increasing the production of IL-10 and TGFβ within Treg populations (PMID:33895262). Effector T cells often experience immunosuppression via Treg-mediated LAG3 interaction, and similarly, anti-LAG3 antibodies are reported to be effective in limiting this interaction (PMID:30603054, PMID:25372844). Experimental models in which CTLA4 antibodies are applied to tumor-bearing mice have reported reduced Treg tumor infiltration and promoted expansion of effector T cells (PMID:23897981). However, clinical studies of CTLA4 antibodies (ipilimumab and tremelimumab) on tumor-infiltrating Tregs have produced contradictory results, with increased proportions of CD8 T cells to Tregs in one case (PMID:25918390), but no depletion of intratumoral Tregs in another (PMID:30514779).</w:t>
      </w:r>
    </w:p>
    <w:p w14:paraId="311A7EBE" w14:textId="77777777" w:rsidR="00AD4824" w:rsidRDefault="00AD4824" w:rsidP="00AD4824">
      <w:pPr>
        <w:ind w:firstLine="720"/>
      </w:pPr>
      <w:r>
        <w:t>In our scRNAseq data, stratified by treatment regimen, we found that aPD1 and the combination of Ptpn2i + aPD1 increased the expression of TIGIT, LAG3, and HAVCR2 in an aPD1-driven manner, while CTLA4 appeared to be upregulated only under Ptpn2i conditions. Examining the monocle analysis within our dataset, it appears that HAVCR2, LAG3, and TIGIT are preferentially expressed towards the speculated tTreg side of the monocle graph, with LAG3 being slightly higher under Ptpn2i conditions. CTLA4 expression coincides with the iTreg density peak, which disappears at pseudotime 6–9; the highest expression occurs under Ptpn2i conditions, suggesting that CTLA4 inhibition may be effective in limiting iTreg differentiation.</w:t>
      </w:r>
    </w:p>
    <w:p w14:paraId="61F28BEB" w14:textId="3EDF10CF" w:rsidR="00557BFE" w:rsidRDefault="00557BFE" w:rsidP="00557BFE">
      <w:pPr>
        <w:pStyle w:val="Heading1"/>
      </w:pPr>
      <w:r>
        <w:t>Conclusion</w:t>
      </w:r>
    </w:p>
    <w:p w14:paraId="35D985FE" w14:textId="78A90537" w:rsidR="00557BFE" w:rsidRPr="00557BFE" w:rsidRDefault="009D17EF" w:rsidP="009D17EF">
      <w:pPr>
        <w:ind w:firstLine="720"/>
      </w:pPr>
      <w:r>
        <w:t xml:space="preserve">In conclusion, our study demonstrates that pharmacological inhibition of Ptpn2, using ABBV-CLS-484 (AC484), effectively remodels the tumor immune microenvironment by destabilizing Treg identity and reducing their suppressive activity, primarily through modulation of the Il6/Stat3/Dnmt3a axis and downregulation of Foxp3. This destabilization was accompanied by enhanced activation and clonal expansion of </w:t>
      </w:r>
      <w:r w:rsidR="00666B15">
        <w:t>CD4</w:t>
      </w:r>
      <w:r>
        <w:t xml:space="preserve"> and </w:t>
      </w:r>
      <w:r w:rsidR="00666B15">
        <w:t>CD8</w:t>
      </w:r>
      <w:r>
        <w:t xml:space="preserve"> effector T cells, indicating a shift toward a more robust anti-tumor immune response. The use of single-cell transcriptomics, trajectory analysis, and validation with public datasets highlights both direct and lineage-specific impacts on T cell populations, supporting the mechanistic relevance and translational potential of Ptpn2 targeting in immunotherapy. Importantly, our data suggest that use of Ptpn2 inhibition may optimize depletion of immunosuppressive Tregs while maximizing effector T cell responses. Furthermore, the differential effects on immune checkpoint markers such as CTLA4, TIGIT, and LAG3 highlight alternative combinatorial strategies to further enhance anti-tumor immunity. Together, these findings establish the rationale for Ptpn2 inhibition </w:t>
      </w:r>
      <w:r w:rsidR="00A25E4E">
        <w:t>to</w:t>
      </w:r>
      <w:r>
        <w:t xml:space="preserve"> overcome regulatory T cell-mediated immune suppression and reinforce the need for carefully designed combination regimens to fully realize the therapeutic benefits in cancer immunotherapy.</w:t>
      </w:r>
    </w:p>
    <w:p w14:paraId="3AB9CC55" w14:textId="2AE9AF30" w:rsidR="008771D0" w:rsidRDefault="00305843" w:rsidP="00305843">
      <w:pPr>
        <w:pStyle w:val="Heading1"/>
      </w:pPr>
      <w:r>
        <w:lastRenderedPageBreak/>
        <w:t>Online Content</w:t>
      </w:r>
    </w:p>
    <w:p w14:paraId="1820944B" w14:textId="77777777" w:rsidR="00762B42" w:rsidRDefault="00E51A31" w:rsidP="00762B42">
      <w:pPr>
        <w:pStyle w:val="Heading2"/>
      </w:pPr>
      <w:r>
        <w:t>Supplementary Information</w:t>
      </w:r>
    </w:p>
    <w:p w14:paraId="0F41E73D" w14:textId="63BB00F5" w:rsidR="008B3502" w:rsidRDefault="00762B42" w:rsidP="00762B42">
      <w:r w:rsidRPr="00762B42">
        <w:rPr>
          <w:noProof/>
        </w:rPr>
        <w:drawing>
          <wp:inline distT="0" distB="0" distL="0" distR="0" wp14:anchorId="551DDFDD" wp14:editId="6059312D">
            <wp:extent cx="2393698" cy="837027"/>
            <wp:effectExtent l="0" t="0" r="0" b="1270"/>
            <wp:docPr id="4" name="Picture 3" descr="A table with numbers and letters&#10;&#10;AI-generated content may be incorrect.">
              <a:extLst xmlns:a="http://schemas.openxmlformats.org/drawingml/2006/main">
                <a:ext uri="{FF2B5EF4-FFF2-40B4-BE49-F238E27FC236}">
                  <a16:creationId xmlns:a16="http://schemas.microsoft.com/office/drawing/2014/main" id="{4BE83AE3-6421-B106-43EF-C08BE41FAC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table with numbers and letters&#10;&#10;AI-generated content may be incorrect.">
                      <a:extLst>
                        <a:ext uri="{FF2B5EF4-FFF2-40B4-BE49-F238E27FC236}">
                          <a16:creationId xmlns:a16="http://schemas.microsoft.com/office/drawing/2014/main" id="{4BE83AE3-6421-B106-43EF-C08BE41FAC8B}"/>
                        </a:ext>
                      </a:extLst>
                    </pic:cNvPr>
                    <pic:cNvPicPr>
                      <a:picLocks noChangeAspect="1"/>
                    </pic:cNvPicPr>
                  </pic:nvPicPr>
                  <pic:blipFill>
                    <a:blip r:embed="rId17"/>
                    <a:stretch>
                      <a:fillRect/>
                    </a:stretch>
                  </pic:blipFill>
                  <pic:spPr>
                    <a:xfrm>
                      <a:off x="0" y="0"/>
                      <a:ext cx="2421461" cy="846735"/>
                    </a:xfrm>
                    <a:prstGeom prst="rect">
                      <a:avLst/>
                    </a:prstGeom>
                  </pic:spPr>
                </pic:pic>
              </a:graphicData>
            </a:graphic>
          </wp:inline>
        </w:drawing>
      </w:r>
    </w:p>
    <w:p w14:paraId="6749A312" w14:textId="130A5A96" w:rsidR="00F37344" w:rsidRDefault="003B0575" w:rsidP="003E370D">
      <w:pPr>
        <w:pStyle w:val="Heading3"/>
      </w:pPr>
      <w:bookmarkStart w:id="9" w:name="SuppTableOne"/>
      <w:bookmarkEnd w:id="9"/>
      <w:r>
        <w:t>Supplementary Table One:</w:t>
      </w:r>
      <w:r w:rsidR="003E370D">
        <w:t xml:space="preserve"> Total number of cells per Day per Treatment Regimen</w:t>
      </w:r>
    </w:p>
    <w:p w14:paraId="3A662568" w14:textId="5DEA9012" w:rsidR="008D2089" w:rsidRDefault="008D2089" w:rsidP="008D2089">
      <w:r w:rsidRPr="008D2089">
        <w:rPr>
          <w:noProof/>
        </w:rPr>
        <w:drawing>
          <wp:inline distT="0" distB="0" distL="0" distR="0" wp14:anchorId="0AA5ECDE" wp14:editId="298FB639">
            <wp:extent cx="5943600" cy="1696720"/>
            <wp:effectExtent l="0" t="0" r="0" b="5080"/>
            <wp:docPr id="1829945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945943" name=""/>
                    <pic:cNvPicPr/>
                  </pic:nvPicPr>
                  <pic:blipFill>
                    <a:blip r:embed="rId18"/>
                    <a:stretch>
                      <a:fillRect/>
                    </a:stretch>
                  </pic:blipFill>
                  <pic:spPr>
                    <a:xfrm>
                      <a:off x="0" y="0"/>
                      <a:ext cx="5943600" cy="1696720"/>
                    </a:xfrm>
                    <a:prstGeom prst="rect">
                      <a:avLst/>
                    </a:prstGeom>
                  </pic:spPr>
                </pic:pic>
              </a:graphicData>
            </a:graphic>
          </wp:inline>
        </w:drawing>
      </w:r>
    </w:p>
    <w:p w14:paraId="34D4571D" w14:textId="77777777" w:rsidR="00812295" w:rsidRDefault="008D2089" w:rsidP="00AE2F26">
      <w:pPr>
        <w:pStyle w:val="Heading3"/>
      </w:pPr>
      <w:bookmarkStart w:id="10" w:name="_Supplementary_Table_Two:"/>
      <w:bookmarkEnd w:id="10"/>
      <w:r>
        <w:t>Supplementary Table Two:</w:t>
      </w:r>
      <w:r w:rsidR="00812295">
        <w:t xml:space="preserve"> </w:t>
      </w:r>
      <w:r w:rsidR="00812295" w:rsidRPr="00812295">
        <w:t>GSE123484 Meme suite Motif occurrences and enrichment within differential peak regions between Ptpn2</w:t>
      </w:r>
      <w:r w:rsidR="00812295" w:rsidRPr="000A078D">
        <w:rPr>
          <w:vertAlign w:val="superscript"/>
        </w:rPr>
        <w:t>+/+</w:t>
      </w:r>
      <w:r w:rsidR="00812295" w:rsidRPr="00812295">
        <w:t xml:space="preserve"> and Ptpn2</w:t>
      </w:r>
      <w:r w:rsidR="00812295" w:rsidRPr="000A078D">
        <w:rPr>
          <w:vertAlign w:val="superscript"/>
        </w:rPr>
        <w:t xml:space="preserve">+/- </w:t>
      </w:r>
      <w:r w:rsidR="00812295" w:rsidRPr="00812295">
        <w:t>Tregs at 0h stimulation.</w:t>
      </w:r>
    </w:p>
    <w:p w14:paraId="77768B9B" w14:textId="77777777" w:rsidR="00182B9C" w:rsidRDefault="00182B9C" w:rsidP="00182B9C"/>
    <w:p w14:paraId="60263A77" w14:textId="511EBADE" w:rsidR="008D2089" w:rsidRPr="008D2089" w:rsidRDefault="008D2089" w:rsidP="008D2089"/>
    <w:p w14:paraId="2D064FF2" w14:textId="45815C03" w:rsidR="00E962F3" w:rsidRDefault="000044B9" w:rsidP="00B31AF4">
      <w:r w:rsidRPr="000044B9">
        <w:rPr>
          <w:noProof/>
        </w:rPr>
        <w:lastRenderedPageBreak/>
        <w:drawing>
          <wp:inline distT="0" distB="0" distL="0" distR="0" wp14:anchorId="0EB3B569" wp14:editId="6F948B6E">
            <wp:extent cx="3886200" cy="6400800"/>
            <wp:effectExtent l="0" t="0" r="0" b="0"/>
            <wp:docPr id="1900408258" name="Picture 1" descr="A diagram of a cell divi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408258" name="Picture 1" descr="A diagram of a cell division&#10;&#10;AI-generated content may be incorrect."/>
                    <pic:cNvPicPr/>
                  </pic:nvPicPr>
                  <pic:blipFill>
                    <a:blip r:embed="rId19"/>
                    <a:stretch>
                      <a:fillRect/>
                    </a:stretch>
                  </pic:blipFill>
                  <pic:spPr>
                    <a:xfrm>
                      <a:off x="0" y="0"/>
                      <a:ext cx="3886200" cy="6400800"/>
                    </a:xfrm>
                    <a:prstGeom prst="rect">
                      <a:avLst/>
                    </a:prstGeom>
                  </pic:spPr>
                </pic:pic>
              </a:graphicData>
            </a:graphic>
          </wp:inline>
        </w:drawing>
      </w:r>
    </w:p>
    <w:p w14:paraId="70DB9082" w14:textId="63019B42" w:rsidR="004B3C75" w:rsidRPr="006D21C7" w:rsidRDefault="00207579" w:rsidP="004B3C75">
      <w:pPr>
        <w:pStyle w:val="Heading3"/>
      </w:pPr>
      <w:bookmarkStart w:id="11" w:name="SuppFigOne"/>
      <w:bookmarkStart w:id="12" w:name="_Supplementary_Figure_One:"/>
      <w:bookmarkEnd w:id="11"/>
      <w:bookmarkEnd w:id="12"/>
      <w:r>
        <w:t xml:space="preserve">Supplementary Figure </w:t>
      </w:r>
      <w:r w:rsidR="00457367">
        <w:t>One</w:t>
      </w:r>
      <w:r>
        <w:t xml:space="preserve">: </w:t>
      </w:r>
      <w:r w:rsidR="006D21C7" w:rsidRPr="006D21C7">
        <w:t>Differential Gene Expression upon AC484 treatment</w:t>
      </w:r>
      <w:r w:rsidR="004B3C75">
        <w:rPr>
          <w:rFonts w:eastAsia="Times New Roman"/>
        </w:rPr>
        <w:t>:</w:t>
      </w:r>
      <w:r w:rsidR="00E962F3" w:rsidRPr="00E962F3">
        <w:rPr>
          <w:rFonts w:eastAsia="Times New Roman"/>
        </w:rPr>
        <w:t xml:space="preserve"> </w:t>
      </w:r>
    </w:p>
    <w:p w14:paraId="215089B7" w14:textId="77777777" w:rsidR="00B32CB5" w:rsidRPr="00B32CB5" w:rsidRDefault="00B32CB5" w:rsidP="00B32CB5">
      <w:r w:rsidRPr="00B32CB5">
        <w:t>(A) Proportional changes across treatment regimens for i. Tregs, ii. Cd4 T cells, iii. Cd8 T cells.</w:t>
      </w:r>
    </w:p>
    <w:p w14:paraId="1BCC6E5D" w14:textId="64FAE8FA" w:rsidR="00BF6159" w:rsidRDefault="000619E6" w:rsidP="004B3C75">
      <w:r>
        <w:t>V</w:t>
      </w:r>
      <w:r w:rsidR="004B3C75" w:rsidRPr="004B3C75">
        <w:t>olcano plot</w:t>
      </w:r>
      <w:r>
        <w:t xml:space="preserve">s </w:t>
      </w:r>
      <w:r w:rsidR="004B3C75" w:rsidRPr="004B3C75">
        <w:t>of Activation markers within (</w:t>
      </w:r>
      <w:r w:rsidR="00B32CB5">
        <w:t>B</w:t>
      </w:r>
      <w:r w:rsidR="004B3C75" w:rsidRPr="004B3C75">
        <w:t>) Tregs (</w:t>
      </w:r>
      <w:r w:rsidR="00B32CB5">
        <w:t>C</w:t>
      </w:r>
      <w:r w:rsidR="004B3C75" w:rsidRPr="004B3C75">
        <w:t xml:space="preserve">) </w:t>
      </w:r>
      <w:r w:rsidR="00666B15">
        <w:t>Cd4</w:t>
      </w:r>
      <w:r w:rsidR="004B3C75" w:rsidRPr="004B3C75">
        <w:t xml:space="preserve"> T cells, and (</w:t>
      </w:r>
      <w:r w:rsidR="00B32CB5">
        <w:t>D</w:t>
      </w:r>
      <w:r w:rsidR="004B3C75" w:rsidRPr="004B3C75">
        <w:t xml:space="preserve">) </w:t>
      </w:r>
      <w:r w:rsidR="00666B15">
        <w:t>Cd8</w:t>
      </w:r>
      <w:r w:rsidR="004B3C75" w:rsidRPr="004B3C75">
        <w:t xml:space="preserve"> T cells.</w:t>
      </w:r>
    </w:p>
    <w:p w14:paraId="079ECDF0" w14:textId="77777777" w:rsidR="009F3210" w:rsidRDefault="009F3210" w:rsidP="004B3C75"/>
    <w:p w14:paraId="3E802784" w14:textId="01D6935F" w:rsidR="00BF6159" w:rsidRDefault="00A05474" w:rsidP="004B3C75">
      <w:r w:rsidRPr="00A05474">
        <w:rPr>
          <w:noProof/>
        </w:rPr>
        <w:lastRenderedPageBreak/>
        <w:drawing>
          <wp:inline distT="0" distB="0" distL="0" distR="0" wp14:anchorId="1FE04FA6" wp14:editId="56F3263D">
            <wp:extent cx="3886200" cy="3125972"/>
            <wp:effectExtent l="0" t="0" r="0" b="0"/>
            <wp:docPr id="12099491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949133" name="Picture 1" descr="A screenshot of a computer&#10;&#10;AI-generated content may be incorrect."/>
                    <pic:cNvPicPr/>
                  </pic:nvPicPr>
                  <pic:blipFill rotWithShape="1">
                    <a:blip r:embed="rId20"/>
                    <a:srcRect b="51163"/>
                    <a:stretch>
                      <a:fillRect/>
                    </a:stretch>
                  </pic:blipFill>
                  <pic:spPr bwMode="auto">
                    <a:xfrm>
                      <a:off x="0" y="0"/>
                      <a:ext cx="3886200" cy="3125972"/>
                    </a:xfrm>
                    <a:prstGeom prst="rect">
                      <a:avLst/>
                    </a:prstGeom>
                    <a:ln>
                      <a:noFill/>
                    </a:ln>
                    <a:extLst>
                      <a:ext uri="{53640926-AAD7-44D8-BBD7-CCE9431645EC}">
                        <a14:shadowObscured xmlns:a14="http://schemas.microsoft.com/office/drawing/2010/main"/>
                      </a:ext>
                    </a:extLst>
                  </pic:spPr>
                </pic:pic>
              </a:graphicData>
            </a:graphic>
          </wp:inline>
        </w:drawing>
      </w:r>
    </w:p>
    <w:p w14:paraId="0C93922E" w14:textId="0486DF8F" w:rsidR="00E44E10" w:rsidRDefault="00BF6159" w:rsidP="00E44E10">
      <w:pPr>
        <w:pStyle w:val="Heading3"/>
      </w:pPr>
      <w:bookmarkStart w:id="13" w:name="_Supplementary_Figure_Two:"/>
      <w:bookmarkEnd w:id="13"/>
      <w:r>
        <w:t>Supplementary Figure Two:</w:t>
      </w:r>
      <w:r w:rsidRPr="005A2E9B">
        <w:t xml:space="preserve"> </w:t>
      </w:r>
      <w:r w:rsidR="008A4AB1">
        <w:t xml:space="preserve">Altered </w:t>
      </w:r>
      <w:r w:rsidRPr="005A2E9B">
        <w:t>Treg TCR</w:t>
      </w:r>
      <w:r w:rsidR="00C87A1D">
        <w:t xml:space="preserve"> component gene expression,</w:t>
      </w:r>
      <w:r w:rsidRPr="005A2E9B">
        <w:t xml:space="preserve"> clonality</w:t>
      </w:r>
      <w:r w:rsidR="00C87A1D">
        <w:t>, and activation states</w:t>
      </w:r>
      <w:r>
        <w:t>:</w:t>
      </w:r>
      <w:r w:rsidR="00E44E10">
        <w:t xml:space="preserve"> </w:t>
      </w:r>
    </w:p>
    <w:p w14:paraId="5BDEBE80" w14:textId="1F139ADC" w:rsidR="00BF6159" w:rsidRPr="005A2E9B" w:rsidRDefault="00BF6159" w:rsidP="00E44E10">
      <w:r w:rsidRPr="00E44E10">
        <w:t>(</w:t>
      </w:r>
      <w:r w:rsidR="00B456A3">
        <w:t>A</w:t>
      </w:r>
      <w:r w:rsidRPr="00E44E10">
        <w:t>) Heatmap of differentially expressed TCR protein components. (</w:t>
      </w:r>
      <w:r w:rsidR="00B456A3">
        <w:t>B</w:t>
      </w:r>
      <w:r w:rsidRPr="00E44E10">
        <w:t>) Stacked bar plot of TCR clonality for Tregs. (</w:t>
      </w:r>
      <w:r w:rsidR="00B456A3">
        <w:t>C</w:t>
      </w:r>
      <w:r w:rsidRPr="00E44E10">
        <w:t>) Treg Activation scores split by TCR clonality.</w:t>
      </w:r>
    </w:p>
    <w:p w14:paraId="38CEB80D" w14:textId="77777777" w:rsidR="00BF6159" w:rsidRPr="009551C2" w:rsidRDefault="00BF6159" w:rsidP="004B3C75"/>
    <w:p w14:paraId="086B9172" w14:textId="3D226E50" w:rsidR="00E51A31" w:rsidRPr="00305843" w:rsidRDefault="00E51A31" w:rsidP="00B35074">
      <w:pPr>
        <w:pStyle w:val="Heading2"/>
      </w:pPr>
      <w:r>
        <w:lastRenderedPageBreak/>
        <w:t>Source Data</w:t>
      </w:r>
    </w:p>
    <w:p w14:paraId="4604C395" w14:textId="27F69B8A" w:rsidR="00C95C42" w:rsidRDefault="00C95C42" w:rsidP="00305843">
      <w:pPr>
        <w:pStyle w:val="Heading1"/>
      </w:pPr>
      <w:r>
        <w:t>Acknowledgements</w:t>
      </w:r>
    </w:p>
    <w:p w14:paraId="76EE86FB" w14:textId="7474F5C0" w:rsidR="00C95C42" w:rsidRDefault="00C95C42" w:rsidP="00305843">
      <w:pPr>
        <w:pStyle w:val="Heading1"/>
      </w:pPr>
      <w:r>
        <w:t>Author Contributions</w:t>
      </w:r>
    </w:p>
    <w:p w14:paraId="2C6ADF73" w14:textId="2A5AC2C3" w:rsidR="00C95C42" w:rsidRDefault="00C95C42" w:rsidP="00305843">
      <w:pPr>
        <w:pStyle w:val="Heading1"/>
      </w:pPr>
      <w:r>
        <w:t>Peer Review</w:t>
      </w:r>
    </w:p>
    <w:p w14:paraId="2181C1BD" w14:textId="462194B1" w:rsidR="00C95C42" w:rsidRDefault="00C95C42" w:rsidP="00305843">
      <w:pPr>
        <w:pStyle w:val="Heading1"/>
      </w:pPr>
      <w:r>
        <w:t xml:space="preserve">Data Availability </w:t>
      </w:r>
    </w:p>
    <w:p w14:paraId="6038F26C" w14:textId="493F6E92" w:rsidR="00C95C42" w:rsidRDefault="00C95C42" w:rsidP="00305843">
      <w:pPr>
        <w:pStyle w:val="Heading1"/>
      </w:pPr>
      <w:r>
        <w:t>Competing Interests</w:t>
      </w:r>
    </w:p>
    <w:p w14:paraId="7E8E30F1" w14:textId="688189E5" w:rsidR="00A556B5" w:rsidRDefault="00A556B5" w:rsidP="00305843">
      <w:pPr>
        <w:pStyle w:val="Heading1"/>
      </w:pPr>
      <w:r>
        <w:t>Footnotes</w:t>
      </w:r>
    </w:p>
    <w:p w14:paraId="40662F5F" w14:textId="7E5E3117" w:rsidR="00A556B5" w:rsidRDefault="00A556B5" w:rsidP="00305843">
      <w:pPr>
        <w:pStyle w:val="Heading1"/>
      </w:pPr>
      <w:r>
        <w:t>Contributor Information</w:t>
      </w:r>
    </w:p>
    <w:p w14:paraId="76795188" w14:textId="57039B35" w:rsidR="00A556B5" w:rsidRDefault="00A556B5" w:rsidP="00305843">
      <w:pPr>
        <w:pStyle w:val="Heading1"/>
      </w:pPr>
      <w:r>
        <w:t>Extended data</w:t>
      </w:r>
    </w:p>
    <w:p w14:paraId="4DB0C1E9" w14:textId="05CBCCB8" w:rsidR="00D95E8E" w:rsidRPr="00D95E8E" w:rsidRDefault="00A556B5" w:rsidP="00305843">
      <w:pPr>
        <w:pStyle w:val="Heading1"/>
      </w:pPr>
      <w:r>
        <w:t>Supplementary Information</w:t>
      </w:r>
    </w:p>
    <w:p w14:paraId="519FF84E" w14:textId="3AF615DE" w:rsidR="001A08A2" w:rsidRDefault="001A08A2" w:rsidP="00D95E8E">
      <w:pPr>
        <w:pStyle w:val="Heading1"/>
      </w:pPr>
      <w:r>
        <w:t>References</w:t>
      </w:r>
    </w:p>
    <w:p w14:paraId="0EB87391" w14:textId="77777777" w:rsidR="00BE4C4D" w:rsidRDefault="00BE4C4D" w:rsidP="00BE4C4D">
      <w:pPr>
        <w:pStyle w:val="ListParagraph"/>
        <w:numPr>
          <w:ilvl w:val="0"/>
          <w:numId w:val="6"/>
        </w:numPr>
      </w:pPr>
      <w:r>
        <w:t>Bettelli E, Carrier Y, Gao W, Korn T, Strom TB, Oukka M, Weiner HL, Kuchroo VK. Reciprocal developmental pathways for the generation of pathogenic effector TH17 and regulatory T cells. Nature. 2006 May 11;441(7090):235-8. doi: 10.1038/nature04753. Epub 2006 Apr 30. PMID: 16648838.</w:t>
      </w:r>
    </w:p>
    <w:p w14:paraId="5536347A" w14:textId="77777777" w:rsidR="00BE4C4D" w:rsidRDefault="00BE4C4D" w:rsidP="00BE4C4D">
      <w:pPr>
        <w:pStyle w:val="ListParagraph"/>
        <w:numPr>
          <w:ilvl w:val="0"/>
          <w:numId w:val="6"/>
        </w:numPr>
      </w:pPr>
      <w:r>
        <w:t>Shevyrev D, Tereshchenko V. Treg Heterogeneity, Function, and Homeostasis. Front Immunol. 2020 Jan 14;10:3100. doi: 10.3389/fimmu.2019.03100. PMID: 31993063; PMCID: PMC6971100.</w:t>
      </w:r>
    </w:p>
    <w:p w14:paraId="1B880C02" w14:textId="77777777" w:rsidR="00BE4C4D" w:rsidRDefault="00BE4C4D" w:rsidP="00BE4C4D">
      <w:pPr>
        <w:pStyle w:val="ListParagraph"/>
        <w:numPr>
          <w:ilvl w:val="0"/>
          <w:numId w:val="6"/>
        </w:numPr>
      </w:pPr>
      <w:r>
        <w:t>Dranoff G. The therapeutic implications of intratumoral regulatory T cells. Clin Cancer Res. 2005 Dec 1;11(23):8226-9. doi: 10.1158/1078-0432.CCR-05-2035. PMID: 16322278.</w:t>
      </w:r>
    </w:p>
    <w:p w14:paraId="4D415A7A" w14:textId="77777777" w:rsidR="00BE4C4D" w:rsidRDefault="00BE4C4D" w:rsidP="00BE4C4D">
      <w:pPr>
        <w:pStyle w:val="ListParagraph"/>
        <w:numPr>
          <w:ilvl w:val="0"/>
          <w:numId w:val="6"/>
        </w:numPr>
      </w:pPr>
      <w:r>
        <w:t>Li C, Jiang P, Wei S, Xu X, Wang J. Regulatory T cells in tumor microenvironment: new mechanisms, potential therapeutic strategies and future prospects. Mol Cancer. 2020 Jul 17;19(1):116. doi: 10.1186/s12943-020-01234-1. PMID: 32680511; PMCID: PMC7367382.</w:t>
      </w:r>
    </w:p>
    <w:p w14:paraId="5F38EB89" w14:textId="77777777" w:rsidR="00BE4C4D" w:rsidRDefault="00BE4C4D" w:rsidP="00BE4C4D"/>
    <w:p w14:paraId="25B0D238" w14:textId="77777777" w:rsidR="00BE4C4D" w:rsidRDefault="00BE4C4D" w:rsidP="00BE4C4D">
      <w:pPr>
        <w:pStyle w:val="ListParagraph"/>
        <w:numPr>
          <w:ilvl w:val="0"/>
          <w:numId w:val="6"/>
        </w:numPr>
      </w:pPr>
      <w:r>
        <w:t>Huehn J, Polansky JK, Hamann A. Epigenetic control of FOXP3 expression: the key to a stable regulatory T-cell lineage? Nat Rev Immunol. 2009 Feb;9(2):83-9. doi: 10.1038/nri2474. PMID: 19114986.</w:t>
      </w:r>
    </w:p>
    <w:p w14:paraId="0B7D73F5" w14:textId="77777777" w:rsidR="00BE4C4D" w:rsidRDefault="00BE4C4D" w:rsidP="00BE4C4D">
      <w:pPr>
        <w:pStyle w:val="ListParagraph"/>
        <w:numPr>
          <w:ilvl w:val="0"/>
          <w:numId w:val="6"/>
        </w:numPr>
      </w:pPr>
      <w:r>
        <w:t>Garg G, Muschaweckh A, Moreno H, Vasanthakumar A, Floess S, Lepennetier G, Oellinger R, Zhan Y, Regen T, Hiltensperger M, Peter C, Aly L, Knier B, Palam LR, Kapur R, Kaplan MH, Waisman A, Rad R, Schotta G, Huehn J, Kallies A, Korn T. Blimp1 Prevents Methylation of Foxp3 and Loss of Regulatory T Cell Identity at Sites of Inflammation. Cell Rep. 2019 Feb 12;26(7):1854-1868.e5. doi: 10.1016/j.celrep.2019.01.070. PMID: 30759395; PMCID: PMC6389594.</w:t>
      </w:r>
    </w:p>
    <w:p w14:paraId="66D627A9" w14:textId="77777777" w:rsidR="00BE4C4D" w:rsidRDefault="00BE4C4D" w:rsidP="00BE4C4D">
      <w:pPr>
        <w:pStyle w:val="ListParagraph"/>
        <w:numPr>
          <w:ilvl w:val="0"/>
          <w:numId w:val="6"/>
        </w:numPr>
      </w:pPr>
      <w:r>
        <w:t>Svensson MN, Doody KM, Schmiedel BJ, Bhattacharyya S, Panwar B, Wiede F, Yang S, Santelli E, Wu DJ, Sacchetti C, Gujar R, Seumois G, Kiosses WB, Aubry I, Kim G, Mydel P, Sakaguchi S, Kronenberg M, Tiganis T, Tremblay ML, Ay F, Vijayanand P, Bottini N. Reduced expression of phosphatase PTPN2 promotes pathogenic conversion of Tregs in autoimmunity. J Clin Invest. 2019 Mar 1;129(3):1193-1210. doi: 10.1172/JCI123267. Epub 2019 Feb 11. PMID: 30620725; PMCID: PMC6391091.</w:t>
      </w:r>
    </w:p>
    <w:p w14:paraId="40BC7E4C" w14:textId="77777777" w:rsidR="00BE4C4D" w:rsidRDefault="00BE4C4D" w:rsidP="00BE4C4D">
      <w:pPr>
        <w:pStyle w:val="ListParagraph"/>
        <w:numPr>
          <w:ilvl w:val="0"/>
          <w:numId w:val="6"/>
        </w:numPr>
      </w:pPr>
      <w:r>
        <w:t>Kastner L, Dwyer D, Qin FX. Synergistic effect of IL-6 and IL-4 in driving fate revision of natural Foxp3+ regulatory T cells. J Immunol. 2010 Nov 15;185(10):5778-86. doi: 10.4049/jimmunol.0901948. Epub 2010 Oct 6. PMID: 20926793.</w:t>
      </w:r>
    </w:p>
    <w:p w14:paraId="1A4605C6" w14:textId="77777777" w:rsidR="00BE4C4D" w:rsidRDefault="00BE4C4D" w:rsidP="00BE4C4D">
      <w:pPr>
        <w:pStyle w:val="ListParagraph"/>
        <w:numPr>
          <w:ilvl w:val="0"/>
          <w:numId w:val="6"/>
        </w:numPr>
      </w:pPr>
      <w:r>
        <w:t>Hsieh CS, Zheng Y, Liang Y, Fontenot JD, Rudensky AY. An intersection between the self-reactive regulatory and nonregulatory T cell receptor repertoires. Nat Immunol. 2006 Apr;7(4):401-10. doi: 10.1038/ni1318. Epub 2006 Mar 12. PMID: 16532000.</w:t>
      </w:r>
    </w:p>
    <w:p w14:paraId="0B584072" w14:textId="77777777" w:rsidR="00BE4C4D" w:rsidRDefault="00BE4C4D" w:rsidP="00BE4C4D">
      <w:pPr>
        <w:pStyle w:val="ListParagraph"/>
        <w:numPr>
          <w:ilvl w:val="0"/>
          <w:numId w:val="6"/>
        </w:numPr>
      </w:pPr>
      <w:r>
        <w:t>Hsieh CS, Liang Y, Tyznik AJ, Self SG, Liggitt D, Rudensky AY. Recognition of the peripheral self by naturally arising CD25+ CD4+ T cell receptors. Immunity. 2004 Aug;21(2):267-77. doi: 10.1016/j.immuni.2004.07.009. PMID: 15308106.</w:t>
      </w:r>
    </w:p>
    <w:p w14:paraId="53ACFBC7" w14:textId="77777777" w:rsidR="00BE4C4D" w:rsidRDefault="00BE4C4D" w:rsidP="00BE4C4D">
      <w:pPr>
        <w:pStyle w:val="ListParagraph"/>
        <w:numPr>
          <w:ilvl w:val="0"/>
          <w:numId w:val="6"/>
        </w:numPr>
      </w:pPr>
      <w:r>
        <w:t>Pacholczyk R, Ignatowicz H, Kraj P, Ignatowicz L. Origin and T cell receptor diversity of Foxp3+CD4+CD25+ T cells. Immunity. 2006 Aug;25(2):249-59. doi: 10.1016/j.immuni.2006.05.016. Epub 2006 Aug 3. PMID: 16879995.</w:t>
      </w:r>
    </w:p>
    <w:p w14:paraId="2E43DB22" w14:textId="77777777" w:rsidR="00BE4C4D" w:rsidRDefault="00BE4C4D" w:rsidP="00BE4C4D">
      <w:pPr>
        <w:pStyle w:val="ListParagraph"/>
        <w:numPr>
          <w:ilvl w:val="0"/>
          <w:numId w:val="6"/>
        </w:numPr>
      </w:pPr>
      <w:r>
        <w:t>Oberg HH, Wesch D, Grüssel S, Rose-John S, Kabelitz D. Differential expression of CD126 and CD130 mediates different STAT-3 phosphorylation in CD4+CD25- and CD25high regulatory T cells. Int Immunol. 2006 Apr;18(4):555-63. doi: 10.1093/intimm/dxh396. Epub 2006 Mar 15. PMID: 16540526.</w:t>
      </w:r>
    </w:p>
    <w:p w14:paraId="7C3A7905" w14:textId="77777777" w:rsidR="00BE4C4D" w:rsidRDefault="00BE4C4D" w:rsidP="00BE4C4D">
      <w:pPr>
        <w:pStyle w:val="ListParagraph"/>
        <w:numPr>
          <w:ilvl w:val="0"/>
          <w:numId w:val="6"/>
        </w:numPr>
      </w:pPr>
      <w:r>
        <w:t>Jones GW, McLoughlin RM, Hammond VJ, Parker CR, Williams JD, Malhotra R, Scheller J, Williams AS, Rose-John S, Topley N, Jones SA. Loss of CD4+ T cell IL-6R expression during inflammation underlines a role for IL-6 trans signaling in the local maintenance of Th17 cells. J Immunol. 2010 Feb 15;184(4):2130-9. doi: 10.4049/jimmunol.0901528. Epub 2010 Jan 18. PMID: 20083667.</w:t>
      </w:r>
    </w:p>
    <w:p w14:paraId="6A41B491" w14:textId="77777777" w:rsidR="00BE4C4D" w:rsidRDefault="00BE4C4D" w:rsidP="00BE4C4D">
      <w:pPr>
        <w:pStyle w:val="ListParagraph"/>
        <w:numPr>
          <w:ilvl w:val="0"/>
          <w:numId w:val="6"/>
        </w:numPr>
      </w:pPr>
      <w:r>
        <w:t>Korn T, Hiltensperger M. Role of IL-6 in the commitment of T cell subsets. Cytokine. 2021 Oct;146:155654. doi: 10.1016/j.cyto.2021.155654. Epub 2021 Jul 26. PMID: 34325116; PMCID: PMC8375581.</w:t>
      </w:r>
    </w:p>
    <w:p w14:paraId="75B91356" w14:textId="77777777" w:rsidR="00BE4C4D" w:rsidRDefault="00BE4C4D" w:rsidP="00BE4C4D">
      <w:pPr>
        <w:pStyle w:val="ListParagraph"/>
        <w:numPr>
          <w:ilvl w:val="0"/>
          <w:numId w:val="6"/>
        </w:numPr>
      </w:pPr>
      <w:r>
        <w:t>Kasahara Y, Miyawaki T, Kato K, Kanegane H, Yachie A, Yokoi T, Taniguchi N. Role of interleukin 6 for differential responsiveness of naive and memory CD4+ T cells in CD2-mediated activation. J Exp Med. 1990 Nov 1;172(5):1419-24. doi: 10.1084/jem.172.5.1419. PMID: 1977837; PMCID: PMC2188655.</w:t>
      </w:r>
    </w:p>
    <w:p w14:paraId="5827C353" w14:textId="77777777" w:rsidR="00BE4C4D" w:rsidRDefault="00BE4C4D" w:rsidP="00BE4C4D">
      <w:pPr>
        <w:pStyle w:val="ListParagraph"/>
        <w:numPr>
          <w:ilvl w:val="0"/>
          <w:numId w:val="6"/>
        </w:numPr>
      </w:pPr>
      <w:r>
        <w:lastRenderedPageBreak/>
        <w:t>Hunter CA, Jones SA. IL-6 as a keystone cytokine in health and disease. Nat Immunol. 2015 May;16(5):448-57. doi: 10.1038/ni.3153. Erratum in: Nat Immunol. 2017 Oct 18;18(11):1271. doi: 10.1038/ni1117-1271b. PMID: 25898198.</w:t>
      </w:r>
    </w:p>
    <w:p w14:paraId="087D3560" w14:textId="77777777" w:rsidR="00BE4C4D" w:rsidRDefault="00BE4C4D" w:rsidP="00BE4C4D">
      <w:pPr>
        <w:pStyle w:val="ListParagraph"/>
        <w:numPr>
          <w:ilvl w:val="0"/>
          <w:numId w:val="6"/>
        </w:numPr>
      </w:pPr>
      <w:r>
        <w:t>Teague TK, Schaefer BC, Hildeman D, Bender J, Mitchell T, Kappler JW, Marrack P. Activation-induced inhibition of interleukin 6-mediated T cell survival and signal transducer and activator of transcription 1 signaling. J Exp Med. 2000 Mar 20;191(6):915-26. doi: 10.1084/jem.191.6.915. PMID: 10727454; PMCID: PMC2193120.</w:t>
      </w:r>
    </w:p>
    <w:p w14:paraId="46755EC5" w14:textId="77777777" w:rsidR="00BE4C4D" w:rsidRDefault="00BE4C4D" w:rsidP="00BE4C4D">
      <w:pPr>
        <w:pStyle w:val="ListParagraph"/>
        <w:numPr>
          <w:ilvl w:val="0"/>
          <w:numId w:val="6"/>
        </w:numPr>
      </w:pPr>
      <w:r>
        <w:t>Villarino AV, Kanno Y, O'Shea JJ. Mechanisms and consequences of Jak-STAT signaling in the immune system. Nat Immunol. 2017 Mar 22;18(4):374-384. doi: 10.1038/ni.3691. PMID: 28323260; PMCID: PMC11565648.</w:t>
      </w:r>
    </w:p>
    <w:p w14:paraId="1FC17C91" w14:textId="77777777" w:rsidR="00BE4C4D" w:rsidRDefault="00BE4C4D" w:rsidP="00BE4C4D">
      <w:pPr>
        <w:pStyle w:val="ListParagraph"/>
        <w:numPr>
          <w:ilvl w:val="0"/>
          <w:numId w:val="6"/>
        </w:numPr>
      </w:pPr>
      <w:r>
        <w:t>Twohig JP, Cardus Figueras A, Andrews R, Wiede F, Cossins BC, Derrac Soria A, Lewis MJ, Townsend MJ, Millrine D, Li J, Hill DG, Uceda Fernandez J, Liu X, Szomolay B, Pepper CJ, Taylor PR, Pitzalis C, Tiganis T, Williams NM, Jones GW, Jones SA. Activation of naïve CD4+ T cells re-tunes STAT1 signaling to deliver unique cytokine responses in memory CD4+ T cells. Nat Immunol. 2019 Apr;20(4):458-470. doi: 10.1038/s41590-019-0350-0. Epub 2019 Mar 19. PMID: 30890796; PMCID: PMC7610646.</w:t>
      </w:r>
    </w:p>
    <w:p w14:paraId="5CD487B6" w14:textId="77777777" w:rsidR="00BE4C4D" w:rsidRDefault="00BE4C4D" w:rsidP="00BE4C4D">
      <w:pPr>
        <w:pStyle w:val="ListParagraph"/>
        <w:numPr>
          <w:ilvl w:val="0"/>
          <w:numId w:val="6"/>
        </w:numPr>
      </w:pPr>
      <w:r>
        <w:t>Baumgartner CK, Ebrahimi-Nik H, Iracheta-Vellve A, Hamel KM, Olander KE, Davis TGR, McGuire KA, Halvorsen GT, Avila OI, Patel CH, Kim SY, Kammula AV, Muscato AJ, Halliwill K, Geda P, Klinge KL, Xiong Z, Duggan R, Mu L, Yeary MD, Patti JC, Balon TM, Mathew R, Backus C, Kennedy DE, Chen A, Longenecker K, Klahn JT, Hrusch CL, Krishnan N, Hutchins CW, Dunning JP, Bulic M, Tiwari P, Colvin KJ, Chuong CL, Kohnle IC, Rees MG, Boghossian A, Ronan M, Roth JA, Wu MJ, Suermondt JSMT, Knudsen NH, Cheruiyot CK, Sen DR, Griffin GK, Golub TR, El-Bardeesy N, Decker JH, Yang Y, Guffroy M, Fossey S, Trusk P, Sun IM, Liu Y, Qiu W, Sun Q, Paddock MN, Farney EP, Matulenko MA, Beauregard C, Frost JM, Yates KB, Kym PR, Manguso RT. The PTPN2/PTPN1 inhibitor ABBV-CLS-484 unleashes potent anti-tumour immunity. Nature. 2023 Oct;622(7984):850-862. doi: 10.1038/s41586-023-06575-7. Epub 2023 Oct 4. PMID: 37794185; PMCID: PMC10599993.</w:t>
      </w:r>
    </w:p>
    <w:p w14:paraId="6067446E" w14:textId="77777777" w:rsidR="00BE4C4D" w:rsidRDefault="00BE4C4D" w:rsidP="00BE4C4D">
      <w:pPr>
        <w:pStyle w:val="ListParagraph"/>
        <w:numPr>
          <w:ilvl w:val="0"/>
          <w:numId w:val="6"/>
        </w:numPr>
      </w:pPr>
      <w:r>
        <w:t>Wiede F, Lu KH, Du X, Liang S, Hochheiser K, Dodd GT, Goh PK, Kearney C, Meyran D, Beavis PA, Henderson MA, Park SL, Waithman J, Zhang S, Zhang ZY, Oliaro J, Gebhardt T, Darcy PK, Tiganis T. PTPN2 phosphatase deletion in T cells promotes anti-tumour immunity and CAR T-cell efficacy in solid tumours. EMBO J. 2020 Jan 15;39(2):e103637. doi: 10.15252/embj.2019103637. Epub 2019 Dec 5. PMID: 31803974; PMCID: PMC6960448.</w:t>
      </w:r>
    </w:p>
    <w:p w14:paraId="74B91EB4" w14:textId="77777777" w:rsidR="00BE4C4D" w:rsidRDefault="00BE4C4D" w:rsidP="00BE4C4D">
      <w:pPr>
        <w:pStyle w:val="ListParagraph"/>
        <w:numPr>
          <w:ilvl w:val="0"/>
          <w:numId w:val="6"/>
        </w:numPr>
      </w:pPr>
      <w:r>
        <w:t>Liang S, Tran E, Du X, Dong J, Sudholz H, Chen H, Qu Z, Huntington ND, Babon JJ, Kershaw NJ, Zhang ZY, Baell JB, Wiede F, Tiganis T. A small molecule inhibitor of PTP1B and PTPN2 enhances T cell anti-tumor immunity. Nat Commun. 2023 Jul 27;14(1):4524. doi: 10.1038/s41467-023-40170-8. PMID: 37500611; PMCID: PMC10374545.</w:t>
      </w:r>
    </w:p>
    <w:p w14:paraId="7CDBCB0F" w14:textId="77777777" w:rsidR="00BE4C4D" w:rsidRDefault="00BE4C4D" w:rsidP="00BE4C4D">
      <w:pPr>
        <w:pStyle w:val="ListParagraph"/>
        <w:numPr>
          <w:ilvl w:val="0"/>
          <w:numId w:val="6"/>
        </w:numPr>
      </w:pPr>
      <w:r>
        <w:t>Parlato M, Nian Q, Charbit-Henrion F, Ruemmele FM, Rodrigues-Lima F, Cerf-Bensussan N; Immunobiota Study Group. Loss-of-Function Mutation in PTPN2 Causes Aberrant Activation of JAK Signaling Via STAT and Very Early Onset Intestinal Inflammation. Gastroenterology. 2020 Nov;159(5):1968-1971.e4. doi: 10.1053/j.gastro.2020.07.040. Epub 2020 Jul 25. PMID: 32721438.</w:t>
      </w:r>
    </w:p>
    <w:p w14:paraId="1709FF67" w14:textId="77777777" w:rsidR="00BE4C4D" w:rsidRDefault="00BE4C4D" w:rsidP="00BE4C4D">
      <w:pPr>
        <w:pStyle w:val="ListParagraph"/>
        <w:numPr>
          <w:ilvl w:val="0"/>
          <w:numId w:val="6"/>
        </w:numPr>
      </w:pPr>
      <w:r>
        <w:lastRenderedPageBreak/>
        <w:t>Thaventhiran JED, Lango Allen H, Burren OS, Rae W, Greene D, Staples E, Zhang Z, Farmery JHR, Simeoni I, Rivers E, Maimaris J, Penkett CJ, Stephens J, Deevi SVV, Sanchis-Juan A, Gleadall NS, Thomas MJ, Sargur RB, Gordins P, Baxendale HE, Brown M, Tuijnenburg P, Worth A, Hanson S, Linger RJ, Buckland MS, Rayner-Matthews PJ, Gilmour KC, Samarghitean C, Seneviratne SL, Sansom DM, Lynch AG, Megy K, Ellinghaus E, Ellinghaus D, Jorgensen SF, Karlsen TH, Stirrups KE, Cutler AJ, Kumararatne DS, Chandra A, Edgar JDM, Herwadkar A, Cooper N, Grigoriadou S, Huissoon AP, Goddard S, Jolles S, Schuetz C, Boschann F; Primary Immunodeficiency Consortium for the NIHR Bioresource; Lyons PA, Hurles ME, Savic S, Burns SO, Kuijpers TW, Turro E, Ouwehand WH, Thrasher AJ, Smith KGC. Whole-genome sequencing of a sporadic primary immunodeficiency cohort. Nature. 2020 Jul;583(7814):90-95. doi: 10.1038/s41586-020-2265-1. Epub 2020 May 6. Erratum in: Nature. 2020 Aug;584(7819):E2. doi: 10.1038/s41586-020-2556-6. PMID: 32499645; PMCID: PMC7334047.</w:t>
      </w:r>
    </w:p>
    <w:p w14:paraId="7597DD1E" w14:textId="77777777" w:rsidR="00BE4C4D" w:rsidRDefault="00BE4C4D" w:rsidP="00BE4C4D">
      <w:pPr>
        <w:pStyle w:val="ListParagraph"/>
        <w:numPr>
          <w:ilvl w:val="0"/>
          <w:numId w:val="6"/>
        </w:numPr>
      </w:pPr>
      <w:r>
        <w:t>You-Ten KE, Muise ES, Itié A, Michaliszyn E, Wagner J, Jothy S, Lapp WS, Tremblay ML. Impaired bone marrow microenvironment and immune function in T cell protein tyrosine phosphatase-deficient mice. J Exp Med. 1997 Aug 29;186(5):683-93. doi: 10.1084/jem.186.5.683. PMID: 9271584; PMCID: PMC2199020.</w:t>
      </w:r>
    </w:p>
    <w:p w14:paraId="5E0ACBC5" w14:textId="77777777" w:rsidR="00BE4C4D" w:rsidRDefault="00BE4C4D" w:rsidP="00BE4C4D">
      <w:pPr>
        <w:pStyle w:val="ListParagraph"/>
        <w:numPr>
          <w:ilvl w:val="0"/>
          <w:numId w:val="6"/>
        </w:numPr>
      </w:pPr>
      <w:r>
        <w:t>Wiede F, Shields BJ, Chew SH, Kyparissoudis K, van Vliet C, Galic S, Tremblay ML, Russell SM, Godfrey DI, Tiganis T. T cell protein tyrosine phosphatase attenuates T cell signaling to maintain tolerance in mice. J Clin Invest. 2011 Dec;121(12):4758-74. doi: 10.1172/JCI59492. Epub 2011 Nov 14. Erratum in: J Clin Invest. 2023 Oct 16;133(20):e175163. doi: 10.1172/JCI175163. PMID: 22080863; PMCID: PMC3226006.</w:t>
      </w:r>
    </w:p>
    <w:p w14:paraId="5F3838C7" w14:textId="77777777" w:rsidR="00BE4C4D" w:rsidRDefault="00BE4C4D" w:rsidP="00BE4C4D">
      <w:pPr>
        <w:pStyle w:val="ListParagraph"/>
        <w:numPr>
          <w:ilvl w:val="0"/>
          <w:numId w:val="6"/>
        </w:numPr>
      </w:pPr>
      <w:r>
        <w:t>Wolf FA, Angerer P, Theis FJ. SCANPY: large-scale single-cell gene expression data analysis. Genome Biol. 2018 Feb 6;19(1):15. doi: 10.1186/s13059-017-1382-0. PMID: 29409532; PMCID: PMC5802054.</w:t>
      </w:r>
    </w:p>
    <w:p w14:paraId="0AE71FEF" w14:textId="77777777" w:rsidR="00BE4C4D" w:rsidRDefault="00BE4C4D" w:rsidP="00BE4C4D">
      <w:pPr>
        <w:pStyle w:val="ListParagraph"/>
        <w:numPr>
          <w:ilvl w:val="0"/>
          <w:numId w:val="6"/>
        </w:numPr>
      </w:pPr>
      <w:r>
        <w:t>Korsunsky I, Millard N, Fan J, Slowikowski K, Zhang F, Wei K, Baglaenko Y, Brenner M, Loh PR, Raychaudhuri S. Fast, sensitive and accurate integration of single-cell data with Harmony. Nat Methods. 2019 Dec;16(12):1289-1296. doi: 10.1038/s41592-019-0619-0. Epub 2019 Nov 18. PMID: 31740819; PMCID: PMC6884693.</w:t>
      </w:r>
    </w:p>
    <w:p w14:paraId="5FC0CE0B" w14:textId="77777777" w:rsidR="00BE4C4D" w:rsidRDefault="00BE4C4D" w:rsidP="00BE4C4D">
      <w:pPr>
        <w:pStyle w:val="ListParagraph"/>
        <w:numPr>
          <w:ilvl w:val="0"/>
          <w:numId w:val="6"/>
        </w:numPr>
      </w:pPr>
      <w:r>
        <w:t>Ntranos V, Yi L, Melsted P, Pachter L. A discriminative learning approach to differential expression analysis for single-cell RNA-seq. Nat Methods. 2019 Feb;16(2):163-166. doi: 10.1038/s41592-018-0303-9. Epub 2019 Jan 21. PMID: 30664774.</w:t>
      </w:r>
    </w:p>
    <w:p w14:paraId="02AD5B02" w14:textId="77777777" w:rsidR="00BE4C4D" w:rsidRDefault="00BE4C4D" w:rsidP="00BE4C4D">
      <w:pPr>
        <w:pStyle w:val="ListParagraph"/>
        <w:numPr>
          <w:ilvl w:val="0"/>
          <w:numId w:val="6"/>
        </w:numPr>
      </w:pPr>
      <w:r>
        <w:t>Baldarelli RM, Smith CL, Ringwald M, Richardson JE, Bult CJ; Mouse Genome Informatics Group. Mouse Genome Informatics: an integrated knowledgebase system for the laboratory mouse. Genetics. 2024 May 7;227(1):iyae031. doi: 10.1093/genetics/iyae031. PMID: 38531069; PMCID: PMC11075557.</w:t>
      </w:r>
    </w:p>
    <w:p w14:paraId="4F891B7D" w14:textId="77777777" w:rsidR="00BE4C4D" w:rsidRDefault="00BE4C4D" w:rsidP="00BE4C4D">
      <w:pPr>
        <w:pStyle w:val="ListParagraph"/>
        <w:numPr>
          <w:ilvl w:val="0"/>
          <w:numId w:val="6"/>
        </w:numPr>
      </w:pPr>
      <w:r>
        <w:t>Chen EY, Tan CM, Kou Y, Duan Q, Wang Z, Meirelles GV, Clark NR, Ma'ayan A. Enrichr: interactive and collaborative HTML5 gene list enrichment analysis tool. BMC Bioinformatics. 2013 Apr 15;14:128. doi: 10.1186/1471-2105-14-128. PMID: 23586463; PMCID: PMC3637064.</w:t>
      </w:r>
    </w:p>
    <w:p w14:paraId="59F07A5B" w14:textId="77777777" w:rsidR="00BE4C4D" w:rsidRDefault="00BE4C4D" w:rsidP="00BE4C4D">
      <w:pPr>
        <w:pStyle w:val="ListParagraph"/>
        <w:numPr>
          <w:ilvl w:val="0"/>
          <w:numId w:val="6"/>
        </w:numPr>
      </w:pPr>
      <w:r>
        <w:t xml:space="preserve">Kuleshov MV, Jones MR, Rouillard AD, Fernandez NF, Duan Q, Wang Z, Koplev S, Jenkins SL, Jagodnik KM, Lachmann A, McDermott MG, Monteiro CD, Gundersen GW, Ma'ayan A. Enrichr: a comprehensive gene set enrichment analysis web server 2016 </w:t>
      </w:r>
      <w:r>
        <w:lastRenderedPageBreak/>
        <w:t>update. Nucleic Acids Res. 2016 Jul 8;44(W1):W90-7. doi: 10.1093/nar/gkw377. Epub 2016 May 3. PMID: 27141961; PMCID: PMC4987924.</w:t>
      </w:r>
    </w:p>
    <w:p w14:paraId="7992CDC5" w14:textId="77777777" w:rsidR="00BE4C4D" w:rsidRDefault="00BE4C4D" w:rsidP="00BE4C4D">
      <w:pPr>
        <w:pStyle w:val="ListParagraph"/>
        <w:numPr>
          <w:ilvl w:val="0"/>
          <w:numId w:val="6"/>
        </w:numPr>
      </w:pPr>
      <w:r>
        <w:t>Xie Z, Bailey A, Kuleshov MV, Clarke DJB, Evangelista JE, Jenkins SL, Lachmann A, Wojciechowicz ML, Kropiwnicki E, Jagodnik KM, Jeon M, Ma'ayan A. Gene Set Knowledge Discovery with Enrichr. Curr Protoc. 2021 Mar;1(3):e90. doi: 10.1002/cpz1.90. PMID: 33780170; PMCID: PMC8152575.</w:t>
      </w:r>
    </w:p>
    <w:p w14:paraId="0FED012B" w14:textId="77777777" w:rsidR="00BE4C4D" w:rsidRDefault="00BE4C4D" w:rsidP="00BE4C4D">
      <w:pPr>
        <w:pStyle w:val="ListParagraph"/>
        <w:numPr>
          <w:ilvl w:val="0"/>
          <w:numId w:val="6"/>
        </w:numPr>
      </w:pPr>
      <w:r>
        <w:t>Aibar S, González-Blas CB, Moerman T, Huynh-Thu VA, Imrichova H, Hulselmans G, Rambow F, Marine JC, Geurts P, Aerts J, van den Oord J, Atak ZK, Wouters J, Aerts S. SCENIC: single-cell regulatory network inference and clustering. Nat Methods. 2017 Nov;14(11):1083-1086. doi: 10.1038/nmeth.4463. Epub 2017 Oct 9. PMID: 28991892; PMCID: PMC5937676.</w:t>
      </w:r>
    </w:p>
    <w:p w14:paraId="1252992E" w14:textId="77777777" w:rsidR="00BE4C4D" w:rsidRDefault="00BE4C4D" w:rsidP="00BE4C4D">
      <w:pPr>
        <w:pStyle w:val="ListParagraph"/>
        <w:numPr>
          <w:ilvl w:val="0"/>
          <w:numId w:val="6"/>
        </w:numPr>
      </w:pPr>
      <w:r>
        <w:t>Trapnell C, Cacchiarelli D, Grimsby J, Pokharel P, Li S, Morse M, Lennon NJ, Livak KJ, Mikkelsen TS, Rinn JL. The dynamics and regulators of cell fate decisions are revealed by pseudotemporal ordering of single cells. Nat Biotechnol. 2014 Apr;32(4):381-386. doi: 10.1038/nbt.2859. Epub 2014 Mar 23. PMID: 24658644; PMCID: PMC4122333.</w:t>
      </w:r>
    </w:p>
    <w:p w14:paraId="05CB22ED" w14:textId="77777777" w:rsidR="00BE4C4D" w:rsidRDefault="00BE4C4D" w:rsidP="00BE4C4D">
      <w:pPr>
        <w:pStyle w:val="ListParagraph"/>
        <w:numPr>
          <w:ilvl w:val="0"/>
          <w:numId w:val="6"/>
        </w:numPr>
      </w:pPr>
      <w:r>
        <w:t>Cao J, Spielmann M, Qiu X, Huang X, Ibrahim DM, Hill AJ, Zhang F, Mundlos S, Christiansen L, Steemers FJ, Trapnell C, Shendure J. The single-cell transcriptional landscape of mammalian organogenesis. Nature. 2019 Feb;566(7745):496-502. doi: 10.1038/s41586-019-0969-x. Epub 2019 Feb 20. PMID: 30787437; PMCID: PMC6434952.</w:t>
      </w:r>
    </w:p>
    <w:p w14:paraId="5D078DD3" w14:textId="77777777" w:rsidR="00BE4C4D" w:rsidRDefault="00BE4C4D" w:rsidP="00BE4C4D">
      <w:pPr>
        <w:pStyle w:val="ListParagraph"/>
        <w:numPr>
          <w:ilvl w:val="0"/>
          <w:numId w:val="6"/>
        </w:numPr>
      </w:pPr>
      <w:r>
        <w:t>Svensson MN, Doody KM, Schmiedel BJ, Bhattacharyya S, Panwar B, Wiede F, Yang S, Santelli E, Wu DJ, Sacchetti C, Gujar R, Seumois G, Kiosses WB, Aubry I, Kim G, Mydel P, Sakaguchi S, Kronenberg M, Tiganis T, Tremblay ML, Ay F, Vijayanand P, Bottini N. Reduced expression of phosphatase PTPN2 promotes pathogenic conversion of Tregs in autoimmunity. J Clin Invest. 2019 Mar 1;129(3):1193-1210. doi: 10.1172/JCI123267. Epub 2019 Feb 11. PMID: 30620725; PMCID: PMC6391091.</w:t>
      </w:r>
    </w:p>
    <w:p w14:paraId="05D8CC8B" w14:textId="77777777" w:rsidR="00BE4C4D" w:rsidRDefault="00BE4C4D" w:rsidP="00BE4C4D">
      <w:pPr>
        <w:pStyle w:val="ListParagraph"/>
        <w:numPr>
          <w:ilvl w:val="0"/>
          <w:numId w:val="6"/>
        </w:numPr>
      </w:pPr>
      <w:r>
        <w:t>Bailey TL, Johnson J, Grant CE, Noble WS. The MEME Suite. Nucleic Acids Res. 2015 Jul 1;43(W1):W39-49. doi: 10.1093/nar/gkv416. Epub 2015 May 7. PMID: 25953851; PMCID: PMC4489269.</w:t>
      </w:r>
    </w:p>
    <w:p w14:paraId="692BB1C2" w14:textId="77777777" w:rsidR="00BE4C4D" w:rsidRDefault="00BE4C4D" w:rsidP="00BE4C4D">
      <w:pPr>
        <w:pStyle w:val="ListParagraph"/>
        <w:numPr>
          <w:ilvl w:val="0"/>
          <w:numId w:val="6"/>
        </w:numPr>
      </w:pPr>
      <w:r>
        <w:t>McLeay RC, Bailey TL. Motif Enrichment Analysis: a unified framework and an evaluation on ChIP data. BMC Bioinformatics. 2010 Apr 1;11:165. doi: 10.1186/1471-2105-11-165. PMID: 20356413; PMCID: PMC2868005.</w:t>
      </w:r>
    </w:p>
    <w:p w14:paraId="4C4F4155" w14:textId="77777777" w:rsidR="00BE4C4D" w:rsidRDefault="00BE4C4D" w:rsidP="00BE4C4D">
      <w:pPr>
        <w:pStyle w:val="ListParagraph"/>
        <w:numPr>
          <w:ilvl w:val="0"/>
          <w:numId w:val="6"/>
        </w:numPr>
      </w:pPr>
      <w:r>
        <w:t>Grant CE, Bailey TL, Noble WS. FIMO: scanning for occurrences of a given motif. Bioinformatics. 2011 Apr 1;27(7):1017-8. doi: 10.1093/bioinformatics/btr064. Epub 2011 Feb 16. PMID: 21330290; PMCID: PMC3065696.</w:t>
      </w:r>
    </w:p>
    <w:p w14:paraId="178A3C43" w14:textId="77777777" w:rsidR="00BE4C4D" w:rsidRDefault="00BE4C4D" w:rsidP="00BE4C4D">
      <w:pPr>
        <w:pStyle w:val="ListParagraph"/>
        <w:numPr>
          <w:ilvl w:val="0"/>
          <w:numId w:val="6"/>
        </w:numPr>
      </w:pPr>
      <w:r>
        <w:t>Ovek Baydar D, Rauluseviciute I, Aronsen DR, Blanc-Mathieu R, Bonthuis I, de Beukelaer H, Ferenc K, Jegou A, Kumar V, Lemma RB, Lucas J, Pochon M, Yun CM, Ramalingam V, Deshpande SS, Patel A, Marinov GK, Wang AT, Aguirre A, Castro-Mondragon JA, Baranasic D, Chèneby J, Gundersen S, Johansen M, Khan A, Kuijjer ML, Hovig E, Lenhard B, Sandelin A, Vandepoele K, Wasserman WW, Parcy F, Kundaje A, Mathelier A. JASPAR 2026: expansion of transcription factor binding profiles and integration of deep learning models. Nucleic Acids Res. 2026 Jan 6;54(D1):D184-D193. doi: 10.1093/nar/gkaf1209. PMID: 41325984; PMCID: PMC12807658.</w:t>
      </w:r>
    </w:p>
    <w:p w14:paraId="2D369CC6" w14:textId="77777777" w:rsidR="00BE4C4D" w:rsidRDefault="00BE4C4D" w:rsidP="00BE4C4D">
      <w:pPr>
        <w:pStyle w:val="ListParagraph"/>
        <w:numPr>
          <w:ilvl w:val="0"/>
          <w:numId w:val="6"/>
        </w:numPr>
      </w:pPr>
      <w:r>
        <w:lastRenderedPageBreak/>
        <w:t>Robinson JT, Thorvaldsdóttir H, Winckler W, Guttman M, Lander ES, Getz G, Mesirov JP. Integrative genomics viewer. Nat Biotechnol. 2011 Jan;29(1):24-6. doi: 10.1038/nbt.1754. PMID: 21221095; PMCID: PMC3346182.</w:t>
      </w:r>
    </w:p>
    <w:p w14:paraId="232927E1" w14:textId="77777777" w:rsidR="00BE4C4D" w:rsidRDefault="00BE4C4D" w:rsidP="00BE4C4D">
      <w:pPr>
        <w:pStyle w:val="ListParagraph"/>
        <w:numPr>
          <w:ilvl w:val="0"/>
          <w:numId w:val="6"/>
        </w:numPr>
      </w:pPr>
      <w:r>
        <w:t>Li H, Handsaker B, Wysoker A, Fennell T, Ruan J, Homer N, Marth G, Abecasis G, Durbin R; 1000 Genome Project Data Processing Subgroup. The Sequence Alignment/Map format and SAMtools. Bioinformatics. 2009 Aug 15;25(16):2078-9. doi: 10.1093/bioinformatics/btp352. Epub 2009 Jun 8. PMID: 19505943; PMCID: PMC2723002.</w:t>
      </w:r>
    </w:p>
    <w:p w14:paraId="7CEBB54E" w14:textId="77777777" w:rsidR="00BE4C4D" w:rsidRDefault="00BE4C4D" w:rsidP="00BE4C4D">
      <w:pPr>
        <w:pStyle w:val="ListParagraph"/>
        <w:numPr>
          <w:ilvl w:val="0"/>
          <w:numId w:val="6"/>
        </w:numPr>
      </w:pPr>
      <w:r>
        <w:t>Workman CJ, Szymczak-Workman AL, Collison LW, Pillai MR, Vignali DA. The development and function of regulatory T cells. Cell Mol Life Sci. 2009 Aug;66(16):2603-22. doi: 10.1007/s00018-009-0026-2. Epub 2009 Apr 24. PMID: 19390784; PMCID: PMC2715449.</w:t>
      </w:r>
    </w:p>
    <w:p w14:paraId="799777FB" w14:textId="77777777" w:rsidR="00BE4C4D" w:rsidRDefault="00BE4C4D" w:rsidP="00BE4C4D">
      <w:pPr>
        <w:pStyle w:val="ListParagraph"/>
        <w:numPr>
          <w:ilvl w:val="0"/>
          <w:numId w:val="6"/>
        </w:numPr>
      </w:pPr>
      <w:r>
        <w:t>Escobar G, Mangani D, Anderson AC. T cell factor 1: A master regulator of the T cell response in disease. Sci Immunol. 2020 Nov 6;5(53):eabb9726. doi: 10.1126/sciimmunol.abb9726. PMID: 33158974; PMCID: PMC8221367.</w:t>
      </w:r>
    </w:p>
    <w:p w14:paraId="42E2C1C2" w14:textId="77777777" w:rsidR="00BE4C4D" w:rsidRDefault="00BE4C4D" w:rsidP="00BE4C4D">
      <w:pPr>
        <w:pStyle w:val="ListParagraph"/>
        <w:numPr>
          <w:ilvl w:val="0"/>
          <w:numId w:val="6"/>
        </w:numPr>
      </w:pPr>
      <w:r>
        <w:t>Sun Y, Liu T, Bai W. MAF bZIP Transcription Factor B (MAFB) Protected Against Ovalbumin-Induced Allergic Rhinitis via the Alleviation of Inflammation by Restoring the T Helper (Th) 1/Th2/Th17 Imbalance and Epithelial Barrier Dysfunction. J Asthma Allergy. 2022 Feb 25;15:267-280. doi: 10.2147/JAA.S335560. PMID: 35250280; PMCID: PMC8888334.</w:t>
      </w:r>
    </w:p>
    <w:p w14:paraId="103006C5" w14:textId="77777777" w:rsidR="00BE4C4D" w:rsidRDefault="00BE4C4D" w:rsidP="00BE4C4D">
      <w:pPr>
        <w:pStyle w:val="ListParagraph"/>
        <w:numPr>
          <w:ilvl w:val="0"/>
          <w:numId w:val="6"/>
        </w:numPr>
      </w:pPr>
      <w:r>
        <w:t>Gilchrist M, Henderson WR Jr, Clark AE, Simmons RM, Ye X, Smith KD, Aderem A. Activating transcription factor 3 is a negative regulator of allergic pulmonary inflammation. J Exp Med. 2008 Sep 29;205(10):2349-57. doi: 10.1084/jem.20072254. Epub 2008 Sep 15. PMID: 18794337; PMCID: PMC2556774.</w:t>
      </w:r>
    </w:p>
    <w:p w14:paraId="1D807E7F" w14:textId="77777777" w:rsidR="00BE4C4D" w:rsidRDefault="00BE4C4D" w:rsidP="00BE4C4D">
      <w:pPr>
        <w:pStyle w:val="ListParagraph"/>
        <w:numPr>
          <w:ilvl w:val="0"/>
          <w:numId w:val="6"/>
        </w:numPr>
      </w:pPr>
      <w:r>
        <w:t>Ottonello S, Genova C, Cossu I, Fontana V, Rijavec E, Rossi G, Biello F, Dal Bello MG, Tagliamento M, Alama A, Coco S, Boccardo S, Vanni I, Ferlazzo G, Moretta L, Grossi F, Mingari MC, Carrega P, Pietra G. Association Between Response to Nivolumab Treatment and Peripheral Blood Lymphocyte Subsets in Patients With Non-small Cell Lung Cancer. Front Immunol. 2020 Feb 7;11:125. doi: 10.3389/fimmu.2020.00125. PMID: 32117275; PMCID: PMC7018763.</w:t>
      </w:r>
    </w:p>
    <w:p w14:paraId="65819A30" w14:textId="77777777" w:rsidR="00BE4C4D" w:rsidRDefault="00BE4C4D" w:rsidP="00BE4C4D">
      <w:pPr>
        <w:pStyle w:val="ListParagraph"/>
        <w:numPr>
          <w:ilvl w:val="0"/>
          <w:numId w:val="6"/>
        </w:numPr>
      </w:pPr>
      <w:r>
        <w:t>Koh J, Hur JY, Lee KY, Kim MS, Heo JY, Ku BM, Sun JM, Lee SH, Ahn JS, Park K, Ahn MJ. Regulatory (FoxP3+) T cells and TGF-β predict the response to anti-PD-1 immunotherapy in patients with non-small cell lung cancer. Sci Rep. 2020 Nov 4;10(1):18994. doi: 10.1038/s41598-020-76130-1. PMID: 33149213; PMCID: PMC7642363.</w:t>
      </w:r>
    </w:p>
    <w:p w14:paraId="38050B4A" w14:textId="77777777" w:rsidR="00BE4C4D" w:rsidRDefault="00BE4C4D" w:rsidP="00BE4C4D">
      <w:pPr>
        <w:pStyle w:val="ListParagraph"/>
        <w:numPr>
          <w:ilvl w:val="0"/>
          <w:numId w:val="6"/>
        </w:numPr>
      </w:pPr>
      <w:r>
        <w:t>Scognamiglio G, Capone M, Sabbatino F, Di Mauro A, Cantile M, Cerrone M, Madonna G, Grimaldi AM, Mallardo D, Palla M, Sarno S, Anniciello AM, Di Bonito M, Ascierto PA, Botti G. The Ratio of GrzB+ - FoxP3+ over CD3+ T Cells as a Potential Predictor of Response to Nivolumab in Patients with Metastatic Melanoma. Cancers (Basel). 2021 May 12;13(10):2325. doi: 10.3390/cancers13102325. PMID: 34066146; PMCID: PMC8150779.</w:t>
      </w:r>
    </w:p>
    <w:p w14:paraId="348EE648" w14:textId="77777777" w:rsidR="00BE4C4D" w:rsidRDefault="00BE4C4D" w:rsidP="00BE4C4D">
      <w:pPr>
        <w:pStyle w:val="ListParagraph"/>
        <w:numPr>
          <w:ilvl w:val="0"/>
          <w:numId w:val="6"/>
        </w:numPr>
      </w:pPr>
      <w:r>
        <w:t>Oleinika K, Nibbs RJ, Graham GJ, Fraser AR. Suppression, subversion and escape: the role of regulatory T cells in cancer progression. Clin Exp Immunol. 2013 Jan;171(1):36-45. doi: 10.1111/j.1365-2249.2012.04657.x. PMID: 23199321; PMCID: PMC3530093.</w:t>
      </w:r>
    </w:p>
    <w:p w14:paraId="69252E2C" w14:textId="77777777" w:rsidR="00BE4C4D" w:rsidRDefault="00BE4C4D" w:rsidP="00BE4C4D">
      <w:pPr>
        <w:pStyle w:val="ListParagraph"/>
        <w:numPr>
          <w:ilvl w:val="0"/>
          <w:numId w:val="6"/>
        </w:numPr>
      </w:pPr>
      <w:r>
        <w:t xml:space="preserve">Ohaegbulam KC, Assal A, Lazar-Molnar E, Yao Y, Zang X. Human cancer immunotherapy with antibodies to the PD-1 and PD-L1 pathway. Trends Mol Med. 2015 </w:t>
      </w:r>
      <w:r>
        <w:lastRenderedPageBreak/>
        <w:t>Jan;21(1):24-33. doi: 10.1016/j.molmed.2014.10.009. Epub 2014 Oct 30. PMID: 25440090; PMCID: PMC4282825.</w:t>
      </w:r>
    </w:p>
    <w:p w14:paraId="52693BE7" w14:textId="77777777" w:rsidR="00BE4C4D" w:rsidRDefault="00BE4C4D" w:rsidP="00BE4C4D">
      <w:pPr>
        <w:pStyle w:val="ListParagraph"/>
        <w:numPr>
          <w:ilvl w:val="0"/>
          <w:numId w:val="6"/>
        </w:numPr>
      </w:pPr>
      <w:r>
        <w:t>Alsaab HO, Sau S, Alzhrani R, Tatiparti K, Bhise K, Kashaw SK, Iyer AK. PD-1 and PD-L1 Checkpoint Signaling Inhibition for Cancer Immunotherapy: Mechanism, Combinations, and Clinical Outcome. Front Pharmacol. 2017 Aug 23;8:561. doi: 10.3389/fphar.2017.00561. PMID: 28878676; PMCID: PMC5572324.</w:t>
      </w:r>
    </w:p>
    <w:p w14:paraId="2A2BF8AB" w14:textId="77777777" w:rsidR="00BE4C4D" w:rsidRDefault="00BE4C4D" w:rsidP="00BE4C4D">
      <w:pPr>
        <w:pStyle w:val="ListParagraph"/>
        <w:numPr>
          <w:ilvl w:val="0"/>
          <w:numId w:val="6"/>
        </w:numPr>
      </w:pPr>
      <w:r>
        <w:t>Wiede F, Dudakov JA, Lu KH, Dodd GT, Butt T, Godfrey DI, Strasser A, Boyd RL, Tiganis T. PTPN2 regulates T cell lineage commitment and αβ versus γδ specification. J Exp Med. 2017 Sep 4;214(9):2733-2758. doi: 10.1084/jem.20161903. Epub 2017 Aug 10. PMID: 28798028; PMCID: PMC5584121.</w:t>
      </w:r>
    </w:p>
    <w:p w14:paraId="73EF733D" w14:textId="77777777" w:rsidR="00BE4C4D" w:rsidRDefault="00BE4C4D" w:rsidP="00BE4C4D">
      <w:pPr>
        <w:pStyle w:val="ListParagraph"/>
        <w:numPr>
          <w:ilvl w:val="0"/>
          <w:numId w:val="6"/>
        </w:numPr>
      </w:pPr>
      <w:r>
        <w:t>Wiede F, La Gruta NL, Tiganis T. PTPN2 attenuates T-cell lymphopenia-induced proliferation. Nat Commun. 2014;5:3073. doi: 10.1038/ncomms4073. PMID: 24445916.</w:t>
      </w:r>
    </w:p>
    <w:p w14:paraId="4424D110" w14:textId="77777777" w:rsidR="00BE4C4D" w:rsidRDefault="00BE4C4D" w:rsidP="00BE4C4D">
      <w:pPr>
        <w:pStyle w:val="ListParagraph"/>
        <w:numPr>
          <w:ilvl w:val="0"/>
          <w:numId w:val="6"/>
        </w:numPr>
      </w:pPr>
      <w:r>
        <w:t>van Vliet C, Bukczynska PE, Puryer MA, Sadek CM, Shields BJ, Tremblay ML, Tiganis T. Selective regulation of tumor necrosis factor-induced Erk signaling by Src family kinases and the T cell protein tyrosine phosphatase. Nat Immunol. 2005 Mar;6(3):253-60. doi: 10.1038/ni1169. Epub 2005 Feb 6. PMID: 15696169.</w:t>
      </w:r>
    </w:p>
    <w:p w14:paraId="53752DD9" w14:textId="77777777" w:rsidR="00BE4C4D" w:rsidRDefault="00BE4C4D" w:rsidP="00BE4C4D">
      <w:pPr>
        <w:pStyle w:val="ListParagraph"/>
        <w:numPr>
          <w:ilvl w:val="0"/>
          <w:numId w:val="6"/>
        </w:numPr>
      </w:pPr>
      <w:r>
        <w:t>Kumagai S, Togashi Y, Kamada T, Sugiyama E, Nishinakamura H, Takeuchi Y, Vitaly K, Itahashi K, Maeda Y, Matsui S, Shibahara T, Yamashita Y, Irie T, Tsuge A, Fukuoka S, Kawazoe A, Udagawa H, Kirita K, Aokage K, Ishii G, Kuwata T, Nakama K, Kawazu M, Ueno T, Yamazaki N, Goto K, Tsuboi M, Mano H, Doi T, Shitara K, Nishikawa H. The PD-1 expression balance between effector and regulatory T cells predicts the clinical efficacy of PD-1 blockade therapies. Nat Immunol. 2020 Nov;21(11):1346-1358. doi: 10.1038/s41590-020-0769-3. Epub 2020 Aug 31. PMID: 32868929.</w:t>
      </w:r>
    </w:p>
    <w:p w14:paraId="516CD245" w14:textId="77777777" w:rsidR="00BE4C4D" w:rsidRDefault="00BE4C4D" w:rsidP="00BE4C4D">
      <w:pPr>
        <w:pStyle w:val="ListParagraph"/>
        <w:numPr>
          <w:ilvl w:val="0"/>
          <w:numId w:val="6"/>
        </w:numPr>
      </w:pPr>
      <w:r>
        <w:t>Chen X, Fosco D, Kline DE, Meng L, Nishi S, Savage PA, Kline J. PD-1 regulates extrathymic regulatory T-cell differentiation. Eur J Immunol. 2014 Sep;44(9):2603-16. doi: 10.1002/eji.201344423. Epub 2014 Aug 18. PMID: 24975127; PMCID: PMC4165701.</w:t>
      </w:r>
    </w:p>
    <w:p w14:paraId="56CB853F" w14:textId="77777777" w:rsidR="00BE4C4D" w:rsidRDefault="00BE4C4D" w:rsidP="00BE4C4D">
      <w:pPr>
        <w:pStyle w:val="ListParagraph"/>
        <w:numPr>
          <w:ilvl w:val="0"/>
          <w:numId w:val="6"/>
        </w:numPr>
      </w:pPr>
      <w:r>
        <w:t>Xydia M, Rahbari R, Ruggiero E, Macaulay I, Tarabichi M, Lohmayer R, Wilkening S, Michels T, Brown D, Vanuytven S, Mastitskaya S, Laidlaw S, Grabe N, Pritsch M, Fronza R, Hexel K, Schmitt S, Müller-Steinhardt M, Halama N, Domschke C, Schmidt M, von Kalle C, Schütz F, Voet T, Beckhove P. Common clonal origin of conventional T cells and induced regulatory T cells in breast cancer patients. Nat Commun. 2021 Feb 18;12(1):1119. doi: 10.1038/s41467-021-21297-y. PMID: 33602930; PMCID: PMC7893042.</w:t>
      </w:r>
    </w:p>
    <w:p w14:paraId="58C3961B" w14:textId="77777777" w:rsidR="00BE4C4D" w:rsidRDefault="00BE4C4D" w:rsidP="00BE4C4D">
      <w:pPr>
        <w:pStyle w:val="ListParagraph"/>
        <w:numPr>
          <w:ilvl w:val="0"/>
          <w:numId w:val="6"/>
        </w:numPr>
      </w:pPr>
      <w:r>
        <w:t>Bothur E, Raifer H, Haftmann C, Stittrich AB, Brüstle A, Brenner D, Bollig N, Bieringer M, Kang CH, Reinhard K, Camara B, Huber M, Visekruna A, Steinhoff U, Repenning A, Bauer UM, Sexl V, Radbruch A, Sparwasser T, Mashreghi MF, Wah Mak T, Lohoff M. Antigen receptor-mediated depletion of FOXP3 in induced regulatory T-lymphocytes via PTPN2 and FOXO1. Nat Commun. 2015 Oct 13;6:8576. doi: 10.1038/ncomms9576. PMID: 26815406; PMCID: PMC4633965.</w:t>
      </w:r>
    </w:p>
    <w:p w14:paraId="626269F1" w14:textId="77777777" w:rsidR="00BE4C4D" w:rsidRDefault="00BE4C4D" w:rsidP="00BE4C4D">
      <w:pPr>
        <w:pStyle w:val="ListParagraph"/>
        <w:numPr>
          <w:ilvl w:val="0"/>
          <w:numId w:val="6"/>
        </w:numPr>
      </w:pPr>
      <w:r>
        <w:t>Li D, Kong C, Tsun A, Chen C, Song H, Shi G, Pan W, Dai D, Shen N, Li B. MiR-125a-5p Decreases the Sensitivity of Treg cells Toward IL-6-Mediated Conversion by Inhibiting IL-6R and STAT3 Expression. Sci Rep. 2015 Oct 1;5:14615. doi: 10.1038/srep14615. PMID: 26424054; PMCID: PMC4589732.</w:t>
      </w:r>
    </w:p>
    <w:p w14:paraId="74871E1C" w14:textId="77777777" w:rsidR="00BE4C4D" w:rsidRDefault="00BE4C4D" w:rsidP="00BE4C4D">
      <w:pPr>
        <w:pStyle w:val="ListParagraph"/>
        <w:numPr>
          <w:ilvl w:val="0"/>
          <w:numId w:val="6"/>
        </w:numPr>
      </w:pPr>
      <w:r>
        <w:t xml:space="preserve">Whiteside TL, Schuler P, Schilling B. Induced and natural regulatory T cells in human cancer. Expert Opin Biol Ther. 2012 Oct;12(10):1383-97. doi: </w:t>
      </w:r>
      <w:r>
        <w:lastRenderedPageBreak/>
        <w:t>10.1517/14712598.2012.707184. Epub 2012 Jul 31. PMID: 22849383; PMCID: PMC3730844.</w:t>
      </w:r>
    </w:p>
    <w:p w14:paraId="7E9B1706" w14:textId="77777777" w:rsidR="00BE4C4D" w:rsidRDefault="00BE4C4D" w:rsidP="00BE4C4D">
      <w:pPr>
        <w:pStyle w:val="ListParagraph"/>
        <w:numPr>
          <w:ilvl w:val="0"/>
          <w:numId w:val="6"/>
        </w:numPr>
      </w:pPr>
      <w:r>
        <w:t>Spalinger MR, Kasper S, Chassard C, Raselli T, Frey-Wagner I, Gottier C, Lang S, Atrott K, Vavricka SR, Mair F, Becher B, Lacroix C, Fried M, Rogler G, Scharl M. PTPN2 controls differentiation of CD4⁺ T cells and limits intestinal inflammation and intestinal dysbiosis. Mucosal Immunol. 2015 Jul;8(4):918-29. doi: 10.1038/mi.2014.122. Epub 2014 Dec 10. PMID: 25492475.</w:t>
      </w:r>
    </w:p>
    <w:p w14:paraId="1ECF2EF4" w14:textId="77777777" w:rsidR="00BE4C4D" w:rsidRDefault="00BE4C4D" w:rsidP="00BE4C4D">
      <w:pPr>
        <w:pStyle w:val="ListParagraph"/>
        <w:numPr>
          <w:ilvl w:val="0"/>
          <w:numId w:val="6"/>
        </w:numPr>
      </w:pPr>
      <w:r>
        <w:t>Amarnath S, Mangus CW, Wang JC, Wei F, He A, Kapoor V, Foley JE, Massey PR, Felizardo TC, Riley JL, Levine BL, June CH, Medin JA, Fowler DH. The PDL1-PD1 axis converts human TH1 cells into regulatory T cells. Sci Transl Med. 2011 Nov 30;3(111):111ra120. doi: 10.1126/scitranslmed.3003130. PMID: 22133721; PMCID: PMC3235958.</w:t>
      </w:r>
    </w:p>
    <w:p w14:paraId="0D48FE2A" w14:textId="77777777" w:rsidR="00BE4C4D" w:rsidRDefault="00BE4C4D" w:rsidP="00BE4C4D">
      <w:pPr>
        <w:pStyle w:val="ListParagraph"/>
        <w:numPr>
          <w:ilvl w:val="0"/>
          <w:numId w:val="6"/>
        </w:numPr>
      </w:pPr>
      <w:r>
        <w:t>Francisco LM, Salinas VH, Brown KE, Vanguri VK, Freeman GJ, Kuchroo VK, Sharpe AH. PD-L1 regulates the development, maintenance, and function of induced regulatory T cells. J Exp Med. 2009 Dec 21;206(13):3015-29. doi: 10.1084/jem.20090847. Epub 2009 Dec 14. PMID: 20008522; PMCID: PMC2806460.</w:t>
      </w:r>
    </w:p>
    <w:p w14:paraId="444B5B96" w14:textId="77777777" w:rsidR="00BE4C4D" w:rsidRDefault="00BE4C4D" w:rsidP="00BE4C4D">
      <w:pPr>
        <w:pStyle w:val="ListParagraph"/>
        <w:numPr>
          <w:ilvl w:val="0"/>
          <w:numId w:val="6"/>
        </w:numPr>
      </w:pPr>
      <w:r>
        <w:t>Stathopoulou C, Gangaplara A, Mallett G, Flomerfelt FA, Liniany LP, Knight D, Samsel LA, Berlinguer-Palmini R, Yim JJ, Felizardo TC, Eckhaus MA, Edgington-Mitchell L, Martinez-Fabregas J, Zhu J, Fowler DH, van Kasteren SI, Laurence A, Bogyo M, Watts C, Shevach EM, Amarnath S. PD-1 Inhibitory Receptor Downregulates Asparaginyl Endopeptidase and Maintains Foxp3 Transcription Factor Stability in Induced Regulatory T Cells. Immunity. 2018 Aug 21;49(2):247-263.e7. doi: 10.1016/j.immuni.2018.05.006. Epub 2018 Jul 24. PMID: 30054205; PMCID: PMC6105434.</w:t>
      </w:r>
    </w:p>
    <w:p w14:paraId="1A056A87" w14:textId="77777777" w:rsidR="00BE4C4D" w:rsidRDefault="00BE4C4D" w:rsidP="00BE4C4D">
      <w:pPr>
        <w:pStyle w:val="ListParagraph"/>
        <w:numPr>
          <w:ilvl w:val="0"/>
          <w:numId w:val="6"/>
        </w:numPr>
      </w:pPr>
      <w:r>
        <w:t>Togashi Y, Shitara K, Nishikawa H. Regulatory T cells in cancer immunosuppression - implications for anticancer therapy. Nat Rev Clin Oncol. 2019 Jun;16(6):356-371. doi: 10.1038/s41571-019-0175-7. PMID: 30705439.</w:t>
      </w:r>
    </w:p>
    <w:p w14:paraId="5CD47922" w14:textId="77777777" w:rsidR="00BE4C4D" w:rsidRDefault="00BE4C4D" w:rsidP="00BE4C4D">
      <w:pPr>
        <w:pStyle w:val="ListParagraph"/>
        <w:numPr>
          <w:ilvl w:val="0"/>
          <w:numId w:val="6"/>
        </w:numPr>
      </w:pPr>
      <w:r>
        <w:t>Fourcade J, Sun Z, Chauvin JM, Ka M, Davar D, Pagliano O, Wang H, Saada S, Menna C, Amin R, Sander C, Kirkwood JM, Korman AJ, Zarour HM. CD226 opposes TIGIT to disrupt Tregs in melanoma. JCI Insight. 2018 Jul 26;3(14):e121157. doi: 10.1172/jci.insight.121157. PMID: 30046006; PMCID: PMC6124410.</w:t>
      </w:r>
    </w:p>
    <w:p w14:paraId="5E38011D" w14:textId="77777777" w:rsidR="00BE4C4D" w:rsidRDefault="00BE4C4D" w:rsidP="00BE4C4D">
      <w:pPr>
        <w:pStyle w:val="ListParagraph"/>
        <w:numPr>
          <w:ilvl w:val="0"/>
          <w:numId w:val="6"/>
        </w:numPr>
      </w:pPr>
      <w:r>
        <w:t>Kandel S, Adhikary P, Li G, Cheng K. The TIM3/Gal9 signaling pathway: An emerging target for cancer immunotherapy. Cancer Lett. 2021 Jul 10;510:67-78. doi: 10.1016/j.canlet.2021.04.011. Epub 2021 Apr 22. PMID: 33895262; PMCID: PMC8168453.</w:t>
      </w:r>
    </w:p>
    <w:p w14:paraId="258FA7BA" w14:textId="77777777" w:rsidR="00BE4C4D" w:rsidRDefault="00BE4C4D" w:rsidP="00BE4C4D">
      <w:pPr>
        <w:pStyle w:val="ListParagraph"/>
        <w:numPr>
          <w:ilvl w:val="0"/>
          <w:numId w:val="6"/>
        </w:numPr>
      </w:pPr>
      <w:r>
        <w:t>Long L, Zhang X, Chen F, Pan Q, Phiphatwatchara P, Zeng Y, Chen H. The promising immune checkpoint LAG-3: from tumor microenvironment to cancer immunotherapy. Genes Cancer. 2018 May;9(5-6):176-189. doi: 10.18632/genesandcancer.180. PMID: 30603054; PMCID: PMC6305110.</w:t>
      </w:r>
    </w:p>
    <w:p w14:paraId="13225D85" w14:textId="77777777" w:rsidR="00BE4C4D" w:rsidRDefault="00BE4C4D" w:rsidP="00BE4C4D">
      <w:pPr>
        <w:pStyle w:val="ListParagraph"/>
        <w:numPr>
          <w:ilvl w:val="0"/>
          <w:numId w:val="6"/>
        </w:numPr>
      </w:pPr>
      <w:r>
        <w:t>Durham NM, Nirschl CJ, Jackson CM, Elias J, Kochel CM, Anders RA, Drake CG. Lymphocyte Activation Gene 3 (LAG-3) modulates the ability of CD4 T-cells to be suppressed in vivo. PLoS One. 2014 Nov 5;9(11):e109080. doi: 10.1371/journal.pone.0109080. PMID: 25372844; PMCID: PMC4220939.</w:t>
      </w:r>
    </w:p>
    <w:p w14:paraId="286A6DB7" w14:textId="77777777" w:rsidR="00BE4C4D" w:rsidRDefault="00BE4C4D" w:rsidP="00BE4C4D">
      <w:pPr>
        <w:pStyle w:val="ListParagraph"/>
        <w:numPr>
          <w:ilvl w:val="0"/>
          <w:numId w:val="6"/>
        </w:numPr>
      </w:pPr>
      <w:r>
        <w:t xml:space="preserve">Simpson TR, Li F, Montalvo-Ortiz W, Sepulveda MA, Bergerhoff K, Arce F, Roddie C, Henry JY, Yagita H, Wolchok JD, Peggs KS, Ravetch JV, Allison JP, Quezada SA. Fc-dependent depletion of tumor-infiltrating regulatory T cells co-defines the efficacy of </w:t>
      </w:r>
      <w:r>
        <w:lastRenderedPageBreak/>
        <w:t>anti-CTLA-4 therapy against melanoma. J Exp Med. 2013 Aug 26;210(9):1695-710. doi: 10.1084/jem.20130579. Epub 2013 Jul 29. PMID: 23897981; PMCID: PMC3754863.</w:t>
      </w:r>
    </w:p>
    <w:p w14:paraId="15FFDA61" w14:textId="77777777" w:rsidR="00BE4C4D" w:rsidRDefault="00BE4C4D" w:rsidP="00BE4C4D">
      <w:pPr>
        <w:pStyle w:val="ListParagraph"/>
        <w:numPr>
          <w:ilvl w:val="0"/>
          <w:numId w:val="6"/>
        </w:numPr>
      </w:pPr>
      <w:r>
        <w:t>Romano E, Kusio-Kobialka M, Foukas PG, Baumgaertner P, Meyer C, Ballabeni P, Michielin O, Weide B, Romero P, Speiser DE. Ipilimumab-dependent cell-mediated cytotoxicity of regulatory T cells ex vivo by nonclassical monocytes in melanoma patients. Proc Natl Acad Sci U S A. 2015 May 12;112(19):6140-5. doi: 10.1073/pnas.1417320112. Epub 2015 Apr 27. PMID: 25918390; PMCID: PMC4434760.</w:t>
      </w:r>
    </w:p>
    <w:p w14:paraId="58D4A712" w14:textId="13696700" w:rsidR="00BE4C4D" w:rsidRPr="00BE4C4D" w:rsidRDefault="00BE4C4D" w:rsidP="00BE4C4D">
      <w:pPr>
        <w:pStyle w:val="ListParagraph"/>
        <w:numPr>
          <w:ilvl w:val="0"/>
          <w:numId w:val="6"/>
        </w:numPr>
      </w:pPr>
      <w:r>
        <w:t>Ferrara R, Susini S, Marabelle A. Anti-CTLA-4 Immunotherapy Does Not Deplete FOXP3+ Regulatory T Cells (Tregs) in Human Cancers-Letter. Clin Cancer Res. 2019 Jun 1;25(11):3468. doi: 10.1158/1078-0432.CCR-18-3740. Epub 2018 Dec 4. PMID: 30514779.</w:t>
      </w:r>
    </w:p>
    <w:sectPr w:rsidR="00BE4C4D" w:rsidRPr="00BE4C4D" w:rsidSect="00A9657E">
      <w:headerReference w:type="default" r:id="rId21"/>
      <w:footerReference w:type="even" r:id="rId22"/>
      <w:footerReference w:type="default" r:id="rId23"/>
      <w:pgSz w:w="12240" w:h="15840"/>
      <w:pgMar w:top="1440" w:right="1440" w:bottom="1440" w:left="1440" w:header="720" w:footer="720" w:gutter="0"/>
      <w:lnNumType w:countBy="1" w:restart="continuous"/>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Zhan, Yao" w:date="2026-02-02T12:40:00Z" w:initials="ZY">
    <w:p w14:paraId="79C4C3AA" w14:textId="61ECAB25" w:rsidR="000105B9" w:rsidRDefault="000105B9">
      <w:pPr>
        <w:pStyle w:val="CommentText"/>
      </w:pPr>
      <w:r>
        <w:rPr>
          <w:rStyle w:val="CommentReference"/>
        </w:rPr>
        <w:annotationRef/>
      </w:r>
      <w:r w:rsidRPr="03F262BB">
        <w:t>dual inhibition of 1 and 2. I once got corrected during presentation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9C4C3A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763D68B" w16cex:dateUtc="2026-02-02T17: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9C4C3AA" w16cid:durableId="2763D68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5DD10" w14:textId="77777777" w:rsidR="00ED3103" w:rsidRDefault="00ED3103" w:rsidP="00E44046">
      <w:r>
        <w:separator/>
      </w:r>
    </w:p>
  </w:endnote>
  <w:endnote w:type="continuationSeparator" w:id="0">
    <w:p w14:paraId="011EF18B" w14:textId="77777777" w:rsidR="00ED3103" w:rsidRDefault="00ED3103" w:rsidP="00E440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Narrow">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84570451"/>
      <w:docPartObj>
        <w:docPartGallery w:val="Page Numbers (Bottom of Page)"/>
        <w:docPartUnique/>
      </w:docPartObj>
    </w:sdtPr>
    <w:sdtEndPr>
      <w:rPr>
        <w:rStyle w:val="PageNumber"/>
      </w:rPr>
    </w:sdtEndPr>
    <w:sdtContent>
      <w:p w14:paraId="634E3920" w14:textId="4EAD9717" w:rsidR="002C3A67" w:rsidRDefault="002C3A67" w:rsidP="0074218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470940657"/>
      <w:docPartObj>
        <w:docPartGallery w:val="Page Numbers (Bottom of Page)"/>
        <w:docPartUnique/>
      </w:docPartObj>
    </w:sdtPr>
    <w:sdtEndPr>
      <w:rPr>
        <w:rStyle w:val="PageNumber"/>
      </w:rPr>
    </w:sdtEndPr>
    <w:sdtContent>
      <w:p w14:paraId="3F497C79" w14:textId="0309D901" w:rsidR="00E44046" w:rsidRDefault="00E44046" w:rsidP="002C3A67">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BB9BB0C" w14:textId="77777777" w:rsidR="00E44046" w:rsidRDefault="00E44046" w:rsidP="00E4404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33129703"/>
      <w:docPartObj>
        <w:docPartGallery w:val="Page Numbers (Bottom of Page)"/>
        <w:docPartUnique/>
      </w:docPartObj>
    </w:sdtPr>
    <w:sdtEndPr>
      <w:rPr>
        <w:rStyle w:val="PageNumber"/>
      </w:rPr>
    </w:sdtEndPr>
    <w:sdtContent>
      <w:p w14:paraId="75F6EFE6" w14:textId="1BA0922A" w:rsidR="002C3A67" w:rsidRDefault="002C3A67" w:rsidP="0074218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DC15D37" w14:textId="79E22A78" w:rsidR="00E44046" w:rsidRDefault="002438B2" w:rsidP="00E44046">
    <w:pPr>
      <w:pStyle w:val="Footer"/>
      <w:ind w:right="360"/>
    </w:pPr>
    <w:r>
      <w:fldChar w:fldCharType="begin"/>
    </w:r>
    <w:r>
      <w:instrText xml:space="preserve"> TITLE </w:instrText>
    </w:r>
    <w:r>
      <w:fldChar w:fldCharType="end"/>
    </w:r>
    <w:r w:rsidR="002C3A67">
      <w:fldChar w:fldCharType="begin"/>
    </w:r>
    <w:r w:rsidR="002C3A67">
      <w:instrText xml:space="preserve"> TITLE  \* MERGEFORMAT </w:instrText>
    </w:r>
    <w:r w:rsidR="002C3A67">
      <w:fldChar w:fldCharType="end"/>
    </w:r>
    <w:r w:rsidR="002C3A67">
      <w:ptab w:relativeTo="margin" w:alignment="center" w:leader="none"/>
    </w:r>
    <w:r w:rsidR="002C3A67">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9030B" w14:textId="77777777" w:rsidR="00ED3103" w:rsidRDefault="00ED3103" w:rsidP="00E44046">
      <w:r>
        <w:separator/>
      </w:r>
    </w:p>
  </w:footnote>
  <w:footnote w:type="continuationSeparator" w:id="0">
    <w:p w14:paraId="0F794EDA" w14:textId="77777777" w:rsidR="00ED3103" w:rsidRDefault="00ED3103" w:rsidP="00E440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FB66E" w14:textId="6E0AC21C" w:rsidR="005C7ECF" w:rsidRPr="00A9657E" w:rsidRDefault="00ED3103" w:rsidP="008A1918">
    <w:pPr>
      <w:spacing w:line="264" w:lineRule="auto"/>
      <w:rPr>
        <w:sz w:val="20"/>
        <w:szCs w:val="20"/>
      </w:rPr>
    </w:pPr>
    <w:sdt>
      <w:sdtPr>
        <w:rPr>
          <w:rFonts w:asciiTheme="majorHAnsi" w:eastAsiaTheme="majorEastAsia" w:hAnsiTheme="majorHAnsi" w:cstheme="majorBidi"/>
          <w:color w:val="0F4761" w:themeColor="accent1" w:themeShade="BF"/>
          <w:sz w:val="20"/>
          <w:szCs w:val="20"/>
        </w:rPr>
        <w:alias w:val="Title"/>
        <w:id w:val="15524250"/>
        <w:placeholder>
          <w:docPart w:val="2C41804CB0C9FD4C95CCE9EE43583212"/>
        </w:placeholder>
        <w:dataBinding w:prefixMappings="xmlns:ns0='http://schemas.openxmlformats.org/package/2006/metadata/core-properties' xmlns:ns1='http://purl.org/dc/elements/1.1/'" w:xpath="/ns0:coreProperties[1]/ns1:title[1]" w:storeItemID="{6C3C8BC8-F283-45AE-878A-BAB7291924A1}"/>
        <w:text/>
      </w:sdtPr>
      <w:sdtEndPr/>
      <w:sdtContent>
        <w:r w:rsidR="002E6012" w:rsidRPr="002E6012">
          <w:rPr>
            <w:rFonts w:asciiTheme="majorHAnsi" w:eastAsiaTheme="majorEastAsia" w:hAnsiTheme="majorHAnsi" w:cstheme="majorBidi"/>
            <w:color w:val="0F4761" w:themeColor="accent1" w:themeShade="BF"/>
            <w:sz w:val="20"/>
            <w:szCs w:val="20"/>
          </w:rPr>
          <w:t>ABBV-CLS-484 (AC484) Enhances Anti-Tumor Immunity by Modulating IL-6/STAT3 Signaling and Regulatory T Cell Stability</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C2773"/>
    <w:multiLevelType w:val="hybridMultilevel"/>
    <w:tmpl w:val="A08E0BFE"/>
    <w:lvl w:ilvl="0" w:tplc="DF64C34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9B5DCC"/>
    <w:multiLevelType w:val="hybridMultilevel"/>
    <w:tmpl w:val="5234F800"/>
    <w:lvl w:ilvl="0" w:tplc="1C16DF3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B430DE"/>
    <w:multiLevelType w:val="hybridMultilevel"/>
    <w:tmpl w:val="F88487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A47B7E"/>
    <w:multiLevelType w:val="hybridMultilevel"/>
    <w:tmpl w:val="C5FA9280"/>
    <w:lvl w:ilvl="0" w:tplc="B7D4F01C">
      <w:start w:val="1"/>
      <w:numFmt w:val="upperLetter"/>
      <w:lvlText w:val="(%1)"/>
      <w:lvlJc w:val="left"/>
      <w:pPr>
        <w:tabs>
          <w:tab w:val="num" w:pos="720"/>
        </w:tabs>
        <w:ind w:left="720" w:hanging="360"/>
      </w:pPr>
    </w:lvl>
    <w:lvl w:ilvl="1" w:tplc="E42C1448" w:tentative="1">
      <w:start w:val="1"/>
      <w:numFmt w:val="upperLetter"/>
      <w:lvlText w:val="(%2)"/>
      <w:lvlJc w:val="left"/>
      <w:pPr>
        <w:tabs>
          <w:tab w:val="num" w:pos="1440"/>
        </w:tabs>
        <w:ind w:left="1440" w:hanging="360"/>
      </w:pPr>
    </w:lvl>
    <w:lvl w:ilvl="2" w:tplc="7428C4F4" w:tentative="1">
      <w:start w:val="1"/>
      <w:numFmt w:val="upperLetter"/>
      <w:lvlText w:val="(%3)"/>
      <w:lvlJc w:val="left"/>
      <w:pPr>
        <w:tabs>
          <w:tab w:val="num" w:pos="2160"/>
        </w:tabs>
        <w:ind w:left="2160" w:hanging="360"/>
      </w:pPr>
    </w:lvl>
    <w:lvl w:ilvl="3" w:tplc="6236467A" w:tentative="1">
      <w:start w:val="1"/>
      <w:numFmt w:val="upperLetter"/>
      <w:lvlText w:val="(%4)"/>
      <w:lvlJc w:val="left"/>
      <w:pPr>
        <w:tabs>
          <w:tab w:val="num" w:pos="2880"/>
        </w:tabs>
        <w:ind w:left="2880" w:hanging="360"/>
      </w:pPr>
    </w:lvl>
    <w:lvl w:ilvl="4" w:tplc="0B0C4A78" w:tentative="1">
      <w:start w:val="1"/>
      <w:numFmt w:val="upperLetter"/>
      <w:lvlText w:val="(%5)"/>
      <w:lvlJc w:val="left"/>
      <w:pPr>
        <w:tabs>
          <w:tab w:val="num" w:pos="3600"/>
        </w:tabs>
        <w:ind w:left="3600" w:hanging="360"/>
      </w:pPr>
    </w:lvl>
    <w:lvl w:ilvl="5" w:tplc="5282D370" w:tentative="1">
      <w:start w:val="1"/>
      <w:numFmt w:val="upperLetter"/>
      <w:lvlText w:val="(%6)"/>
      <w:lvlJc w:val="left"/>
      <w:pPr>
        <w:tabs>
          <w:tab w:val="num" w:pos="4320"/>
        </w:tabs>
        <w:ind w:left="4320" w:hanging="360"/>
      </w:pPr>
    </w:lvl>
    <w:lvl w:ilvl="6" w:tplc="FC5A8CB0" w:tentative="1">
      <w:start w:val="1"/>
      <w:numFmt w:val="upperLetter"/>
      <w:lvlText w:val="(%7)"/>
      <w:lvlJc w:val="left"/>
      <w:pPr>
        <w:tabs>
          <w:tab w:val="num" w:pos="5040"/>
        </w:tabs>
        <w:ind w:left="5040" w:hanging="360"/>
      </w:pPr>
    </w:lvl>
    <w:lvl w:ilvl="7" w:tplc="C5143556" w:tentative="1">
      <w:start w:val="1"/>
      <w:numFmt w:val="upperLetter"/>
      <w:lvlText w:val="(%8)"/>
      <w:lvlJc w:val="left"/>
      <w:pPr>
        <w:tabs>
          <w:tab w:val="num" w:pos="5760"/>
        </w:tabs>
        <w:ind w:left="5760" w:hanging="360"/>
      </w:pPr>
    </w:lvl>
    <w:lvl w:ilvl="8" w:tplc="81A40BAA" w:tentative="1">
      <w:start w:val="1"/>
      <w:numFmt w:val="upperLetter"/>
      <w:lvlText w:val="(%9)"/>
      <w:lvlJc w:val="left"/>
      <w:pPr>
        <w:tabs>
          <w:tab w:val="num" w:pos="6480"/>
        </w:tabs>
        <w:ind w:left="6480" w:hanging="360"/>
      </w:pPr>
    </w:lvl>
  </w:abstractNum>
  <w:abstractNum w:abstractNumId="4" w15:restartNumberingAfterBreak="0">
    <w:nsid w:val="2ECD211A"/>
    <w:multiLevelType w:val="hybridMultilevel"/>
    <w:tmpl w:val="1DD24BD6"/>
    <w:lvl w:ilvl="0" w:tplc="DB7A612C">
      <w:start w:val="1"/>
      <w:numFmt w:val="upperLetter"/>
      <w:lvlText w:val="(%1)"/>
      <w:lvlJc w:val="left"/>
      <w:pPr>
        <w:tabs>
          <w:tab w:val="num" w:pos="720"/>
        </w:tabs>
        <w:ind w:left="720" w:hanging="360"/>
      </w:pPr>
    </w:lvl>
    <w:lvl w:ilvl="1" w:tplc="417C7DC2" w:tentative="1">
      <w:start w:val="1"/>
      <w:numFmt w:val="upperLetter"/>
      <w:lvlText w:val="(%2)"/>
      <w:lvlJc w:val="left"/>
      <w:pPr>
        <w:tabs>
          <w:tab w:val="num" w:pos="1440"/>
        </w:tabs>
        <w:ind w:left="1440" w:hanging="360"/>
      </w:pPr>
    </w:lvl>
    <w:lvl w:ilvl="2" w:tplc="D990248A" w:tentative="1">
      <w:start w:val="1"/>
      <w:numFmt w:val="upperLetter"/>
      <w:lvlText w:val="(%3)"/>
      <w:lvlJc w:val="left"/>
      <w:pPr>
        <w:tabs>
          <w:tab w:val="num" w:pos="2160"/>
        </w:tabs>
        <w:ind w:left="2160" w:hanging="360"/>
      </w:pPr>
    </w:lvl>
    <w:lvl w:ilvl="3" w:tplc="096E01DE" w:tentative="1">
      <w:start w:val="1"/>
      <w:numFmt w:val="upperLetter"/>
      <w:lvlText w:val="(%4)"/>
      <w:lvlJc w:val="left"/>
      <w:pPr>
        <w:tabs>
          <w:tab w:val="num" w:pos="2880"/>
        </w:tabs>
        <w:ind w:left="2880" w:hanging="360"/>
      </w:pPr>
    </w:lvl>
    <w:lvl w:ilvl="4" w:tplc="FA94A17A" w:tentative="1">
      <w:start w:val="1"/>
      <w:numFmt w:val="upperLetter"/>
      <w:lvlText w:val="(%5)"/>
      <w:lvlJc w:val="left"/>
      <w:pPr>
        <w:tabs>
          <w:tab w:val="num" w:pos="3600"/>
        </w:tabs>
        <w:ind w:left="3600" w:hanging="360"/>
      </w:pPr>
    </w:lvl>
    <w:lvl w:ilvl="5" w:tplc="6B0AC78E" w:tentative="1">
      <w:start w:val="1"/>
      <w:numFmt w:val="upperLetter"/>
      <w:lvlText w:val="(%6)"/>
      <w:lvlJc w:val="left"/>
      <w:pPr>
        <w:tabs>
          <w:tab w:val="num" w:pos="4320"/>
        </w:tabs>
        <w:ind w:left="4320" w:hanging="360"/>
      </w:pPr>
    </w:lvl>
    <w:lvl w:ilvl="6" w:tplc="35F8C22C" w:tentative="1">
      <w:start w:val="1"/>
      <w:numFmt w:val="upperLetter"/>
      <w:lvlText w:val="(%7)"/>
      <w:lvlJc w:val="left"/>
      <w:pPr>
        <w:tabs>
          <w:tab w:val="num" w:pos="5040"/>
        </w:tabs>
        <w:ind w:left="5040" w:hanging="360"/>
      </w:pPr>
    </w:lvl>
    <w:lvl w:ilvl="7" w:tplc="C68C6920" w:tentative="1">
      <w:start w:val="1"/>
      <w:numFmt w:val="upperLetter"/>
      <w:lvlText w:val="(%8)"/>
      <w:lvlJc w:val="left"/>
      <w:pPr>
        <w:tabs>
          <w:tab w:val="num" w:pos="5760"/>
        </w:tabs>
        <w:ind w:left="5760" w:hanging="360"/>
      </w:pPr>
    </w:lvl>
    <w:lvl w:ilvl="8" w:tplc="74127612" w:tentative="1">
      <w:start w:val="1"/>
      <w:numFmt w:val="upperLetter"/>
      <w:lvlText w:val="(%9)"/>
      <w:lvlJc w:val="left"/>
      <w:pPr>
        <w:tabs>
          <w:tab w:val="num" w:pos="6480"/>
        </w:tabs>
        <w:ind w:left="6480" w:hanging="360"/>
      </w:pPr>
    </w:lvl>
  </w:abstractNum>
  <w:abstractNum w:abstractNumId="5" w15:restartNumberingAfterBreak="0">
    <w:nsid w:val="4BF24275"/>
    <w:multiLevelType w:val="hybridMultilevel"/>
    <w:tmpl w:val="8E38865C"/>
    <w:lvl w:ilvl="0" w:tplc="10A298BA">
      <w:start w:val="1"/>
      <w:numFmt w:val="upperLetter"/>
      <w:lvlText w:val="%1."/>
      <w:lvlJc w:val="left"/>
      <w:pPr>
        <w:tabs>
          <w:tab w:val="num" w:pos="720"/>
        </w:tabs>
        <w:ind w:left="720" w:hanging="360"/>
      </w:pPr>
    </w:lvl>
    <w:lvl w:ilvl="1" w:tplc="BB8093EE" w:tentative="1">
      <w:start w:val="1"/>
      <w:numFmt w:val="upperLetter"/>
      <w:lvlText w:val="%2."/>
      <w:lvlJc w:val="left"/>
      <w:pPr>
        <w:tabs>
          <w:tab w:val="num" w:pos="1440"/>
        </w:tabs>
        <w:ind w:left="1440" w:hanging="360"/>
      </w:pPr>
    </w:lvl>
    <w:lvl w:ilvl="2" w:tplc="B0EE3226" w:tentative="1">
      <w:start w:val="1"/>
      <w:numFmt w:val="upperLetter"/>
      <w:lvlText w:val="%3."/>
      <w:lvlJc w:val="left"/>
      <w:pPr>
        <w:tabs>
          <w:tab w:val="num" w:pos="2160"/>
        </w:tabs>
        <w:ind w:left="2160" w:hanging="360"/>
      </w:pPr>
    </w:lvl>
    <w:lvl w:ilvl="3" w:tplc="58623D34" w:tentative="1">
      <w:start w:val="1"/>
      <w:numFmt w:val="upperLetter"/>
      <w:lvlText w:val="%4."/>
      <w:lvlJc w:val="left"/>
      <w:pPr>
        <w:tabs>
          <w:tab w:val="num" w:pos="2880"/>
        </w:tabs>
        <w:ind w:left="2880" w:hanging="360"/>
      </w:pPr>
    </w:lvl>
    <w:lvl w:ilvl="4" w:tplc="7788066E" w:tentative="1">
      <w:start w:val="1"/>
      <w:numFmt w:val="upperLetter"/>
      <w:lvlText w:val="%5."/>
      <w:lvlJc w:val="left"/>
      <w:pPr>
        <w:tabs>
          <w:tab w:val="num" w:pos="3600"/>
        </w:tabs>
        <w:ind w:left="3600" w:hanging="360"/>
      </w:pPr>
    </w:lvl>
    <w:lvl w:ilvl="5" w:tplc="01ECF1B2" w:tentative="1">
      <w:start w:val="1"/>
      <w:numFmt w:val="upperLetter"/>
      <w:lvlText w:val="%6."/>
      <w:lvlJc w:val="left"/>
      <w:pPr>
        <w:tabs>
          <w:tab w:val="num" w:pos="4320"/>
        </w:tabs>
        <w:ind w:left="4320" w:hanging="360"/>
      </w:pPr>
    </w:lvl>
    <w:lvl w:ilvl="6" w:tplc="D99CD25A" w:tentative="1">
      <w:start w:val="1"/>
      <w:numFmt w:val="upperLetter"/>
      <w:lvlText w:val="%7."/>
      <w:lvlJc w:val="left"/>
      <w:pPr>
        <w:tabs>
          <w:tab w:val="num" w:pos="5040"/>
        </w:tabs>
        <w:ind w:left="5040" w:hanging="360"/>
      </w:pPr>
    </w:lvl>
    <w:lvl w:ilvl="7" w:tplc="4372C572" w:tentative="1">
      <w:start w:val="1"/>
      <w:numFmt w:val="upperLetter"/>
      <w:lvlText w:val="%8."/>
      <w:lvlJc w:val="left"/>
      <w:pPr>
        <w:tabs>
          <w:tab w:val="num" w:pos="5760"/>
        </w:tabs>
        <w:ind w:left="5760" w:hanging="360"/>
      </w:pPr>
    </w:lvl>
    <w:lvl w:ilvl="8" w:tplc="21AAFA20" w:tentative="1">
      <w:start w:val="1"/>
      <w:numFmt w:val="upperLetter"/>
      <w:lvlText w:val="%9."/>
      <w:lvlJc w:val="left"/>
      <w:pPr>
        <w:tabs>
          <w:tab w:val="num" w:pos="6480"/>
        </w:tabs>
        <w:ind w:left="6480" w:hanging="360"/>
      </w:pPr>
    </w:lvl>
  </w:abstractNum>
  <w:abstractNum w:abstractNumId="6" w15:restartNumberingAfterBreak="0">
    <w:nsid w:val="70B05A93"/>
    <w:multiLevelType w:val="hybridMultilevel"/>
    <w:tmpl w:val="DE0E446C"/>
    <w:lvl w:ilvl="0" w:tplc="3162D190">
      <w:start w:val="1"/>
      <w:numFmt w:val="upperLetter"/>
      <w:lvlText w:val="(%1)"/>
      <w:lvlJc w:val="left"/>
      <w:pPr>
        <w:tabs>
          <w:tab w:val="num" w:pos="720"/>
        </w:tabs>
        <w:ind w:left="720" w:hanging="360"/>
      </w:pPr>
    </w:lvl>
    <w:lvl w:ilvl="1" w:tplc="41E2F96A" w:tentative="1">
      <w:start w:val="1"/>
      <w:numFmt w:val="upperLetter"/>
      <w:lvlText w:val="(%2)"/>
      <w:lvlJc w:val="left"/>
      <w:pPr>
        <w:tabs>
          <w:tab w:val="num" w:pos="1440"/>
        </w:tabs>
        <w:ind w:left="1440" w:hanging="360"/>
      </w:pPr>
    </w:lvl>
    <w:lvl w:ilvl="2" w:tplc="0FD47C36" w:tentative="1">
      <w:start w:val="1"/>
      <w:numFmt w:val="upperLetter"/>
      <w:lvlText w:val="(%3)"/>
      <w:lvlJc w:val="left"/>
      <w:pPr>
        <w:tabs>
          <w:tab w:val="num" w:pos="2160"/>
        </w:tabs>
        <w:ind w:left="2160" w:hanging="360"/>
      </w:pPr>
    </w:lvl>
    <w:lvl w:ilvl="3" w:tplc="C5968D98" w:tentative="1">
      <w:start w:val="1"/>
      <w:numFmt w:val="upperLetter"/>
      <w:lvlText w:val="(%4)"/>
      <w:lvlJc w:val="left"/>
      <w:pPr>
        <w:tabs>
          <w:tab w:val="num" w:pos="2880"/>
        </w:tabs>
        <w:ind w:left="2880" w:hanging="360"/>
      </w:pPr>
    </w:lvl>
    <w:lvl w:ilvl="4" w:tplc="9334CB06" w:tentative="1">
      <w:start w:val="1"/>
      <w:numFmt w:val="upperLetter"/>
      <w:lvlText w:val="(%5)"/>
      <w:lvlJc w:val="left"/>
      <w:pPr>
        <w:tabs>
          <w:tab w:val="num" w:pos="3600"/>
        </w:tabs>
        <w:ind w:left="3600" w:hanging="360"/>
      </w:pPr>
    </w:lvl>
    <w:lvl w:ilvl="5" w:tplc="20769F0C" w:tentative="1">
      <w:start w:val="1"/>
      <w:numFmt w:val="upperLetter"/>
      <w:lvlText w:val="(%6)"/>
      <w:lvlJc w:val="left"/>
      <w:pPr>
        <w:tabs>
          <w:tab w:val="num" w:pos="4320"/>
        </w:tabs>
        <w:ind w:left="4320" w:hanging="360"/>
      </w:pPr>
    </w:lvl>
    <w:lvl w:ilvl="6" w:tplc="0F50BF68" w:tentative="1">
      <w:start w:val="1"/>
      <w:numFmt w:val="upperLetter"/>
      <w:lvlText w:val="(%7)"/>
      <w:lvlJc w:val="left"/>
      <w:pPr>
        <w:tabs>
          <w:tab w:val="num" w:pos="5040"/>
        </w:tabs>
        <w:ind w:left="5040" w:hanging="360"/>
      </w:pPr>
    </w:lvl>
    <w:lvl w:ilvl="7" w:tplc="A89253A8" w:tentative="1">
      <w:start w:val="1"/>
      <w:numFmt w:val="upperLetter"/>
      <w:lvlText w:val="(%8)"/>
      <w:lvlJc w:val="left"/>
      <w:pPr>
        <w:tabs>
          <w:tab w:val="num" w:pos="5760"/>
        </w:tabs>
        <w:ind w:left="5760" w:hanging="360"/>
      </w:pPr>
    </w:lvl>
    <w:lvl w:ilvl="8" w:tplc="ACEA0B36" w:tentative="1">
      <w:start w:val="1"/>
      <w:numFmt w:val="upperLetter"/>
      <w:lvlText w:val="(%9)"/>
      <w:lvlJc w:val="left"/>
      <w:pPr>
        <w:tabs>
          <w:tab w:val="num" w:pos="6480"/>
        </w:tabs>
        <w:ind w:left="6480" w:hanging="360"/>
      </w:pPr>
    </w:lvl>
  </w:abstractNum>
  <w:num w:numId="1" w16cid:durableId="1116368560">
    <w:abstractNumId w:val="6"/>
  </w:num>
  <w:num w:numId="2" w16cid:durableId="102070059">
    <w:abstractNumId w:val="0"/>
  </w:num>
  <w:num w:numId="3" w16cid:durableId="1682197909">
    <w:abstractNumId w:val="3"/>
  </w:num>
  <w:num w:numId="4" w16cid:durableId="101581300">
    <w:abstractNumId w:val="1"/>
  </w:num>
  <w:num w:numId="5" w16cid:durableId="330178391">
    <w:abstractNumId w:val="5"/>
  </w:num>
  <w:num w:numId="6" w16cid:durableId="1554344574">
    <w:abstractNumId w:val="2"/>
  </w:num>
  <w:num w:numId="7" w16cid:durableId="411707634">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han, Yao">
    <w15:presenceInfo w15:providerId="AD" w15:userId="S::yao.zhan@abbvie.com::16807fab-9a3c-40ab-b13e-b46843d6386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8A2"/>
    <w:rsid w:val="000044B9"/>
    <w:rsid w:val="000049D7"/>
    <w:rsid w:val="0001011C"/>
    <w:rsid w:val="000105B9"/>
    <w:rsid w:val="00010B1E"/>
    <w:rsid w:val="000127B0"/>
    <w:rsid w:val="000138A9"/>
    <w:rsid w:val="00013BC5"/>
    <w:rsid w:val="000160A6"/>
    <w:rsid w:val="0002343C"/>
    <w:rsid w:val="000240EB"/>
    <w:rsid w:val="00034301"/>
    <w:rsid w:val="00035CF6"/>
    <w:rsid w:val="0004420E"/>
    <w:rsid w:val="000453A5"/>
    <w:rsid w:val="000509CC"/>
    <w:rsid w:val="00053C0E"/>
    <w:rsid w:val="00056F42"/>
    <w:rsid w:val="000619E6"/>
    <w:rsid w:val="00065D6C"/>
    <w:rsid w:val="000660B6"/>
    <w:rsid w:val="00071304"/>
    <w:rsid w:val="000764F2"/>
    <w:rsid w:val="00077E33"/>
    <w:rsid w:val="0008156D"/>
    <w:rsid w:val="00084EF3"/>
    <w:rsid w:val="0008555E"/>
    <w:rsid w:val="000902D5"/>
    <w:rsid w:val="0009111A"/>
    <w:rsid w:val="00095269"/>
    <w:rsid w:val="000971D6"/>
    <w:rsid w:val="00097ACB"/>
    <w:rsid w:val="000A078D"/>
    <w:rsid w:val="000A53ED"/>
    <w:rsid w:val="000A63E2"/>
    <w:rsid w:val="000B6A4F"/>
    <w:rsid w:val="000C64A5"/>
    <w:rsid w:val="000C720E"/>
    <w:rsid w:val="000D0CBE"/>
    <w:rsid w:val="000D2CE7"/>
    <w:rsid w:val="000D2EEB"/>
    <w:rsid w:val="000D43C4"/>
    <w:rsid w:val="000E0B0E"/>
    <w:rsid w:val="000E12D8"/>
    <w:rsid w:val="000E2B41"/>
    <w:rsid w:val="000E4CAE"/>
    <w:rsid w:val="000F6868"/>
    <w:rsid w:val="00102809"/>
    <w:rsid w:val="0010652C"/>
    <w:rsid w:val="00114171"/>
    <w:rsid w:val="0011570F"/>
    <w:rsid w:val="00116373"/>
    <w:rsid w:val="00116743"/>
    <w:rsid w:val="00120269"/>
    <w:rsid w:val="00122CEF"/>
    <w:rsid w:val="00130309"/>
    <w:rsid w:val="00132961"/>
    <w:rsid w:val="00141F2B"/>
    <w:rsid w:val="0014239D"/>
    <w:rsid w:val="001444D3"/>
    <w:rsid w:val="00144C5A"/>
    <w:rsid w:val="00146146"/>
    <w:rsid w:val="001548A5"/>
    <w:rsid w:val="00155440"/>
    <w:rsid w:val="00165068"/>
    <w:rsid w:val="00165197"/>
    <w:rsid w:val="00165A24"/>
    <w:rsid w:val="00171F52"/>
    <w:rsid w:val="00172734"/>
    <w:rsid w:val="00182B9C"/>
    <w:rsid w:val="00186F33"/>
    <w:rsid w:val="001902E7"/>
    <w:rsid w:val="00194ADB"/>
    <w:rsid w:val="001959CC"/>
    <w:rsid w:val="001A08A2"/>
    <w:rsid w:val="001A4702"/>
    <w:rsid w:val="001B2B85"/>
    <w:rsid w:val="001B5243"/>
    <w:rsid w:val="001B524B"/>
    <w:rsid w:val="001B5C66"/>
    <w:rsid w:val="001B7FF4"/>
    <w:rsid w:val="001C0263"/>
    <w:rsid w:val="001C33EA"/>
    <w:rsid w:val="001C3B13"/>
    <w:rsid w:val="001C4032"/>
    <w:rsid w:val="001C498A"/>
    <w:rsid w:val="001D1E07"/>
    <w:rsid w:val="001D29C9"/>
    <w:rsid w:val="001E40F6"/>
    <w:rsid w:val="001E5618"/>
    <w:rsid w:val="001E7AF3"/>
    <w:rsid w:val="001F2BEC"/>
    <w:rsid w:val="00205A5D"/>
    <w:rsid w:val="00207579"/>
    <w:rsid w:val="00216F7B"/>
    <w:rsid w:val="00222D71"/>
    <w:rsid w:val="00230A98"/>
    <w:rsid w:val="0024128C"/>
    <w:rsid w:val="002427F4"/>
    <w:rsid w:val="002438B2"/>
    <w:rsid w:val="00244A64"/>
    <w:rsid w:val="00247A10"/>
    <w:rsid w:val="0025448A"/>
    <w:rsid w:val="0025508F"/>
    <w:rsid w:val="00255A23"/>
    <w:rsid w:val="0025621E"/>
    <w:rsid w:val="00256EB1"/>
    <w:rsid w:val="0026189F"/>
    <w:rsid w:val="002766B0"/>
    <w:rsid w:val="00280E2F"/>
    <w:rsid w:val="00285F26"/>
    <w:rsid w:val="00286C94"/>
    <w:rsid w:val="002877DD"/>
    <w:rsid w:val="00293114"/>
    <w:rsid w:val="00293126"/>
    <w:rsid w:val="002A06B5"/>
    <w:rsid w:val="002A1F3F"/>
    <w:rsid w:val="002A31FF"/>
    <w:rsid w:val="002A5F28"/>
    <w:rsid w:val="002B12D6"/>
    <w:rsid w:val="002B1423"/>
    <w:rsid w:val="002B61DE"/>
    <w:rsid w:val="002B6365"/>
    <w:rsid w:val="002B7304"/>
    <w:rsid w:val="002C05EE"/>
    <w:rsid w:val="002C3A67"/>
    <w:rsid w:val="002D05E3"/>
    <w:rsid w:val="002D19B9"/>
    <w:rsid w:val="002E20D1"/>
    <w:rsid w:val="002E2F07"/>
    <w:rsid w:val="002E489E"/>
    <w:rsid w:val="002E6012"/>
    <w:rsid w:val="002F26FC"/>
    <w:rsid w:val="002F3090"/>
    <w:rsid w:val="002F3720"/>
    <w:rsid w:val="00302E7A"/>
    <w:rsid w:val="00305843"/>
    <w:rsid w:val="003075CF"/>
    <w:rsid w:val="00310DCC"/>
    <w:rsid w:val="00311D48"/>
    <w:rsid w:val="00330431"/>
    <w:rsid w:val="0033254B"/>
    <w:rsid w:val="00333CE4"/>
    <w:rsid w:val="00336312"/>
    <w:rsid w:val="00337465"/>
    <w:rsid w:val="00351D5F"/>
    <w:rsid w:val="003615A3"/>
    <w:rsid w:val="003665C7"/>
    <w:rsid w:val="00373DAA"/>
    <w:rsid w:val="0037539E"/>
    <w:rsid w:val="00375BFA"/>
    <w:rsid w:val="00381ED4"/>
    <w:rsid w:val="00383D04"/>
    <w:rsid w:val="00390B6E"/>
    <w:rsid w:val="00390C69"/>
    <w:rsid w:val="00391C69"/>
    <w:rsid w:val="00393CE4"/>
    <w:rsid w:val="003A0697"/>
    <w:rsid w:val="003A08A4"/>
    <w:rsid w:val="003A2595"/>
    <w:rsid w:val="003A3FB0"/>
    <w:rsid w:val="003A4D8D"/>
    <w:rsid w:val="003A5CAB"/>
    <w:rsid w:val="003B0575"/>
    <w:rsid w:val="003B7461"/>
    <w:rsid w:val="003B747F"/>
    <w:rsid w:val="003C1ED2"/>
    <w:rsid w:val="003C6A63"/>
    <w:rsid w:val="003D0493"/>
    <w:rsid w:val="003D2CF7"/>
    <w:rsid w:val="003D488A"/>
    <w:rsid w:val="003D5804"/>
    <w:rsid w:val="003E1D04"/>
    <w:rsid w:val="003E3677"/>
    <w:rsid w:val="003E370D"/>
    <w:rsid w:val="003E71FF"/>
    <w:rsid w:val="003E7489"/>
    <w:rsid w:val="003F045F"/>
    <w:rsid w:val="003F0833"/>
    <w:rsid w:val="004013DE"/>
    <w:rsid w:val="00406E34"/>
    <w:rsid w:val="00410EED"/>
    <w:rsid w:val="0042078C"/>
    <w:rsid w:val="00420DBD"/>
    <w:rsid w:val="00421CF8"/>
    <w:rsid w:val="00425FC9"/>
    <w:rsid w:val="004270BB"/>
    <w:rsid w:val="00434F41"/>
    <w:rsid w:val="0044312C"/>
    <w:rsid w:val="00444827"/>
    <w:rsid w:val="00445722"/>
    <w:rsid w:val="00450C79"/>
    <w:rsid w:val="00457367"/>
    <w:rsid w:val="00462DE2"/>
    <w:rsid w:val="004642EB"/>
    <w:rsid w:val="00464FCF"/>
    <w:rsid w:val="004736FB"/>
    <w:rsid w:val="00474CAE"/>
    <w:rsid w:val="0047646B"/>
    <w:rsid w:val="0047646C"/>
    <w:rsid w:val="00477D00"/>
    <w:rsid w:val="00486E6D"/>
    <w:rsid w:val="00486FA1"/>
    <w:rsid w:val="00492066"/>
    <w:rsid w:val="0049387B"/>
    <w:rsid w:val="004941D8"/>
    <w:rsid w:val="00496FE1"/>
    <w:rsid w:val="004A01E7"/>
    <w:rsid w:val="004A20E2"/>
    <w:rsid w:val="004A3187"/>
    <w:rsid w:val="004A40BE"/>
    <w:rsid w:val="004A6255"/>
    <w:rsid w:val="004B3C75"/>
    <w:rsid w:val="004B63F3"/>
    <w:rsid w:val="004C45EF"/>
    <w:rsid w:val="004D6AA2"/>
    <w:rsid w:val="004D7C49"/>
    <w:rsid w:val="004E45D9"/>
    <w:rsid w:val="004E53A6"/>
    <w:rsid w:val="004E6D5D"/>
    <w:rsid w:val="004E76C8"/>
    <w:rsid w:val="004F1032"/>
    <w:rsid w:val="004F3C78"/>
    <w:rsid w:val="00516B79"/>
    <w:rsid w:val="00521B85"/>
    <w:rsid w:val="005224AE"/>
    <w:rsid w:val="005276F2"/>
    <w:rsid w:val="00530221"/>
    <w:rsid w:val="00530689"/>
    <w:rsid w:val="0053220B"/>
    <w:rsid w:val="00532EF8"/>
    <w:rsid w:val="00537996"/>
    <w:rsid w:val="0055149F"/>
    <w:rsid w:val="00555D52"/>
    <w:rsid w:val="00556839"/>
    <w:rsid w:val="00557BFE"/>
    <w:rsid w:val="005609C3"/>
    <w:rsid w:val="00575601"/>
    <w:rsid w:val="00576E71"/>
    <w:rsid w:val="00580CCA"/>
    <w:rsid w:val="00584BF8"/>
    <w:rsid w:val="00585943"/>
    <w:rsid w:val="0059092D"/>
    <w:rsid w:val="00593267"/>
    <w:rsid w:val="005941F0"/>
    <w:rsid w:val="00596F44"/>
    <w:rsid w:val="005A0E32"/>
    <w:rsid w:val="005A2185"/>
    <w:rsid w:val="005A2E9B"/>
    <w:rsid w:val="005A5D42"/>
    <w:rsid w:val="005A7822"/>
    <w:rsid w:val="005B1DB1"/>
    <w:rsid w:val="005B7C25"/>
    <w:rsid w:val="005C39DE"/>
    <w:rsid w:val="005C44D1"/>
    <w:rsid w:val="005C7ECF"/>
    <w:rsid w:val="005D6C20"/>
    <w:rsid w:val="005D7D0C"/>
    <w:rsid w:val="005E1C75"/>
    <w:rsid w:val="005E276D"/>
    <w:rsid w:val="005E495F"/>
    <w:rsid w:val="005F2800"/>
    <w:rsid w:val="005F3068"/>
    <w:rsid w:val="005F7733"/>
    <w:rsid w:val="00615F98"/>
    <w:rsid w:val="0061667F"/>
    <w:rsid w:val="006173E5"/>
    <w:rsid w:val="00624FB2"/>
    <w:rsid w:val="00625A41"/>
    <w:rsid w:val="0062726B"/>
    <w:rsid w:val="0063019E"/>
    <w:rsid w:val="00630B14"/>
    <w:rsid w:val="00633213"/>
    <w:rsid w:val="00642336"/>
    <w:rsid w:val="00642D61"/>
    <w:rsid w:val="0064770A"/>
    <w:rsid w:val="006536D6"/>
    <w:rsid w:val="0065699A"/>
    <w:rsid w:val="0066085A"/>
    <w:rsid w:val="00666B15"/>
    <w:rsid w:val="00674FD2"/>
    <w:rsid w:val="006772DB"/>
    <w:rsid w:val="00685DBD"/>
    <w:rsid w:val="00686D3C"/>
    <w:rsid w:val="00693767"/>
    <w:rsid w:val="006938B2"/>
    <w:rsid w:val="006C1A71"/>
    <w:rsid w:val="006D1647"/>
    <w:rsid w:val="006D21C7"/>
    <w:rsid w:val="006D2C10"/>
    <w:rsid w:val="006D338D"/>
    <w:rsid w:val="006D3A18"/>
    <w:rsid w:val="006D41E1"/>
    <w:rsid w:val="006D64F4"/>
    <w:rsid w:val="006D6CA9"/>
    <w:rsid w:val="006D7C49"/>
    <w:rsid w:val="006E364F"/>
    <w:rsid w:val="006E3C3A"/>
    <w:rsid w:val="006E4FD9"/>
    <w:rsid w:val="006E5346"/>
    <w:rsid w:val="006E6B0C"/>
    <w:rsid w:val="006F7AB1"/>
    <w:rsid w:val="00701783"/>
    <w:rsid w:val="00701D67"/>
    <w:rsid w:val="00703B30"/>
    <w:rsid w:val="0070742F"/>
    <w:rsid w:val="00712835"/>
    <w:rsid w:val="007164B6"/>
    <w:rsid w:val="007165D6"/>
    <w:rsid w:val="00720B75"/>
    <w:rsid w:val="0072367C"/>
    <w:rsid w:val="007247DA"/>
    <w:rsid w:val="007308C0"/>
    <w:rsid w:val="00732693"/>
    <w:rsid w:val="00734738"/>
    <w:rsid w:val="007350C4"/>
    <w:rsid w:val="00735884"/>
    <w:rsid w:val="00736AF8"/>
    <w:rsid w:val="0073703B"/>
    <w:rsid w:val="0073771D"/>
    <w:rsid w:val="00742181"/>
    <w:rsid w:val="0074391A"/>
    <w:rsid w:val="007459F7"/>
    <w:rsid w:val="00762584"/>
    <w:rsid w:val="007625A4"/>
    <w:rsid w:val="00762B42"/>
    <w:rsid w:val="0077246D"/>
    <w:rsid w:val="00773DC6"/>
    <w:rsid w:val="0077513D"/>
    <w:rsid w:val="00784675"/>
    <w:rsid w:val="00787319"/>
    <w:rsid w:val="00787A00"/>
    <w:rsid w:val="00790D75"/>
    <w:rsid w:val="0079153F"/>
    <w:rsid w:val="00797198"/>
    <w:rsid w:val="00797DCC"/>
    <w:rsid w:val="007A0682"/>
    <w:rsid w:val="007A0A0E"/>
    <w:rsid w:val="007A7490"/>
    <w:rsid w:val="007B12BB"/>
    <w:rsid w:val="007B1CE9"/>
    <w:rsid w:val="007B6CBF"/>
    <w:rsid w:val="007C2350"/>
    <w:rsid w:val="007C48D9"/>
    <w:rsid w:val="007C6D18"/>
    <w:rsid w:val="007D3516"/>
    <w:rsid w:val="007D7341"/>
    <w:rsid w:val="007E6A96"/>
    <w:rsid w:val="007E7813"/>
    <w:rsid w:val="007F221D"/>
    <w:rsid w:val="007F3F46"/>
    <w:rsid w:val="007F5683"/>
    <w:rsid w:val="00804705"/>
    <w:rsid w:val="00812295"/>
    <w:rsid w:val="00824FAF"/>
    <w:rsid w:val="00830A7A"/>
    <w:rsid w:val="00831901"/>
    <w:rsid w:val="0083469F"/>
    <w:rsid w:val="00841348"/>
    <w:rsid w:val="008420EB"/>
    <w:rsid w:val="00845AD8"/>
    <w:rsid w:val="008479F6"/>
    <w:rsid w:val="00847D3A"/>
    <w:rsid w:val="00851FEA"/>
    <w:rsid w:val="008771D0"/>
    <w:rsid w:val="00893486"/>
    <w:rsid w:val="00894B66"/>
    <w:rsid w:val="008A1781"/>
    <w:rsid w:val="008A1918"/>
    <w:rsid w:val="008A4AB1"/>
    <w:rsid w:val="008A5367"/>
    <w:rsid w:val="008B3502"/>
    <w:rsid w:val="008C7B02"/>
    <w:rsid w:val="008D2089"/>
    <w:rsid w:val="008D29F2"/>
    <w:rsid w:val="008D5F9D"/>
    <w:rsid w:val="008E1A1C"/>
    <w:rsid w:val="008E2EAC"/>
    <w:rsid w:val="008F386C"/>
    <w:rsid w:val="008F3E7B"/>
    <w:rsid w:val="008F6693"/>
    <w:rsid w:val="009009D5"/>
    <w:rsid w:val="009034F0"/>
    <w:rsid w:val="009041BC"/>
    <w:rsid w:val="00914ED1"/>
    <w:rsid w:val="0092064D"/>
    <w:rsid w:val="00921F46"/>
    <w:rsid w:val="00924D61"/>
    <w:rsid w:val="00925B67"/>
    <w:rsid w:val="0093047C"/>
    <w:rsid w:val="00937207"/>
    <w:rsid w:val="009429AC"/>
    <w:rsid w:val="00942CFF"/>
    <w:rsid w:val="00942EF4"/>
    <w:rsid w:val="009436C4"/>
    <w:rsid w:val="00954D49"/>
    <w:rsid w:val="009551C2"/>
    <w:rsid w:val="00961378"/>
    <w:rsid w:val="00962BB0"/>
    <w:rsid w:val="00964B69"/>
    <w:rsid w:val="009661A2"/>
    <w:rsid w:val="00970741"/>
    <w:rsid w:val="0097377C"/>
    <w:rsid w:val="00974503"/>
    <w:rsid w:val="00974EAC"/>
    <w:rsid w:val="00975350"/>
    <w:rsid w:val="00977728"/>
    <w:rsid w:val="0098652F"/>
    <w:rsid w:val="009927E5"/>
    <w:rsid w:val="00992D71"/>
    <w:rsid w:val="009936AD"/>
    <w:rsid w:val="00994EB0"/>
    <w:rsid w:val="009A0610"/>
    <w:rsid w:val="009A1CE5"/>
    <w:rsid w:val="009A3710"/>
    <w:rsid w:val="009A4184"/>
    <w:rsid w:val="009A5C8A"/>
    <w:rsid w:val="009B5D3B"/>
    <w:rsid w:val="009C038F"/>
    <w:rsid w:val="009C18E3"/>
    <w:rsid w:val="009D17EF"/>
    <w:rsid w:val="009D2EF3"/>
    <w:rsid w:val="009D3397"/>
    <w:rsid w:val="009D3EF8"/>
    <w:rsid w:val="009E15AE"/>
    <w:rsid w:val="009E2082"/>
    <w:rsid w:val="009E389D"/>
    <w:rsid w:val="009F0884"/>
    <w:rsid w:val="009F0C0B"/>
    <w:rsid w:val="009F3210"/>
    <w:rsid w:val="00A016B7"/>
    <w:rsid w:val="00A01B83"/>
    <w:rsid w:val="00A02F03"/>
    <w:rsid w:val="00A037FB"/>
    <w:rsid w:val="00A04643"/>
    <w:rsid w:val="00A05474"/>
    <w:rsid w:val="00A07AC2"/>
    <w:rsid w:val="00A151E5"/>
    <w:rsid w:val="00A16F50"/>
    <w:rsid w:val="00A17FC7"/>
    <w:rsid w:val="00A20DCF"/>
    <w:rsid w:val="00A21612"/>
    <w:rsid w:val="00A25E4E"/>
    <w:rsid w:val="00A307B2"/>
    <w:rsid w:val="00A33468"/>
    <w:rsid w:val="00A33D87"/>
    <w:rsid w:val="00A37BED"/>
    <w:rsid w:val="00A41E47"/>
    <w:rsid w:val="00A55360"/>
    <w:rsid w:val="00A553FE"/>
    <w:rsid w:val="00A556B5"/>
    <w:rsid w:val="00A62134"/>
    <w:rsid w:val="00A70D40"/>
    <w:rsid w:val="00A71E46"/>
    <w:rsid w:val="00A74159"/>
    <w:rsid w:val="00A7552E"/>
    <w:rsid w:val="00A772D0"/>
    <w:rsid w:val="00A8137F"/>
    <w:rsid w:val="00A81991"/>
    <w:rsid w:val="00A81C46"/>
    <w:rsid w:val="00A903A4"/>
    <w:rsid w:val="00A9657E"/>
    <w:rsid w:val="00AA54B5"/>
    <w:rsid w:val="00AA7A6A"/>
    <w:rsid w:val="00AB260F"/>
    <w:rsid w:val="00AB448C"/>
    <w:rsid w:val="00AC3BF6"/>
    <w:rsid w:val="00AC4200"/>
    <w:rsid w:val="00AC64B7"/>
    <w:rsid w:val="00AC7E79"/>
    <w:rsid w:val="00AD0298"/>
    <w:rsid w:val="00AD038F"/>
    <w:rsid w:val="00AD1343"/>
    <w:rsid w:val="00AD40C0"/>
    <w:rsid w:val="00AD4824"/>
    <w:rsid w:val="00AE2F26"/>
    <w:rsid w:val="00AE72A8"/>
    <w:rsid w:val="00AF40E0"/>
    <w:rsid w:val="00B01AE3"/>
    <w:rsid w:val="00B06CBA"/>
    <w:rsid w:val="00B07132"/>
    <w:rsid w:val="00B0785D"/>
    <w:rsid w:val="00B12066"/>
    <w:rsid w:val="00B13EBC"/>
    <w:rsid w:val="00B14B84"/>
    <w:rsid w:val="00B30EE9"/>
    <w:rsid w:val="00B31AF4"/>
    <w:rsid w:val="00B32CB5"/>
    <w:rsid w:val="00B35074"/>
    <w:rsid w:val="00B36927"/>
    <w:rsid w:val="00B40AD9"/>
    <w:rsid w:val="00B40E7B"/>
    <w:rsid w:val="00B456A3"/>
    <w:rsid w:val="00B45B18"/>
    <w:rsid w:val="00B50BDF"/>
    <w:rsid w:val="00B50CED"/>
    <w:rsid w:val="00B50F32"/>
    <w:rsid w:val="00B528DB"/>
    <w:rsid w:val="00B53436"/>
    <w:rsid w:val="00B55D40"/>
    <w:rsid w:val="00B564C7"/>
    <w:rsid w:val="00B57F38"/>
    <w:rsid w:val="00B62727"/>
    <w:rsid w:val="00B643FC"/>
    <w:rsid w:val="00B653C4"/>
    <w:rsid w:val="00B669DA"/>
    <w:rsid w:val="00B700EF"/>
    <w:rsid w:val="00B723AD"/>
    <w:rsid w:val="00B76619"/>
    <w:rsid w:val="00B77247"/>
    <w:rsid w:val="00B81EC7"/>
    <w:rsid w:val="00B9116C"/>
    <w:rsid w:val="00B94B50"/>
    <w:rsid w:val="00B95577"/>
    <w:rsid w:val="00B956B3"/>
    <w:rsid w:val="00BA13C9"/>
    <w:rsid w:val="00BA3F67"/>
    <w:rsid w:val="00BB2DBF"/>
    <w:rsid w:val="00BB33B9"/>
    <w:rsid w:val="00BC1946"/>
    <w:rsid w:val="00BC4583"/>
    <w:rsid w:val="00BD2594"/>
    <w:rsid w:val="00BD269B"/>
    <w:rsid w:val="00BD7134"/>
    <w:rsid w:val="00BE40E5"/>
    <w:rsid w:val="00BE4C4D"/>
    <w:rsid w:val="00BF0509"/>
    <w:rsid w:val="00BF1C0C"/>
    <w:rsid w:val="00BF3539"/>
    <w:rsid w:val="00BF37C5"/>
    <w:rsid w:val="00BF6159"/>
    <w:rsid w:val="00BF7312"/>
    <w:rsid w:val="00C02AA0"/>
    <w:rsid w:val="00C04286"/>
    <w:rsid w:val="00C048B0"/>
    <w:rsid w:val="00C05CBE"/>
    <w:rsid w:val="00C1352F"/>
    <w:rsid w:val="00C1565A"/>
    <w:rsid w:val="00C20927"/>
    <w:rsid w:val="00C20A26"/>
    <w:rsid w:val="00C2119D"/>
    <w:rsid w:val="00C23244"/>
    <w:rsid w:val="00C23F3F"/>
    <w:rsid w:val="00C25006"/>
    <w:rsid w:val="00C25163"/>
    <w:rsid w:val="00C33E4E"/>
    <w:rsid w:val="00C346E8"/>
    <w:rsid w:val="00C34EDE"/>
    <w:rsid w:val="00C357E1"/>
    <w:rsid w:val="00C37C6C"/>
    <w:rsid w:val="00C37E8A"/>
    <w:rsid w:val="00C41751"/>
    <w:rsid w:val="00C43788"/>
    <w:rsid w:val="00C43988"/>
    <w:rsid w:val="00C44DBE"/>
    <w:rsid w:val="00C47E73"/>
    <w:rsid w:val="00C50565"/>
    <w:rsid w:val="00C51059"/>
    <w:rsid w:val="00C5109A"/>
    <w:rsid w:val="00C52CDA"/>
    <w:rsid w:val="00C5379D"/>
    <w:rsid w:val="00C60C09"/>
    <w:rsid w:val="00C65D33"/>
    <w:rsid w:val="00C6743B"/>
    <w:rsid w:val="00C71B00"/>
    <w:rsid w:val="00C76309"/>
    <w:rsid w:val="00C77A49"/>
    <w:rsid w:val="00C81531"/>
    <w:rsid w:val="00C87A1D"/>
    <w:rsid w:val="00C91674"/>
    <w:rsid w:val="00C919D4"/>
    <w:rsid w:val="00C94DA7"/>
    <w:rsid w:val="00C95C42"/>
    <w:rsid w:val="00C97CD7"/>
    <w:rsid w:val="00CA339D"/>
    <w:rsid w:val="00CA79D1"/>
    <w:rsid w:val="00CB2AF8"/>
    <w:rsid w:val="00CB4A02"/>
    <w:rsid w:val="00CB4C94"/>
    <w:rsid w:val="00CB70B9"/>
    <w:rsid w:val="00CB7E02"/>
    <w:rsid w:val="00CC43FE"/>
    <w:rsid w:val="00CE125A"/>
    <w:rsid w:val="00CE2363"/>
    <w:rsid w:val="00CE3CD4"/>
    <w:rsid w:val="00CE5F01"/>
    <w:rsid w:val="00CE71B7"/>
    <w:rsid w:val="00CE7C51"/>
    <w:rsid w:val="00CF12F3"/>
    <w:rsid w:val="00CF1694"/>
    <w:rsid w:val="00CF3230"/>
    <w:rsid w:val="00D05946"/>
    <w:rsid w:val="00D0650F"/>
    <w:rsid w:val="00D11E88"/>
    <w:rsid w:val="00D14454"/>
    <w:rsid w:val="00D2011A"/>
    <w:rsid w:val="00D23627"/>
    <w:rsid w:val="00D2687C"/>
    <w:rsid w:val="00D27860"/>
    <w:rsid w:val="00D325BB"/>
    <w:rsid w:val="00D36815"/>
    <w:rsid w:val="00D404E3"/>
    <w:rsid w:val="00D416EE"/>
    <w:rsid w:val="00D45A56"/>
    <w:rsid w:val="00D505A7"/>
    <w:rsid w:val="00D505C3"/>
    <w:rsid w:val="00D5485F"/>
    <w:rsid w:val="00D57E14"/>
    <w:rsid w:val="00D75A41"/>
    <w:rsid w:val="00D82CA3"/>
    <w:rsid w:val="00D83623"/>
    <w:rsid w:val="00D85C45"/>
    <w:rsid w:val="00D9161A"/>
    <w:rsid w:val="00D9171F"/>
    <w:rsid w:val="00D95325"/>
    <w:rsid w:val="00D95E8E"/>
    <w:rsid w:val="00D97AD6"/>
    <w:rsid w:val="00DA0AEA"/>
    <w:rsid w:val="00DA7FDE"/>
    <w:rsid w:val="00DB451B"/>
    <w:rsid w:val="00DB6589"/>
    <w:rsid w:val="00DC3AD8"/>
    <w:rsid w:val="00DC4F6F"/>
    <w:rsid w:val="00DC5465"/>
    <w:rsid w:val="00DC5903"/>
    <w:rsid w:val="00DC69EC"/>
    <w:rsid w:val="00DD16F2"/>
    <w:rsid w:val="00DD4E8E"/>
    <w:rsid w:val="00DE0A58"/>
    <w:rsid w:val="00DE3655"/>
    <w:rsid w:val="00DE5961"/>
    <w:rsid w:val="00DE60BC"/>
    <w:rsid w:val="00DF5B6C"/>
    <w:rsid w:val="00E062D6"/>
    <w:rsid w:val="00E10C6A"/>
    <w:rsid w:val="00E12460"/>
    <w:rsid w:val="00E14FA9"/>
    <w:rsid w:val="00E20DB6"/>
    <w:rsid w:val="00E213DC"/>
    <w:rsid w:val="00E2526D"/>
    <w:rsid w:val="00E26521"/>
    <w:rsid w:val="00E44046"/>
    <w:rsid w:val="00E44E10"/>
    <w:rsid w:val="00E45FEC"/>
    <w:rsid w:val="00E515D8"/>
    <w:rsid w:val="00E51A31"/>
    <w:rsid w:val="00E53425"/>
    <w:rsid w:val="00E54325"/>
    <w:rsid w:val="00E5464E"/>
    <w:rsid w:val="00E54B28"/>
    <w:rsid w:val="00E5654C"/>
    <w:rsid w:val="00E717F6"/>
    <w:rsid w:val="00E744ED"/>
    <w:rsid w:val="00E76099"/>
    <w:rsid w:val="00E76384"/>
    <w:rsid w:val="00E804BF"/>
    <w:rsid w:val="00E80B2B"/>
    <w:rsid w:val="00E9474B"/>
    <w:rsid w:val="00E95562"/>
    <w:rsid w:val="00E962F3"/>
    <w:rsid w:val="00EA1B3C"/>
    <w:rsid w:val="00EA2915"/>
    <w:rsid w:val="00EB0EFF"/>
    <w:rsid w:val="00EB2F37"/>
    <w:rsid w:val="00EB37E4"/>
    <w:rsid w:val="00EB7451"/>
    <w:rsid w:val="00EC3FDB"/>
    <w:rsid w:val="00ED0F2C"/>
    <w:rsid w:val="00ED12FA"/>
    <w:rsid w:val="00ED3103"/>
    <w:rsid w:val="00ED4EE9"/>
    <w:rsid w:val="00EE2964"/>
    <w:rsid w:val="00EE2CAC"/>
    <w:rsid w:val="00EE4C0D"/>
    <w:rsid w:val="00EF488F"/>
    <w:rsid w:val="00EF4AFD"/>
    <w:rsid w:val="00EF580C"/>
    <w:rsid w:val="00F013E4"/>
    <w:rsid w:val="00F01F1C"/>
    <w:rsid w:val="00F03A81"/>
    <w:rsid w:val="00F1319D"/>
    <w:rsid w:val="00F15224"/>
    <w:rsid w:val="00F16D03"/>
    <w:rsid w:val="00F24C43"/>
    <w:rsid w:val="00F25200"/>
    <w:rsid w:val="00F33066"/>
    <w:rsid w:val="00F35373"/>
    <w:rsid w:val="00F37344"/>
    <w:rsid w:val="00F4557A"/>
    <w:rsid w:val="00F550A9"/>
    <w:rsid w:val="00F63BDA"/>
    <w:rsid w:val="00F70416"/>
    <w:rsid w:val="00F722B6"/>
    <w:rsid w:val="00F73726"/>
    <w:rsid w:val="00F76B51"/>
    <w:rsid w:val="00F77890"/>
    <w:rsid w:val="00F81BA6"/>
    <w:rsid w:val="00F82101"/>
    <w:rsid w:val="00F844E7"/>
    <w:rsid w:val="00F86BA4"/>
    <w:rsid w:val="00F91E20"/>
    <w:rsid w:val="00F93B1C"/>
    <w:rsid w:val="00F95F71"/>
    <w:rsid w:val="00F96D1B"/>
    <w:rsid w:val="00FA2FF3"/>
    <w:rsid w:val="00FA5113"/>
    <w:rsid w:val="00FA7AE3"/>
    <w:rsid w:val="00FC1B77"/>
    <w:rsid w:val="00FD3DBE"/>
    <w:rsid w:val="00FE05F3"/>
    <w:rsid w:val="00FE0F3B"/>
    <w:rsid w:val="00FE40F5"/>
    <w:rsid w:val="00FE4EA5"/>
    <w:rsid w:val="00FE766B"/>
    <w:rsid w:val="00FF194C"/>
    <w:rsid w:val="00FF3D9A"/>
    <w:rsid w:val="0C2CFA23"/>
    <w:rsid w:val="3DD42B5D"/>
    <w:rsid w:val="74A1488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678A5"/>
  <w15:chartTrackingRefBased/>
  <w15:docId w15:val="{77D45191-16EC-0A45-858C-DC10BE946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2CB5"/>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A08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A08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A08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08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08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08A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8A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8A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8A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8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A08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A08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08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08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08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8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8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8A2"/>
    <w:rPr>
      <w:rFonts w:eastAsiaTheme="majorEastAsia" w:cstheme="majorBidi"/>
      <w:color w:val="272727" w:themeColor="text1" w:themeTint="D8"/>
    </w:rPr>
  </w:style>
  <w:style w:type="paragraph" w:styleId="Title">
    <w:name w:val="Title"/>
    <w:basedOn w:val="Normal"/>
    <w:next w:val="Normal"/>
    <w:link w:val="TitleChar"/>
    <w:uiPriority w:val="10"/>
    <w:qFormat/>
    <w:rsid w:val="001A08A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8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8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08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08A2"/>
    <w:pPr>
      <w:spacing w:before="160"/>
      <w:jc w:val="center"/>
    </w:pPr>
    <w:rPr>
      <w:i/>
      <w:iCs/>
      <w:color w:val="404040" w:themeColor="text1" w:themeTint="BF"/>
    </w:rPr>
  </w:style>
  <w:style w:type="character" w:customStyle="1" w:styleId="QuoteChar">
    <w:name w:val="Quote Char"/>
    <w:basedOn w:val="DefaultParagraphFont"/>
    <w:link w:val="Quote"/>
    <w:uiPriority w:val="29"/>
    <w:rsid w:val="001A08A2"/>
    <w:rPr>
      <w:i/>
      <w:iCs/>
      <w:color w:val="404040" w:themeColor="text1" w:themeTint="BF"/>
    </w:rPr>
  </w:style>
  <w:style w:type="paragraph" w:styleId="ListParagraph">
    <w:name w:val="List Paragraph"/>
    <w:basedOn w:val="Normal"/>
    <w:uiPriority w:val="34"/>
    <w:qFormat/>
    <w:rsid w:val="001A08A2"/>
    <w:pPr>
      <w:ind w:left="720"/>
      <w:contextualSpacing/>
    </w:pPr>
  </w:style>
  <w:style w:type="character" w:styleId="IntenseEmphasis">
    <w:name w:val="Intense Emphasis"/>
    <w:basedOn w:val="DefaultParagraphFont"/>
    <w:uiPriority w:val="21"/>
    <w:qFormat/>
    <w:rsid w:val="001A08A2"/>
    <w:rPr>
      <w:i/>
      <w:iCs/>
      <w:color w:val="0F4761" w:themeColor="accent1" w:themeShade="BF"/>
    </w:rPr>
  </w:style>
  <w:style w:type="paragraph" w:styleId="IntenseQuote">
    <w:name w:val="Intense Quote"/>
    <w:basedOn w:val="Normal"/>
    <w:next w:val="Normal"/>
    <w:link w:val="IntenseQuoteChar"/>
    <w:uiPriority w:val="30"/>
    <w:qFormat/>
    <w:rsid w:val="001A08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08A2"/>
    <w:rPr>
      <w:i/>
      <w:iCs/>
      <w:color w:val="0F4761" w:themeColor="accent1" w:themeShade="BF"/>
    </w:rPr>
  </w:style>
  <w:style w:type="character" w:styleId="IntenseReference">
    <w:name w:val="Intense Reference"/>
    <w:basedOn w:val="DefaultParagraphFont"/>
    <w:uiPriority w:val="32"/>
    <w:qFormat/>
    <w:rsid w:val="001A08A2"/>
    <w:rPr>
      <w:b/>
      <w:bCs/>
      <w:smallCaps/>
      <w:color w:val="0F4761" w:themeColor="accent1" w:themeShade="BF"/>
      <w:spacing w:val="5"/>
    </w:rPr>
  </w:style>
  <w:style w:type="paragraph" w:styleId="Revision">
    <w:name w:val="Revision"/>
    <w:hidden/>
    <w:uiPriority w:val="99"/>
    <w:semiHidden/>
    <w:rsid w:val="001A08A2"/>
    <w:pPr>
      <w:spacing w:after="0" w:line="240" w:lineRule="auto"/>
    </w:pPr>
  </w:style>
  <w:style w:type="character" w:styleId="LineNumber">
    <w:name w:val="line number"/>
    <w:basedOn w:val="DefaultParagraphFont"/>
    <w:uiPriority w:val="99"/>
    <w:semiHidden/>
    <w:unhideWhenUsed/>
    <w:rsid w:val="00F96D1B"/>
  </w:style>
  <w:style w:type="paragraph" w:customStyle="1" w:styleId="unitytypography">
    <w:name w:val="unitytypography"/>
    <w:basedOn w:val="Normal"/>
    <w:rsid w:val="004F3C78"/>
    <w:pPr>
      <w:spacing w:before="100" w:beforeAutospacing="1" w:after="100" w:afterAutospacing="1"/>
    </w:pPr>
  </w:style>
  <w:style w:type="character" w:styleId="CommentReference">
    <w:name w:val="annotation reference"/>
    <w:basedOn w:val="DefaultParagraphFont"/>
    <w:uiPriority w:val="99"/>
    <w:semiHidden/>
    <w:unhideWhenUsed/>
    <w:rsid w:val="00D45A56"/>
    <w:rPr>
      <w:sz w:val="16"/>
      <w:szCs w:val="16"/>
    </w:rPr>
  </w:style>
  <w:style w:type="paragraph" w:styleId="CommentText">
    <w:name w:val="annotation text"/>
    <w:basedOn w:val="Normal"/>
    <w:link w:val="CommentTextChar"/>
    <w:uiPriority w:val="99"/>
    <w:semiHidden/>
    <w:unhideWhenUsed/>
    <w:rsid w:val="00D45A56"/>
    <w:rPr>
      <w:sz w:val="20"/>
      <w:szCs w:val="20"/>
    </w:rPr>
  </w:style>
  <w:style w:type="character" w:customStyle="1" w:styleId="CommentTextChar">
    <w:name w:val="Comment Text Char"/>
    <w:basedOn w:val="DefaultParagraphFont"/>
    <w:link w:val="CommentText"/>
    <w:uiPriority w:val="99"/>
    <w:semiHidden/>
    <w:rsid w:val="00D45A56"/>
    <w:rPr>
      <w:sz w:val="20"/>
      <w:szCs w:val="20"/>
    </w:rPr>
  </w:style>
  <w:style w:type="paragraph" w:styleId="CommentSubject">
    <w:name w:val="annotation subject"/>
    <w:basedOn w:val="CommentText"/>
    <w:next w:val="CommentText"/>
    <w:link w:val="CommentSubjectChar"/>
    <w:uiPriority w:val="99"/>
    <w:semiHidden/>
    <w:unhideWhenUsed/>
    <w:rsid w:val="00D45A56"/>
    <w:rPr>
      <w:b/>
      <w:bCs/>
    </w:rPr>
  </w:style>
  <w:style w:type="character" w:customStyle="1" w:styleId="CommentSubjectChar">
    <w:name w:val="Comment Subject Char"/>
    <w:basedOn w:val="CommentTextChar"/>
    <w:link w:val="CommentSubject"/>
    <w:uiPriority w:val="99"/>
    <w:semiHidden/>
    <w:rsid w:val="00D45A56"/>
    <w:rPr>
      <w:b/>
      <w:bCs/>
      <w:sz w:val="20"/>
      <w:szCs w:val="20"/>
    </w:rPr>
  </w:style>
  <w:style w:type="character" w:styleId="Hyperlink">
    <w:name w:val="Hyperlink"/>
    <w:basedOn w:val="DefaultParagraphFont"/>
    <w:uiPriority w:val="99"/>
    <w:unhideWhenUsed/>
    <w:rsid w:val="003E7489"/>
    <w:rPr>
      <w:color w:val="467886" w:themeColor="hyperlink"/>
      <w:u w:val="single"/>
    </w:rPr>
  </w:style>
  <w:style w:type="character" w:styleId="UnresolvedMention">
    <w:name w:val="Unresolved Mention"/>
    <w:basedOn w:val="DefaultParagraphFont"/>
    <w:uiPriority w:val="99"/>
    <w:semiHidden/>
    <w:unhideWhenUsed/>
    <w:rsid w:val="003E7489"/>
    <w:rPr>
      <w:color w:val="605E5C"/>
      <w:shd w:val="clear" w:color="auto" w:fill="E1DFDD"/>
    </w:rPr>
  </w:style>
  <w:style w:type="character" w:styleId="FollowedHyperlink">
    <w:name w:val="FollowedHyperlink"/>
    <w:basedOn w:val="DefaultParagraphFont"/>
    <w:uiPriority w:val="99"/>
    <w:semiHidden/>
    <w:unhideWhenUsed/>
    <w:rsid w:val="003E7489"/>
    <w:rPr>
      <w:color w:val="96607D" w:themeColor="followedHyperlink"/>
      <w:u w:val="single"/>
    </w:rPr>
  </w:style>
  <w:style w:type="paragraph" w:styleId="Footer">
    <w:name w:val="footer"/>
    <w:basedOn w:val="Normal"/>
    <w:link w:val="FooterChar"/>
    <w:uiPriority w:val="99"/>
    <w:unhideWhenUsed/>
    <w:rsid w:val="00E44046"/>
    <w:pPr>
      <w:tabs>
        <w:tab w:val="center" w:pos="4680"/>
        <w:tab w:val="right" w:pos="9360"/>
      </w:tabs>
    </w:pPr>
  </w:style>
  <w:style w:type="character" w:customStyle="1" w:styleId="FooterChar">
    <w:name w:val="Footer Char"/>
    <w:basedOn w:val="DefaultParagraphFont"/>
    <w:link w:val="Footer"/>
    <w:uiPriority w:val="99"/>
    <w:rsid w:val="00E44046"/>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E44046"/>
  </w:style>
  <w:style w:type="paragraph" w:styleId="Header">
    <w:name w:val="header"/>
    <w:basedOn w:val="Normal"/>
    <w:link w:val="HeaderChar"/>
    <w:uiPriority w:val="99"/>
    <w:unhideWhenUsed/>
    <w:rsid w:val="00E44046"/>
    <w:pPr>
      <w:tabs>
        <w:tab w:val="center" w:pos="4680"/>
        <w:tab w:val="right" w:pos="9360"/>
      </w:tabs>
    </w:pPr>
  </w:style>
  <w:style w:type="character" w:customStyle="1" w:styleId="HeaderChar">
    <w:name w:val="Header Char"/>
    <w:basedOn w:val="DefaultParagraphFont"/>
    <w:link w:val="Header"/>
    <w:uiPriority w:val="99"/>
    <w:rsid w:val="00E44046"/>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E962F3"/>
    <w:pPr>
      <w:spacing w:before="100" w:beforeAutospacing="1" w:after="100" w:afterAutospacing="1"/>
    </w:pPr>
  </w:style>
  <w:style w:type="character" w:styleId="Strong">
    <w:name w:val="Strong"/>
    <w:basedOn w:val="DefaultParagraphFont"/>
    <w:uiPriority w:val="22"/>
    <w:qFormat/>
    <w:rsid w:val="0097535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059094">
      <w:bodyDiv w:val="1"/>
      <w:marLeft w:val="0"/>
      <w:marRight w:val="0"/>
      <w:marTop w:val="0"/>
      <w:marBottom w:val="0"/>
      <w:divBdr>
        <w:top w:val="none" w:sz="0" w:space="0" w:color="auto"/>
        <w:left w:val="none" w:sz="0" w:space="0" w:color="auto"/>
        <w:bottom w:val="none" w:sz="0" w:space="0" w:color="auto"/>
        <w:right w:val="none" w:sz="0" w:space="0" w:color="auto"/>
      </w:divBdr>
    </w:div>
    <w:div w:id="363099978">
      <w:bodyDiv w:val="1"/>
      <w:marLeft w:val="0"/>
      <w:marRight w:val="0"/>
      <w:marTop w:val="0"/>
      <w:marBottom w:val="0"/>
      <w:divBdr>
        <w:top w:val="none" w:sz="0" w:space="0" w:color="auto"/>
        <w:left w:val="none" w:sz="0" w:space="0" w:color="auto"/>
        <w:bottom w:val="none" w:sz="0" w:space="0" w:color="auto"/>
        <w:right w:val="none" w:sz="0" w:space="0" w:color="auto"/>
      </w:divBdr>
    </w:div>
    <w:div w:id="455027511">
      <w:bodyDiv w:val="1"/>
      <w:marLeft w:val="0"/>
      <w:marRight w:val="0"/>
      <w:marTop w:val="0"/>
      <w:marBottom w:val="0"/>
      <w:divBdr>
        <w:top w:val="none" w:sz="0" w:space="0" w:color="auto"/>
        <w:left w:val="none" w:sz="0" w:space="0" w:color="auto"/>
        <w:bottom w:val="none" w:sz="0" w:space="0" w:color="auto"/>
        <w:right w:val="none" w:sz="0" w:space="0" w:color="auto"/>
      </w:divBdr>
    </w:div>
    <w:div w:id="505553546">
      <w:bodyDiv w:val="1"/>
      <w:marLeft w:val="0"/>
      <w:marRight w:val="0"/>
      <w:marTop w:val="0"/>
      <w:marBottom w:val="0"/>
      <w:divBdr>
        <w:top w:val="none" w:sz="0" w:space="0" w:color="auto"/>
        <w:left w:val="none" w:sz="0" w:space="0" w:color="auto"/>
        <w:bottom w:val="none" w:sz="0" w:space="0" w:color="auto"/>
        <w:right w:val="none" w:sz="0" w:space="0" w:color="auto"/>
      </w:divBdr>
    </w:div>
    <w:div w:id="532578077">
      <w:bodyDiv w:val="1"/>
      <w:marLeft w:val="0"/>
      <w:marRight w:val="0"/>
      <w:marTop w:val="0"/>
      <w:marBottom w:val="0"/>
      <w:divBdr>
        <w:top w:val="none" w:sz="0" w:space="0" w:color="auto"/>
        <w:left w:val="none" w:sz="0" w:space="0" w:color="auto"/>
        <w:bottom w:val="none" w:sz="0" w:space="0" w:color="auto"/>
        <w:right w:val="none" w:sz="0" w:space="0" w:color="auto"/>
      </w:divBdr>
    </w:div>
    <w:div w:id="814029112">
      <w:bodyDiv w:val="1"/>
      <w:marLeft w:val="0"/>
      <w:marRight w:val="0"/>
      <w:marTop w:val="0"/>
      <w:marBottom w:val="0"/>
      <w:divBdr>
        <w:top w:val="none" w:sz="0" w:space="0" w:color="auto"/>
        <w:left w:val="none" w:sz="0" w:space="0" w:color="auto"/>
        <w:bottom w:val="none" w:sz="0" w:space="0" w:color="auto"/>
        <w:right w:val="none" w:sz="0" w:space="0" w:color="auto"/>
      </w:divBdr>
    </w:div>
    <w:div w:id="850145045">
      <w:bodyDiv w:val="1"/>
      <w:marLeft w:val="0"/>
      <w:marRight w:val="0"/>
      <w:marTop w:val="0"/>
      <w:marBottom w:val="0"/>
      <w:divBdr>
        <w:top w:val="none" w:sz="0" w:space="0" w:color="auto"/>
        <w:left w:val="none" w:sz="0" w:space="0" w:color="auto"/>
        <w:bottom w:val="none" w:sz="0" w:space="0" w:color="auto"/>
        <w:right w:val="none" w:sz="0" w:space="0" w:color="auto"/>
      </w:divBdr>
    </w:div>
    <w:div w:id="936213117">
      <w:bodyDiv w:val="1"/>
      <w:marLeft w:val="0"/>
      <w:marRight w:val="0"/>
      <w:marTop w:val="0"/>
      <w:marBottom w:val="0"/>
      <w:divBdr>
        <w:top w:val="none" w:sz="0" w:space="0" w:color="auto"/>
        <w:left w:val="none" w:sz="0" w:space="0" w:color="auto"/>
        <w:bottom w:val="none" w:sz="0" w:space="0" w:color="auto"/>
        <w:right w:val="none" w:sz="0" w:space="0" w:color="auto"/>
      </w:divBdr>
    </w:div>
    <w:div w:id="956374343">
      <w:bodyDiv w:val="1"/>
      <w:marLeft w:val="0"/>
      <w:marRight w:val="0"/>
      <w:marTop w:val="0"/>
      <w:marBottom w:val="0"/>
      <w:divBdr>
        <w:top w:val="none" w:sz="0" w:space="0" w:color="auto"/>
        <w:left w:val="none" w:sz="0" w:space="0" w:color="auto"/>
        <w:bottom w:val="none" w:sz="0" w:space="0" w:color="auto"/>
        <w:right w:val="none" w:sz="0" w:space="0" w:color="auto"/>
      </w:divBdr>
    </w:div>
    <w:div w:id="1020471005">
      <w:bodyDiv w:val="1"/>
      <w:marLeft w:val="0"/>
      <w:marRight w:val="0"/>
      <w:marTop w:val="0"/>
      <w:marBottom w:val="0"/>
      <w:divBdr>
        <w:top w:val="none" w:sz="0" w:space="0" w:color="auto"/>
        <w:left w:val="none" w:sz="0" w:space="0" w:color="auto"/>
        <w:bottom w:val="none" w:sz="0" w:space="0" w:color="auto"/>
        <w:right w:val="none" w:sz="0" w:space="0" w:color="auto"/>
      </w:divBdr>
    </w:div>
    <w:div w:id="1407459993">
      <w:bodyDiv w:val="1"/>
      <w:marLeft w:val="0"/>
      <w:marRight w:val="0"/>
      <w:marTop w:val="0"/>
      <w:marBottom w:val="0"/>
      <w:divBdr>
        <w:top w:val="none" w:sz="0" w:space="0" w:color="auto"/>
        <w:left w:val="none" w:sz="0" w:space="0" w:color="auto"/>
        <w:bottom w:val="none" w:sz="0" w:space="0" w:color="auto"/>
        <w:right w:val="none" w:sz="0" w:space="0" w:color="auto"/>
      </w:divBdr>
      <w:divsChild>
        <w:div w:id="438918109">
          <w:marLeft w:val="547"/>
          <w:marRight w:val="0"/>
          <w:marTop w:val="0"/>
          <w:marBottom w:val="0"/>
          <w:divBdr>
            <w:top w:val="none" w:sz="0" w:space="0" w:color="auto"/>
            <w:left w:val="none" w:sz="0" w:space="0" w:color="auto"/>
            <w:bottom w:val="none" w:sz="0" w:space="0" w:color="auto"/>
            <w:right w:val="none" w:sz="0" w:space="0" w:color="auto"/>
          </w:divBdr>
        </w:div>
        <w:div w:id="449249339">
          <w:marLeft w:val="547"/>
          <w:marRight w:val="0"/>
          <w:marTop w:val="0"/>
          <w:marBottom w:val="0"/>
          <w:divBdr>
            <w:top w:val="none" w:sz="0" w:space="0" w:color="auto"/>
            <w:left w:val="none" w:sz="0" w:space="0" w:color="auto"/>
            <w:bottom w:val="none" w:sz="0" w:space="0" w:color="auto"/>
            <w:right w:val="none" w:sz="0" w:space="0" w:color="auto"/>
          </w:divBdr>
        </w:div>
        <w:div w:id="611086452">
          <w:marLeft w:val="547"/>
          <w:marRight w:val="0"/>
          <w:marTop w:val="0"/>
          <w:marBottom w:val="0"/>
          <w:divBdr>
            <w:top w:val="none" w:sz="0" w:space="0" w:color="auto"/>
            <w:left w:val="none" w:sz="0" w:space="0" w:color="auto"/>
            <w:bottom w:val="none" w:sz="0" w:space="0" w:color="auto"/>
            <w:right w:val="none" w:sz="0" w:space="0" w:color="auto"/>
          </w:divBdr>
        </w:div>
        <w:div w:id="820852483">
          <w:marLeft w:val="547"/>
          <w:marRight w:val="0"/>
          <w:marTop w:val="0"/>
          <w:marBottom w:val="0"/>
          <w:divBdr>
            <w:top w:val="none" w:sz="0" w:space="0" w:color="auto"/>
            <w:left w:val="none" w:sz="0" w:space="0" w:color="auto"/>
            <w:bottom w:val="none" w:sz="0" w:space="0" w:color="auto"/>
            <w:right w:val="none" w:sz="0" w:space="0" w:color="auto"/>
          </w:divBdr>
        </w:div>
        <w:div w:id="1422985916">
          <w:marLeft w:val="547"/>
          <w:marRight w:val="0"/>
          <w:marTop w:val="0"/>
          <w:marBottom w:val="0"/>
          <w:divBdr>
            <w:top w:val="none" w:sz="0" w:space="0" w:color="auto"/>
            <w:left w:val="none" w:sz="0" w:space="0" w:color="auto"/>
            <w:bottom w:val="none" w:sz="0" w:space="0" w:color="auto"/>
            <w:right w:val="none" w:sz="0" w:space="0" w:color="auto"/>
          </w:divBdr>
        </w:div>
        <w:div w:id="1495994254">
          <w:marLeft w:val="547"/>
          <w:marRight w:val="0"/>
          <w:marTop w:val="0"/>
          <w:marBottom w:val="0"/>
          <w:divBdr>
            <w:top w:val="none" w:sz="0" w:space="0" w:color="auto"/>
            <w:left w:val="none" w:sz="0" w:space="0" w:color="auto"/>
            <w:bottom w:val="none" w:sz="0" w:space="0" w:color="auto"/>
            <w:right w:val="none" w:sz="0" w:space="0" w:color="auto"/>
          </w:divBdr>
        </w:div>
        <w:div w:id="1781487630">
          <w:marLeft w:val="547"/>
          <w:marRight w:val="0"/>
          <w:marTop w:val="0"/>
          <w:marBottom w:val="0"/>
          <w:divBdr>
            <w:top w:val="none" w:sz="0" w:space="0" w:color="auto"/>
            <w:left w:val="none" w:sz="0" w:space="0" w:color="auto"/>
            <w:bottom w:val="none" w:sz="0" w:space="0" w:color="auto"/>
            <w:right w:val="none" w:sz="0" w:space="0" w:color="auto"/>
          </w:divBdr>
        </w:div>
      </w:divsChild>
    </w:div>
    <w:div w:id="1451044581">
      <w:bodyDiv w:val="1"/>
      <w:marLeft w:val="0"/>
      <w:marRight w:val="0"/>
      <w:marTop w:val="0"/>
      <w:marBottom w:val="0"/>
      <w:divBdr>
        <w:top w:val="none" w:sz="0" w:space="0" w:color="auto"/>
        <w:left w:val="none" w:sz="0" w:space="0" w:color="auto"/>
        <w:bottom w:val="none" w:sz="0" w:space="0" w:color="auto"/>
        <w:right w:val="none" w:sz="0" w:space="0" w:color="auto"/>
      </w:divBdr>
    </w:div>
    <w:div w:id="1681198782">
      <w:bodyDiv w:val="1"/>
      <w:marLeft w:val="0"/>
      <w:marRight w:val="0"/>
      <w:marTop w:val="0"/>
      <w:marBottom w:val="0"/>
      <w:divBdr>
        <w:top w:val="none" w:sz="0" w:space="0" w:color="auto"/>
        <w:left w:val="none" w:sz="0" w:space="0" w:color="auto"/>
        <w:bottom w:val="none" w:sz="0" w:space="0" w:color="auto"/>
        <w:right w:val="none" w:sz="0" w:space="0" w:color="auto"/>
      </w:divBdr>
    </w:div>
    <w:div w:id="1929731085">
      <w:bodyDiv w:val="1"/>
      <w:marLeft w:val="0"/>
      <w:marRight w:val="0"/>
      <w:marTop w:val="0"/>
      <w:marBottom w:val="0"/>
      <w:divBdr>
        <w:top w:val="none" w:sz="0" w:space="0" w:color="auto"/>
        <w:left w:val="none" w:sz="0" w:space="0" w:color="auto"/>
        <w:bottom w:val="none" w:sz="0" w:space="0" w:color="auto"/>
        <w:right w:val="none" w:sz="0" w:space="0" w:color="auto"/>
      </w:divBdr>
    </w:div>
    <w:div w:id="2038700970">
      <w:bodyDiv w:val="1"/>
      <w:marLeft w:val="0"/>
      <w:marRight w:val="0"/>
      <w:marTop w:val="0"/>
      <w:marBottom w:val="0"/>
      <w:divBdr>
        <w:top w:val="none" w:sz="0" w:space="0" w:color="auto"/>
        <w:left w:val="none" w:sz="0" w:space="0" w:color="auto"/>
        <w:bottom w:val="none" w:sz="0" w:space="0" w:color="auto"/>
        <w:right w:val="none" w:sz="0" w:space="0" w:color="auto"/>
      </w:divBdr>
    </w:div>
    <w:div w:id="2105950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emf"/><Relationship Id="rId26" Type="http://schemas.openxmlformats.org/officeDocument/2006/relationships/glossaryDocument" Target="glossary/document.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1.emf"/><Relationship Id="rId17" Type="http://schemas.openxmlformats.org/officeDocument/2006/relationships/image" Target="media/image6.png"/><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oter" Target="footer2.xml"/><Relationship Id="rId10" Type="http://schemas.microsoft.com/office/2016/09/relationships/commentsIds" Target="commentsIds.xml"/><Relationship Id="rId19" Type="http://schemas.openxmlformats.org/officeDocument/2006/relationships/image" Target="media/image8.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footer" Target="footer1.xml"/><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C41804CB0C9FD4C95CCE9EE43583212"/>
        <w:category>
          <w:name w:val="General"/>
          <w:gallery w:val="placeholder"/>
        </w:category>
        <w:types>
          <w:type w:val="bbPlcHdr"/>
        </w:types>
        <w:behaviors>
          <w:behavior w:val="content"/>
        </w:behaviors>
        <w:guid w:val="{D0849B8F-B4AA-3148-9818-F3C10EAE0059}"/>
      </w:docPartPr>
      <w:docPartBody>
        <w:p w:rsidR="006F33E2" w:rsidRDefault="00165A24" w:rsidP="00165A24">
          <w:pPr>
            <w:pStyle w:val="2C41804CB0C9FD4C95CCE9EE43583212"/>
          </w:pPr>
          <w:r>
            <w:rPr>
              <w:color w:val="156082"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Narrow">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A24"/>
    <w:rsid w:val="001218E3"/>
    <w:rsid w:val="0015676A"/>
    <w:rsid w:val="00165A24"/>
    <w:rsid w:val="001D1E07"/>
    <w:rsid w:val="002E2F07"/>
    <w:rsid w:val="00381ED4"/>
    <w:rsid w:val="0062726B"/>
    <w:rsid w:val="006D4A7D"/>
    <w:rsid w:val="006F33E2"/>
    <w:rsid w:val="007F5683"/>
    <w:rsid w:val="00841348"/>
    <w:rsid w:val="0098259F"/>
    <w:rsid w:val="00A33D87"/>
    <w:rsid w:val="00B669DA"/>
    <w:rsid w:val="00C42E3F"/>
    <w:rsid w:val="00CA1898"/>
    <w:rsid w:val="00D87DE9"/>
    <w:rsid w:val="00E554D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C41804CB0C9FD4C95CCE9EE43583212">
    <w:name w:val="2C41804CB0C9FD4C95CCE9EE43583212"/>
    <w:rsid w:val="00165A2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04F4FC-F252-2A4D-A48A-39C8F39B60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32</Pages>
  <Words>12107</Words>
  <Characters>69014</Characters>
  <Application>Microsoft Office Word</Application>
  <DocSecurity>4</DocSecurity>
  <Lines>575</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ABBV-CLS-484 (AC484) Enhances Anti-Tumor Immunity by Modulating IL-6/STAT3 Signaling and Regulatory T Cell Stability</dc:title>
  <dc:subject/>
  <dc:creator>Wilson, Stephen</dc:creator>
  <cp:keywords/>
  <dc:description/>
  <cp:lastModifiedBy>Zhan, Yao</cp:lastModifiedBy>
  <cp:revision>2</cp:revision>
  <dcterms:created xsi:type="dcterms:W3CDTF">2026-06-24T23:28:00Z</dcterms:created>
  <dcterms:modified xsi:type="dcterms:W3CDTF">2026-06-24T23:28:00Z</dcterms:modified>
</cp:coreProperties>
</file>