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E5F06">
      <w:pPr>
        <w:jc w:val="center"/>
        <w:rPr>
          <w:rFonts w:ascii="Times New Roman" w:hAnsi="Times New Roman" w:cs="Times New Roman"/>
          <w:b/>
          <w:bCs/>
          <w:sz w:val="32"/>
          <w:szCs w:val="32"/>
          <w:lang w:val="kk-KZ"/>
        </w:rPr>
      </w:pPr>
      <w:r>
        <w:rPr>
          <w:rFonts w:ascii="Times New Roman" w:hAnsi="Times New Roman" w:cs="Times New Roman"/>
          <w:b/>
          <w:bCs/>
          <w:sz w:val="32"/>
          <w:szCs w:val="32"/>
        </w:rPr>
        <w:t>DeFi Super-App</w:t>
      </w:r>
      <w:r>
        <w:rPr>
          <w:rFonts w:ascii="Times New Roman" w:hAnsi="Times New Roman" w:cs="Times New Roman"/>
          <w:b/>
          <w:bCs/>
          <w:sz w:val="32"/>
          <w:szCs w:val="32"/>
        </w:rPr>
        <w:br w:type="textWrapping"/>
      </w:r>
      <w:r>
        <w:rPr>
          <w:rFonts w:ascii="Times New Roman" w:hAnsi="Times New Roman" w:cs="Times New Roman"/>
          <w:b/>
          <w:bCs/>
          <w:sz w:val="32"/>
          <w:szCs w:val="32"/>
        </w:rPr>
        <w:t>Architecture Document</w:t>
      </w:r>
      <w:r>
        <w:rPr>
          <w:rFonts w:ascii="Times New Roman" w:hAnsi="Times New Roman" w:cs="Times New Roman"/>
          <w:b/>
          <w:bCs/>
          <w:sz w:val="32"/>
          <w:szCs w:val="32"/>
        </w:rPr>
        <w:br w:type="textWrapping"/>
      </w:r>
      <w:r>
        <w:rPr>
          <w:rFonts w:ascii="Times New Roman" w:hAnsi="Times New Roman" w:cs="Times New Roman"/>
          <w:b/>
          <w:bCs/>
          <w:i/>
          <w:iCs/>
          <w:sz w:val="32"/>
          <w:szCs w:val="32"/>
        </w:rPr>
        <w:t>Blockchain Technologies 2 Final Project</w:t>
      </w:r>
    </w:p>
    <w:p w14:paraId="29A2B409">
      <w:pPr>
        <w:rPr>
          <w:rFonts w:ascii="Times New Roman" w:hAnsi="Times New Roman" w:cs="Times New Roman"/>
          <w:lang w:val="en-US"/>
        </w:rPr>
      </w:pPr>
      <w:r>
        <w:rPr>
          <w:rFonts w:ascii="Times New Roman" w:hAnsi="Times New Roman" w:cs="Times New Roman"/>
          <w:b/>
          <w:bCs/>
          <w:sz w:val="28"/>
          <w:szCs w:val="28"/>
        </w:rPr>
        <w:t>Team Members:</w:t>
      </w:r>
      <w:r>
        <w:rPr>
          <w:rFonts w:ascii="Times New Roman" w:hAnsi="Times New Roman" w:cs="Times New Roman"/>
          <w:b/>
          <w:bCs/>
          <w:sz w:val="32"/>
          <w:szCs w:val="32"/>
        </w:rPr>
        <w:br w:type="textWrapping"/>
      </w:r>
      <w:r>
        <w:rPr>
          <w:rFonts w:ascii="Times New Roman" w:hAnsi="Times New Roman" w:cs="Times New Roman"/>
        </w:rPr>
        <w:t xml:space="preserve">- </w:t>
      </w:r>
      <w:r>
        <w:rPr>
          <w:rFonts w:ascii="Times New Roman" w:hAnsi="Times New Roman" w:cs="Times New Roman"/>
          <w:lang w:val="en-US"/>
        </w:rPr>
        <w:t xml:space="preserve">Nurbai Karakat </w:t>
      </w:r>
      <w:r>
        <w:rPr>
          <w:rFonts w:ascii="Times New Roman" w:hAnsi="Times New Roman" w:cs="Times New Roman"/>
        </w:rPr>
        <w:br w:type="textWrapping"/>
      </w:r>
      <w:r>
        <w:rPr>
          <w:rFonts w:ascii="Times New Roman" w:hAnsi="Times New Roman" w:cs="Times New Roman"/>
        </w:rPr>
        <w:t>- Amantay Balnur</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lang w:val="en-US"/>
        </w:rPr>
        <w:t>Duiseman Gulnaz</w:t>
      </w:r>
    </w:p>
    <w:p w14:paraId="23BEE66C">
      <w:pPr>
        <w:rPr>
          <w:rFonts w:ascii="Times New Roman" w:hAnsi="Times New Roman" w:cs="Times New Roman"/>
          <w:b/>
          <w:bCs/>
          <w:sz w:val="32"/>
          <w:szCs w:val="32"/>
        </w:rPr>
      </w:pPr>
      <w:r>
        <w:rPr>
          <w:rFonts w:ascii="Times New Roman" w:hAnsi="Times New Roman" w:cs="Times New Roman"/>
          <w:b/>
          <w:bCs/>
          <w:sz w:val="32"/>
          <w:szCs w:val="32"/>
          <w:lang w:val="kk-KZ"/>
        </w:rPr>
        <w:br w:type="textWrapping"/>
      </w:r>
      <w:r>
        <w:rPr>
          <w:rFonts w:ascii="Times New Roman" w:hAnsi="Times New Roman" w:cs="Times New Roman"/>
          <w:b/>
          <w:bCs/>
          <w:sz w:val="32"/>
          <w:szCs w:val="32"/>
        </w:rPr>
        <w:t>1. Project Overview</w:t>
      </w:r>
    </w:p>
    <w:p w14:paraId="338B1B46">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kk-KZ"/>
        </w:rPr>
        <w:t>The project is a full-stack decentralized finance protocol deployed on Base Sepolia.</w:t>
      </w:r>
    </w:p>
    <w:p w14:paraId="7AFAD4CF">
      <w:pPr>
        <w:spacing w:after="0" w:line="240" w:lineRule="auto"/>
        <w:rPr>
          <w:rFonts w:ascii="Times New Roman" w:hAnsi="Times New Roman" w:cs="Times New Roman"/>
          <w:sz w:val="28"/>
          <w:szCs w:val="28"/>
          <w:lang w:val="en-US"/>
        </w:rPr>
      </w:pPr>
    </w:p>
    <w:p w14:paraId="7AA20AD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The protocol integrates:</w:t>
      </w:r>
    </w:p>
    <w:p w14:paraId="3586E61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AMM liquidity pools,</w:t>
      </w:r>
    </w:p>
    <w:p w14:paraId="13352612">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lending functionality,</w:t>
      </w:r>
    </w:p>
    <w:p w14:paraId="790238B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ERC4626 yield vaults,</w:t>
      </w:r>
    </w:p>
    <w:p w14:paraId="654766FA">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DAO governance,</w:t>
      </w:r>
    </w:p>
    <w:p w14:paraId="7F46673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Chainlink oracle integration,</w:t>
      </w:r>
    </w:p>
    <w:p w14:paraId="4069CC1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kk-KZ"/>
        </w:rPr>
        <w:t>- The Graph indexing.</w:t>
      </w:r>
    </w:p>
    <w:p w14:paraId="6BEACA8F">
      <w:pPr>
        <w:spacing w:after="0" w:line="240" w:lineRule="auto"/>
        <w:rPr>
          <w:rFonts w:ascii="Times New Roman" w:hAnsi="Times New Roman" w:cs="Times New Roman"/>
          <w:sz w:val="28"/>
          <w:szCs w:val="28"/>
          <w:lang w:val="en-US"/>
        </w:rPr>
      </w:pPr>
    </w:p>
    <w:p w14:paraId="2183D77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kk-KZ"/>
        </w:rPr>
        <w:t>The architecture is designed using modular smart contracts and OpenZeppelin security standards.</w:t>
      </w:r>
    </w:p>
    <w:p w14:paraId="5A5DA59B">
      <w:pPr>
        <w:spacing w:after="0" w:line="240" w:lineRule="auto"/>
        <w:rPr>
          <w:rFonts w:ascii="Times New Roman" w:hAnsi="Times New Roman" w:cs="Times New Roman"/>
          <w:sz w:val="28"/>
          <w:szCs w:val="28"/>
          <w:lang w:val="en-US"/>
        </w:rPr>
      </w:pPr>
    </w:p>
    <w:p w14:paraId="538B2031">
      <w:pPr>
        <w:rPr>
          <w:rFonts w:ascii="Times New Roman" w:hAnsi="Times New Roman" w:cs="Times New Roman"/>
          <w:b/>
          <w:bCs/>
          <w:sz w:val="32"/>
          <w:szCs w:val="32"/>
          <w:lang w:val="en-US"/>
        </w:rPr>
      </w:pPr>
      <w:r>
        <w:rPr>
          <w:rFonts w:ascii="Times New Roman" w:hAnsi="Times New Roman" w:cs="Times New Roman"/>
          <w:b/>
          <w:bCs/>
          <w:sz w:val="32"/>
          <w:szCs w:val="32"/>
        </w:rPr>
        <w:t>2. Architecture Diagrams</w:t>
      </w:r>
    </w:p>
    <w:p w14:paraId="0B835C0A">
      <w:pPr>
        <w:rPr>
          <w:rFonts w:ascii="Times New Roman" w:hAnsi="Times New Roman" w:cs="Times New Roman"/>
          <w:b/>
          <w:bCs/>
          <w:i/>
          <w:iCs/>
          <w:sz w:val="28"/>
          <w:szCs w:val="28"/>
          <w:lang w:val="kk-KZ"/>
        </w:rPr>
      </w:pPr>
      <w:r>
        <w:rPr>
          <w:rFonts w:ascii="Times New Roman" w:hAnsi="Times New Roman" w:cs="Times New Roman"/>
          <w:b/>
          <w:bCs/>
          <w:i/>
          <w:iCs/>
          <w:sz w:val="28"/>
          <w:szCs w:val="28"/>
        </w:rPr>
        <w:t>System Context Diagram</w:t>
      </w:r>
    </w:p>
    <w:p w14:paraId="35C58E5D">
      <w:pPr>
        <w:rPr>
          <w:rFonts w:ascii="Times New Roman" w:hAnsi="Times New Roman" w:cs="Times New Roman"/>
          <w:sz w:val="28"/>
          <w:szCs w:val="28"/>
          <w:lang w:val="en-US"/>
        </w:rPr>
      </w:pPr>
      <w:r>
        <w:rPr>
          <w:rFonts w:ascii="Times New Roman" w:hAnsi="Times New Roman" w:cs="Times New Roman"/>
          <w:sz w:val="28"/>
          <w:szCs w:val="28"/>
          <w:lang w:val="kk-KZ"/>
        </w:rPr>
        <w:drawing>
          <wp:inline distT="0" distB="0" distL="0" distR="0">
            <wp:extent cx="5937250" cy="1360170"/>
            <wp:effectExtent l="0" t="0" r="6350" b="0"/>
            <wp:docPr id="4927299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29971" name="Рисунок 2"/>
                    <pic:cNvPicPr>
                      <a:picLocks noChangeAspect="1" noChangeArrowheads="1"/>
                    </pic:cNvPicPr>
                  </pic:nvPicPr>
                  <pic:blipFill>
                    <a:blip r:embed="rId6" cstate="print">
                      <a:extLst>
                        <a:ext uri="{28A0092B-C50C-407E-A947-70E740481C1C}">
                          <a14:useLocalDpi xmlns:a14="http://schemas.microsoft.com/office/drawing/2010/main" val="0"/>
                        </a:ext>
                      </a:extLst>
                    </a:blip>
                    <a:srcRect t="5494" b="60164"/>
                    <a:stretch>
                      <a:fillRect/>
                    </a:stretch>
                  </pic:blipFill>
                  <pic:spPr>
                    <a:xfrm>
                      <a:off x="0" y="0"/>
                      <a:ext cx="5937885" cy="1360748"/>
                    </a:xfrm>
                    <a:prstGeom prst="rect">
                      <a:avLst/>
                    </a:prstGeom>
                    <a:noFill/>
                    <a:ln>
                      <a:noFill/>
                    </a:ln>
                  </pic:spPr>
                </pic:pic>
              </a:graphicData>
            </a:graphic>
          </wp:inline>
        </w:drawing>
      </w:r>
    </w:p>
    <w:p w14:paraId="7B91B61D">
      <w:pPr>
        <w:rPr>
          <w:rFonts w:ascii="Times New Roman" w:hAnsi="Times New Roman" w:cs="Times New Roman"/>
          <w:sz w:val="28"/>
          <w:szCs w:val="28"/>
          <w:lang w:val="en-US"/>
        </w:rPr>
      </w:pPr>
      <w:r>
        <w:rPr>
          <w:rFonts w:ascii="Times New Roman" w:hAnsi="Times New Roman" w:cs="Times New Roman"/>
          <w:sz w:val="28"/>
          <w:szCs w:val="28"/>
          <w:lang w:val="en-US"/>
        </w:rPr>
        <w:t>The system context diagram illustrates the interaction between users, the frontend dApp, protocol smart contracts, and external infrastructure providers such as Chainlink and The Graph.</w:t>
      </w:r>
    </w:p>
    <w:p w14:paraId="5E0B466F">
      <w:pPr>
        <w:rPr>
          <w:rFonts w:ascii="Times New Roman" w:hAnsi="Times New Roman" w:cs="Times New Roman"/>
          <w:sz w:val="28"/>
          <w:szCs w:val="28"/>
          <w:lang w:val="kk-KZ"/>
        </w:rPr>
      </w:pPr>
    </w:p>
    <w:p w14:paraId="0CBDAE06">
      <w:pPr>
        <w:rPr>
          <w:rFonts w:ascii="Times New Roman" w:hAnsi="Times New Roman" w:cs="Times New Roman"/>
          <w:sz w:val="28"/>
          <w:szCs w:val="28"/>
          <w:lang w:val="kk-KZ"/>
        </w:rPr>
      </w:pPr>
    </w:p>
    <w:p w14:paraId="5D797ED6">
      <w:pPr>
        <w:rPr>
          <w:rFonts w:ascii="Times New Roman" w:hAnsi="Times New Roman" w:cs="Times New Roman"/>
          <w:b/>
          <w:bCs/>
          <w:i/>
          <w:iCs/>
          <w:sz w:val="28"/>
          <w:szCs w:val="28"/>
          <w:lang w:val="kk-KZ"/>
        </w:rPr>
      </w:pPr>
      <w:r>
        <w:rPr>
          <w:rFonts w:ascii="Times New Roman" w:hAnsi="Times New Roman" w:cs="Times New Roman"/>
          <w:b/>
          <w:bCs/>
          <w:i/>
          <w:iCs/>
          <w:sz w:val="28"/>
          <w:szCs w:val="28"/>
        </w:rPr>
        <w:t>Component Diagram</w:t>
      </w:r>
    </w:p>
    <w:p w14:paraId="4981F16B">
      <w:pPr>
        <w:rPr>
          <w:rFonts w:ascii="Times New Roman" w:hAnsi="Times New Roman" w:cs="Times New Roman"/>
          <w:sz w:val="28"/>
          <w:szCs w:val="28"/>
          <w:lang w:val="en-US"/>
        </w:rPr>
      </w:pPr>
      <w:r>
        <w:rPr>
          <w:rFonts w:ascii="Times New Roman" w:hAnsi="Times New Roman" w:cs="Times New Roman"/>
          <w:sz w:val="28"/>
          <w:szCs w:val="28"/>
          <w:lang w:val="kk-KZ"/>
        </w:rPr>
        <w:drawing>
          <wp:inline distT="0" distB="0" distL="0" distR="0">
            <wp:extent cx="5937250" cy="1920875"/>
            <wp:effectExtent l="0" t="0" r="6350" b="3175"/>
            <wp:docPr id="16562502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0295" name="Рисунок 2"/>
                    <pic:cNvPicPr>
                      <a:picLocks noChangeAspect="1" noChangeArrowheads="1"/>
                    </pic:cNvPicPr>
                  </pic:nvPicPr>
                  <pic:blipFill>
                    <a:blip r:embed="rId6" cstate="print">
                      <a:extLst>
                        <a:ext uri="{28A0092B-C50C-407E-A947-70E740481C1C}">
                          <a14:useLocalDpi xmlns:a14="http://schemas.microsoft.com/office/drawing/2010/main" val="0"/>
                        </a:ext>
                      </a:extLst>
                    </a:blip>
                    <a:srcRect t="47802" b="3707"/>
                    <a:stretch>
                      <a:fillRect/>
                    </a:stretch>
                  </pic:blipFill>
                  <pic:spPr>
                    <a:xfrm>
                      <a:off x="0" y="0"/>
                      <a:ext cx="5937885" cy="1921413"/>
                    </a:xfrm>
                    <a:prstGeom prst="rect">
                      <a:avLst/>
                    </a:prstGeom>
                    <a:noFill/>
                    <a:ln>
                      <a:noFill/>
                    </a:ln>
                  </pic:spPr>
                </pic:pic>
              </a:graphicData>
            </a:graphic>
          </wp:inline>
        </w:drawing>
      </w:r>
    </w:p>
    <w:p w14:paraId="587E53B4">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component diagram shows the relationships between the core protocol contracts and external services.</w:t>
      </w:r>
    </w:p>
    <w:p w14:paraId="015E01BA">
      <w:pPr>
        <w:spacing w:after="0" w:line="240" w:lineRule="auto"/>
        <w:rPr>
          <w:rFonts w:ascii="Times New Roman" w:hAnsi="Times New Roman" w:cs="Times New Roman"/>
          <w:sz w:val="28"/>
          <w:szCs w:val="28"/>
          <w:lang w:val="en-US"/>
        </w:rPr>
      </w:pPr>
    </w:p>
    <w:p w14:paraId="0E74EE2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governance layer includes GovernanceToken, SuperGovernor, TimelockController, and Treasury contracts. GovernanceToken provides voting power, while SuperGovernor manages proposal execution through the TimelockController.</w:t>
      </w:r>
    </w:p>
    <w:p w14:paraId="36E1F144">
      <w:pPr>
        <w:spacing w:after="0" w:line="240" w:lineRule="auto"/>
        <w:rPr>
          <w:rFonts w:ascii="Times New Roman" w:hAnsi="Times New Roman" w:cs="Times New Roman"/>
          <w:sz w:val="28"/>
          <w:szCs w:val="28"/>
          <w:lang w:val="en-US"/>
        </w:rPr>
      </w:pPr>
    </w:p>
    <w:p w14:paraId="14F1968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SuperAMM contract provides liquidity pool and swap functionality, while PoolFactory deploys new pools.</w:t>
      </w:r>
    </w:p>
    <w:p w14:paraId="1328B2E1">
      <w:pPr>
        <w:spacing w:after="0" w:line="240" w:lineRule="auto"/>
        <w:rPr>
          <w:rFonts w:ascii="Times New Roman" w:hAnsi="Times New Roman" w:cs="Times New Roman"/>
          <w:sz w:val="28"/>
          <w:szCs w:val="28"/>
          <w:lang w:val="en-US"/>
        </w:rPr>
      </w:pPr>
    </w:p>
    <w:p w14:paraId="1B63228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LendingPool contract manages borrowing and collateral operations.</w:t>
      </w:r>
    </w:p>
    <w:p w14:paraId="453159A2">
      <w:pPr>
        <w:spacing w:after="0" w:line="240" w:lineRule="auto"/>
        <w:rPr>
          <w:rFonts w:ascii="Times New Roman" w:hAnsi="Times New Roman" w:cs="Times New Roman"/>
          <w:sz w:val="28"/>
          <w:szCs w:val="28"/>
          <w:lang w:val="en-US"/>
        </w:rPr>
      </w:pPr>
    </w:p>
    <w:p w14:paraId="1148709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YieldVault contract implements the ERC4626 vault standard for yield generation and share accounting.</w:t>
      </w:r>
    </w:p>
    <w:p w14:paraId="231461C5">
      <w:pPr>
        <w:spacing w:after="0" w:line="240" w:lineRule="auto"/>
        <w:rPr>
          <w:rFonts w:ascii="Times New Roman" w:hAnsi="Times New Roman" w:cs="Times New Roman"/>
          <w:sz w:val="28"/>
          <w:szCs w:val="28"/>
          <w:lang w:val="en-US"/>
        </w:rPr>
      </w:pPr>
    </w:p>
    <w:p w14:paraId="5FF7814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protocol integrates ChainlinkOracle contracts for external price feeds and The Graph for event indexing and frontend analytics.</w:t>
      </w:r>
    </w:p>
    <w:p w14:paraId="35278245">
      <w:pPr>
        <w:spacing w:after="0" w:line="240" w:lineRule="auto"/>
        <w:rPr>
          <w:rFonts w:ascii="Times New Roman" w:hAnsi="Times New Roman" w:cs="Times New Roman"/>
          <w:sz w:val="28"/>
          <w:szCs w:val="28"/>
          <w:lang w:val="en-US"/>
        </w:rPr>
      </w:pPr>
    </w:p>
    <w:p w14:paraId="31DDB98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The frontend dApp communicates with all protocol contracts through Wagmi and Viem integrations on the Base Sepolia L2 network.</w:t>
      </w:r>
    </w:p>
    <w:p w14:paraId="45EEE30A">
      <w:pPr>
        <w:rPr>
          <w:rFonts w:ascii="Times New Roman" w:hAnsi="Times New Roman" w:cs="Times New Roman"/>
          <w:sz w:val="28"/>
          <w:szCs w:val="28"/>
          <w:lang w:val="kk-KZ"/>
        </w:rPr>
      </w:pPr>
    </w:p>
    <w:p w14:paraId="611D1952">
      <w:pPr>
        <w:rPr>
          <w:rFonts w:ascii="Times New Roman" w:hAnsi="Times New Roman" w:cs="Times New Roman"/>
          <w:sz w:val="28"/>
          <w:szCs w:val="28"/>
          <w:lang w:val="kk-KZ"/>
        </w:rPr>
      </w:pPr>
    </w:p>
    <w:p w14:paraId="124A58B4">
      <w:pPr>
        <w:rPr>
          <w:rFonts w:ascii="Times New Roman" w:hAnsi="Times New Roman" w:cs="Times New Roman"/>
          <w:sz w:val="28"/>
          <w:szCs w:val="28"/>
          <w:lang w:val="kk-KZ"/>
        </w:rPr>
      </w:pPr>
    </w:p>
    <w:p w14:paraId="46426A1E">
      <w:pPr>
        <w:rPr>
          <w:rFonts w:ascii="Times New Roman" w:hAnsi="Times New Roman" w:cs="Times New Roman"/>
          <w:sz w:val="28"/>
          <w:szCs w:val="28"/>
          <w:lang w:val="kk-KZ"/>
        </w:rPr>
      </w:pPr>
    </w:p>
    <w:p w14:paraId="4D4EE66D">
      <w:pPr>
        <w:rPr>
          <w:rFonts w:ascii="Times New Roman" w:hAnsi="Times New Roman" w:cs="Times New Roman"/>
          <w:sz w:val="28"/>
          <w:szCs w:val="28"/>
          <w:lang w:val="kk-KZ"/>
        </w:rPr>
      </w:pPr>
    </w:p>
    <w:p w14:paraId="552A921A">
      <w:pPr>
        <w:rPr>
          <w:rFonts w:ascii="Times New Roman" w:hAnsi="Times New Roman" w:cs="Times New Roman"/>
          <w:sz w:val="28"/>
          <w:szCs w:val="28"/>
          <w:lang w:val="kk-KZ"/>
        </w:rPr>
      </w:pPr>
    </w:p>
    <w:p w14:paraId="2816B7AD">
      <w:pPr>
        <w:rPr>
          <w:rFonts w:ascii="Times New Roman" w:hAnsi="Times New Roman" w:cs="Times New Roman"/>
          <w:sz w:val="28"/>
          <w:szCs w:val="28"/>
          <w:lang w:val="kk-KZ"/>
        </w:rPr>
      </w:pPr>
    </w:p>
    <w:p w14:paraId="72C9D7F4">
      <w:pPr>
        <w:rPr>
          <w:rFonts w:ascii="Times New Roman" w:hAnsi="Times New Roman" w:cs="Times New Roman"/>
          <w:b/>
          <w:bCs/>
          <w:sz w:val="32"/>
          <w:szCs w:val="32"/>
          <w:lang w:val="kk-KZ"/>
        </w:rPr>
      </w:pPr>
      <w:r>
        <w:rPr>
          <w:rFonts w:ascii="Times New Roman" w:hAnsi="Times New Roman" w:cs="Times New Roman"/>
          <w:b/>
          <w:bCs/>
          <w:sz w:val="32"/>
          <w:szCs w:val="32"/>
        </w:rPr>
        <w:t>4. Sequence Diagrams</w:t>
      </w:r>
    </w:p>
    <w:p w14:paraId="4BDD7DA3">
      <w:pPr>
        <w:rPr>
          <w:rFonts w:ascii="Times New Roman" w:hAnsi="Times New Roman" w:cs="Times New Roman"/>
          <w:sz w:val="28"/>
          <w:szCs w:val="28"/>
          <w:lang w:val="kk-KZ"/>
        </w:rPr>
      </w:pPr>
      <w:r>
        <w:rPr>
          <w:rFonts w:ascii="Times New Roman" w:hAnsi="Times New Roman" w:cs="Times New Roman"/>
          <w:sz w:val="28"/>
          <w:szCs w:val="28"/>
          <w:lang w:val="en-US"/>
        </w:rPr>
        <w:drawing>
          <wp:inline distT="0" distB="0" distL="0" distR="0">
            <wp:extent cx="2106295" cy="3215005"/>
            <wp:effectExtent l="0" t="0" r="8255" b="4445"/>
            <wp:docPr id="5705176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7601" name="Рисунок 3"/>
                    <pic:cNvPicPr>
                      <a:picLocks noChangeAspect="1" noChangeArrowheads="1"/>
                    </pic:cNvPicPr>
                  </pic:nvPicPr>
                  <pic:blipFill>
                    <a:blip r:embed="rId7" cstate="print">
                      <a:extLst>
                        <a:ext uri="{28A0092B-C50C-407E-A947-70E740481C1C}">
                          <a14:useLocalDpi xmlns:a14="http://schemas.microsoft.com/office/drawing/2010/main" val="0"/>
                        </a:ext>
                      </a:extLst>
                    </a:blip>
                    <a:srcRect r="67248"/>
                    <a:stretch>
                      <a:fillRect/>
                    </a:stretch>
                  </pic:blipFill>
                  <pic:spPr>
                    <a:xfrm>
                      <a:off x="0" y="0"/>
                      <a:ext cx="2112270" cy="3224318"/>
                    </a:xfrm>
                    <a:prstGeom prst="rect">
                      <a:avLst/>
                    </a:prstGeom>
                    <a:noFill/>
                    <a:ln>
                      <a:noFill/>
                    </a:ln>
                  </pic:spPr>
                </pic:pic>
              </a:graphicData>
            </a:graphic>
          </wp:inline>
        </w:drawing>
      </w:r>
    </w:p>
    <w:p w14:paraId="740A6A7E">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The swap flow shows how users exchange tokens through the SuperAMM contract. The frontend sends the swap transaction to the AMM contract, which calculates the output amount, transfers tokens, updates pool reserves, and emits a swap event. The Graph indexes the event and updates frontend analytics and transaction history.</w:t>
      </w:r>
    </w:p>
    <w:p w14:paraId="794CF9DE">
      <w:pPr>
        <w:rPr>
          <w:rFonts w:ascii="Times New Roman" w:hAnsi="Times New Roman" w:cs="Times New Roman"/>
          <w:sz w:val="28"/>
          <w:szCs w:val="28"/>
          <w:lang w:val="kk-KZ"/>
        </w:rPr>
      </w:pPr>
      <w:r>
        <w:rPr>
          <w:rFonts w:ascii="Times New Roman" w:hAnsi="Times New Roman" w:cs="Times New Roman"/>
          <w:sz w:val="28"/>
          <w:szCs w:val="28"/>
          <w:lang w:val="en-US"/>
        </w:rPr>
        <w:drawing>
          <wp:inline distT="0" distB="0" distL="0" distR="0">
            <wp:extent cx="2301240" cy="3482975"/>
            <wp:effectExtent l="0" t="0" r="3810" b="3175"/>
            <wp:docPr id="4355141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4118"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l="33853" r="33120"/>
                    <a:stretch>
                      <a:fillRect/>
                    </a:stretch>
                  </pic:blipFill>
                  <pic:spPr>
                    <a:xfrm>
                      <a:off x="0" y="0"/>
                      <a:ext cx="2308231" cy="3494004"/>
                    </a:xfrm>
                    <a:prstGeom prst="rect">
                      <a:avLst/>
                    </a:prstGeom>
                    <a:noFill/>
                    <a:ln>
                      <a:noFill/>
                    </a:ln>
                  </pic:spPr>
                </pic:pic>
              </a:graphicData>
            </a:graphic>
          </wp:inline>
        </w:drawing>
      </w:r>
    </w:p>
    <w:p w14:paraId="30EE56CE">
      <w:pPr>
        <w:rPr>
          <w:rFonts w:ascii="Times New Roman" w:hAnsi="Times New Roman" w:cs="Times New Roman"/>
          <w:sz w:val="28"/>
          <w:szCs w:val="28"/>
          <w:lang w:val="kk-KZ"/>
        </w:rPr>
      </w:pPr>
      <w:r>
        <w:rPr>
          <w:rFonts w:ascii="Times New Roman" w:hAnsi="Times New Roman" w:cs="Times New Roman"/>
          <w:sz w:val="28"/>
          <w:szCs w:val="28"/>
          <w:lang w:val="kk-KZ"/>
        </w:rPr>
        <w:t>The governance flow shows how DAO proposals are created, voted on, queued in the Timelock, and executed through the SuperGovernor contract.</w:t>
      </w:r>
    </w:p>
    <w:p w14:paraId="0FB4A242">
      <w:pPr>
        <w:rPr>
          <w:rFonts w:ascii="Times New Roman" w:hAnsi="Times New Roman" w:cs="Times New Roman"/>
          <w:sz w:val="28"/>
          <w:szCs w:val="28"/>
          <w:lang w:val="kk-KZ"/>
        </w:rPr>
      </w:pPr>
      <w:r>
        <w:rPr>
          <w:rFonts w:ascii="Times New Roman" w:hAnsi="Times New Roman" w:cs="Times New Roman"/>
          <w:sz w:val="28"/>
          <w:szCs w:val="28"/>
          <w:lang w:val="en-US"/>
        </w:rPr>
        <w:drawing>
          <wp:inline distT="0" distB="0" distL="0" distR="0">
            <wp:extent cx="2530475" cy="3951605"/>
            <wp:effectExtent l="0" t="0" r="3175" b="0"/>
            <wp:docPr id="6552437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3769" name="Рисунок 3"/>
                    <pic:cNvPicPr>
                      <a:picLocks noChangeAspect="1" noChangeArrowheads="1"/>
                    </pic:cNvPicPr>
                  </pic:nvPicPr>
                  <pic:blipFill>
                    <a:blip r:embed="rId9" cstate="print">
                      <a:extLst>
                        <a:ext uri="{28A0092B-C50C-407E-A947-70E740481C1C}">
                          <a14:useLocalDpi xmlns:a14="http://schemas.microsoft.com/office/drawing/2010/main" val="0"/>
                        </a:ext>
                      </a:extLst>
                    </a:blip>
                    <a:srcRect l="67980"/>
                    <a:stretch>
                      <a:fillRect/>
                    </a:stretch>
                  </pic:blipFill>
                  <pic:spPr>
                    <a:xfrm>
                      <a:off x="0" y="0"/>
                      <a:ext cx="2537769" cy="3962438"/>
                    </a:xfrm>
                    <a:prstGeom prst="rect">
                      <a:avLst/>
                    </a:prstGeom>
                    <a:noFill/>
                    <a:ln>
                      <a:noFill/>
                    </a:ln>
                  </pic:spPr>
                </pic:pic>
              </a:graphicData>
            </a:graphic>
          </wp:inline>
        </w:drawing>
      </w:r>
    </w:p>
    <w:p w14:paraId="1F4DD226">
      <w:pPr>
        <w:rPr>
          <w:rFonts w:ascii="Times New Roman" w:hAnsi="Times New Roman" w:cs="Times New Roman"/>
          <w:sz w:val="28"/>
          <w:szCs w:val="28"/>
          <w:lang w:val="kk-KZ"/>
        </w:rPr>
      </w:pPr>
      <w:r>
        <w:rPr>
          <w:rFonts w:ascii="Times New Roman" w:hAnsi="Times New Roman" w:cs="Times New Roman"/>
          <w:sz w:val="28"/>
          <w:szCs w:val="28"/>
          <w:lang w:val="kk-KZ"/>
        </w:rPr>
        <w:t>The vault deposit flow shows how users deposit assets into the ERC4626 YieldVault and receive vault shares representing their ownership in the vault.</w:t>
      </w:r>
    </w:p>
    <w:p w14:paraId="63975B6D">
      <w:pPr>
        <w:rPr>
          <w:rFonts w:ascii="Times New Roman" w:hAnsi="Times New Roman" w:cs="Times New Roman"/>
          <w:b/>
          <w:bCs/>
          <w:sz w:val="32"/>
          <w:szCs w:val="32"/>
        </w:rPr>
      </w:pPr>
      <w:r>
        <w:rPr>
          <w:rFonts w:ascii="Times New Roman" w:hAnsi="Times New Roman" w:cs="Times New Roman"/>
          <w:b/>
          <w:bCs/>
          <w:sz w:val="32"/>
          <w:szCs w:val="32"/>
        </w:rPr>
        <w:t>5. Data Model / Storage Layout</w:t>
      </w:r>
    </w:p>
    <w:p w14:paraId="2AD2564C">
      <w:pPr>
        <w:rPr>
          <w:rFonts w:ascii="Times New Roman" w:hAnsi="Times New Roman" w:cs="Times New Roman"/>
          <w:b/>
          <w:bCs/>
          <w:i/>
          <w:iCs/>
          <w:sz w:val="28"/>
          <w:szCs w:val="28"/>
          <w:lang w:val="kk-KZ"/>
        </w:rPr>
      </w:pPr>
      <w:r>
        <w:rPr>
          <w:rFonts w:ascii="Times New Roman" w:hAnsi="Times New Roman" w:cs="Times New Roman"/>
          <w:b/>
          <w:bCs/>
          <w:i/>
          <w:iCs/>
          <w:sz w:val="28"/>
          <w:szCs w:val="28"/>
        </w:rPr>
        <w:t>SuperAMM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0325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7923F78D">
            <w:pPr>
              <w:spacing w:after="0" w:line="240" w:lineRule="auto"/>
              <w:jc w:val="center"/>
              <w:rPr>
                <w:rFonts w:ascii="Times New Roman" w:hAnsi="Times New Roman" w:cs="Times New Roman"/>
                <w:sz w:val="28"/>
                <w:szCs w:val="28"/>
                <w:lang w:val="kk-KZ"/>
              </w:rPr>
            </w:pPr>
            <w:r>
              <w:rPr>
                <w:rFonts w:ascii="Times New Roman" w:hAnsi="Times New Roman" w:cs="Times New Roman"/>
                <w:b/>
                <w:bCs/>
              </w:rPr>
              <w:t>Variable</w:t>
            </w:r>
          </w:p>
        </w:tc>
        <w:tc>
          <w:tcPr>
            <w:tcW w:w="3115" w:type="dxa"/>
            <w:vAlign w:val="center"/>
          </w:tcPr>
          <w:p w14:paraId="73DCD9A6">
            <w:pPr>
              <w:spacing w:after="0" w:line="240" w:lineRule="auto"/>
              <w:jc w:val="center"/>
              <w:rPr>
                <w:rFonts w:ascii="Times New Roman" w:hAnsi="Times New Roman" w:cs="Times New Roman"/>
                <w:sz w:val="28"/>
                <w:szCs w:val="28"/>
                <w:lang w:val="kk-KZ"/>
              </w:rPr>
            </w:pPr>
            <w:r>
              <w:rPr>
                <w:rFonts w:ascii="Times New Roman" w:hAnsi="Times New Roman" w:cs="Times New Roman"/>
                <w:b/>
                <w:bCs/>
              </w:rPr>
              <w:t>Type</w:t>
            </w:r>
          </w:p>
        </w:tc>
        <w:tc>
          <w:tcPr>
            <w:tcW w:w="3115" w:type="dxa"/>
            <w:vAlign w:val="center"/>
          </w:tcPr>
          <w:p w14:paraId="7A96B833">
            <w:pPr>
              <w:spacing w:after="0" w:line="240" w:lineRule="auto"/>
              <w:jc w:val="center"/>
              <w:rPr>
                <w:rFonts w:ascii="Times New Roman" w:hAnsi="Times New Roman" w:cs="Times New Roman"/>
                <w:sz w:val="28"/>
                <w:szCs w:val="28"/>
                <w:lang w:val="kk-KZ"/>
              </w:rPr>
            </w:pPr>
            <w:r>
              <w:rPr>
                <w:rFonts w:ascii="Times New Roman" w:hAnsi="Times New Roman" w:cs="Times New Roman"/>
                <w:b/>
                <w:bCs/>
              </w:rPr>
              <w:t>Description</w:t>
            </w:r>
          </w:p>
        </w:tc>
      </w:tr>
      <w:tr w14:paraId="244A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211CDF4">
            <w:pPr>
              <w:spacing w:after="0" w:line="240" w:lineRule="auto"/>
              <w:jc w:val="center"/>
              <w:rPr>
                <w:rFonts w:ascii="Times New Roman" w:hAnsi="Times New Roman" w:cs="Times New Roman"/>
                <w:sz w:val="28"/>
                <w:szCs w:val="28"/>
                <w:lang w:val="kk-KZ"/>
              </w:rPr>
            </w:pPr>
            <w:r>
              <w:rPr>
                <w:rFonts w:ascii="Times New Roman" w:hAnsi="Times New Roman" w:cs="Times New Roman"/>
              </w:rPr>
              <w:t>tokenA</w:t>
            </w:r>
          </w:p>
        </w:tc>
        <w:tc>
          <w:tcPr>
            <w:tcW w:w="3115" w:type="dxa"/>
            <w:vAlign w:val="center"/>
          </w:tcPr>
          <w:p w14:paraId="1016E835">
            <w:pPr>
              <w:spacing w:after="0" w:line="240" w:lineRule="auto"/>
              <w:jc w:val="center"/>
              <w:rPr>
                <w:rFonts w:ascii="Times New Roman" w:hAnsi="Times New Roman" w:cs="Times New Roman"/>
                <w:sz w:val="28"/>
                <w:szCs w:val="28"/>
                <w:lang w:val="kk-KZ"/>
              </w:rPr>
            </w:pPr>
            <w:r>
              <w:rPr>
                <w:rFonts w:ascii="Times New Roman" w:hAnsi="Times New Roman" w:cs="Times New Roman"/>
              </w:rPr>
              <w:t>IERC20 immutable</w:t>
            </w:r>
          </w:p>
        </w:tc>
        <w:tc>
          <w:tcPr>
            <w:tcW w:w="3115" w:type="dxa"/>
            <w:vAlign w:val="center"/>
          </w:tcPr>
          <w:p w14:paraId="59D6E636">
            <w:pPr>
              <w:spacing w:after="0" w:line="240" w:lineRule="auto"/>
              <w:jc w:val="center"/>
              <w:rPr>
                <w:rFonts w:ascii="Times New Roman" w:hAnsi="Times New Roman" w:cs="Times New Roman"/>
                <w:sz w:val="28"/>
                <w:szCs w:val="28"/>
                <w:lang w:val="kk-KZ"/>
              </w:rPr>
            </w:pPr>
            <w:r>
              <w:rPr>
                <w:rFonts w:ascii="Times New Roman" w:hAnsi="Times New Roman" w:cs="Times New Roman"/>
              </w:rPr>
              <w:t>First ERC20 token in the AMM pair</w:t>
            </w:r>
          </w:p>
        </w:tc>
      </w:tr>
      <w:tr w14:paraId="2687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8F17E36">
            <w:pPr>
              <w:spacing w:after="0" w:line="240" w:lineRule="auto"/>
              <w:jc w:val="center"/>
              <w:rPr>
                <w:rFonts w:ascii="Times New Roman" w:hAnsi="Times New Roman" w:cs="Times New Roman"/>
                <w:sz w:val="28"/>
                <w:szCs w:val="28"/>
                <w:lang w:val="kk-KZ"/>
              </w:rPr>
            </w:pPr>
            <w:r>
              <w:rPr>
                <w:rFonts w:ascii="Times New Roman" w:hAnsi="Times New Roman" w:cs="Times New Roman"/>
              </w:rPr>
              <w:t>tokenB</w:t>
            </w:r>
          </w:p>
        </w:tc>
        <w:tc>
          <w:tcPr>
            <w:tcW w:w="3115" w:type="dxa"/>
            <w:vAlign w:val="center"/>
          </w:tcPr>
          <w:p w14:paraId="4383B19D">
            <w:pPr>
              <w:spacing w:after="0" w:line="240" w:lineRule="auto"/>
              <w:jc w:val="center"/>
              <w:rPr>
                <w:rFonts w:ascii="Times New Roman" w:hAnsi="Times New Roman" w:cs="Times New Roman"/>
                <w:sz w:val="28"/>
                <w:szCs w:val="28"/>
                <w:lang w:val="kk-KZ"/>
              </w:rPr>
            </w:pPr>
            <w:r>
              <w:rPr>
                <w:rFonts w:ascii="Times New Roman" w:hAnsi="Times New Roman" w:cs="Times New Roman"/>
              </w:rPr>
              <w:t>IERC20 immutable</w:t>
            </w:r>
          </w:p>
        </w:tc>
        <w:tc>
          <w:tcPr>
            <w:tcW w:w="3115" w:type="dxa"/>
            <w:vAlign w:val="center"/>
          </w:tcPr>
          <w:p w14:paraId="2E419F44">
            <w:pPr>
              <w:spacing w:after="0" w:line="240" w:lineRule="auto"/>
              <w:jc w:val="center"/>
              <w:rPr>
                <w:rFonts w:ascii="Times New Roman" w:hAnsi="Times New Roman" w:cs="Times New Roman"/>
                <w:sz w:val="28"/>
                <w:szCs w:val="28"/>
                <w:lang w:val="kk-KZ"/>
              </w:rPr>
            </w:pPr>
            <w:r>
              <w:rPr>
                <w:rFonts w:ascii="Times New Roman" w:hAnsi="Times New Roman" w:cs="Times New Roman"/>
              </w:rPr>
              <w:t>Second ERC20 token in the AMM pair</w:t>
            </w:r>
          </w:p>
        </w:tc>
      </w:tr>
      <w:tr w14:paraId="5435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F41C912">
            <w:pPr>
              <w:spacing w:after="0" w:line="240" w:lineRule="auto"/>
              <w:jc w:val="center"/>
              <w:rPr>
                <w:rFonts w:ascii="Times New Roman" w:hAnsi="Times New Roman" w:cs="Times New Roman"/>
                <w:sz w:val="28"/>
                <w:szCs w:val="28"/>
                <w:lang w:val="kk-KZ"/>
              </w:rPr>
            </w:pPr>
            <w:r>
              <w:rPr>
                <w:rFonts w:ascii="Times New Roman" w:hAnsi="Times New Roman" w:cs="Times New Roman"/>
              </w:rPr>
              <w:t>reserveA</w:t>
            </w:r>
          </w:p>
        </w:tc>
        <w:tc>
          <w:tcPr>
            <w:tcW w:w="3115" w:type="dxa"/>
            <w:vAlign w:val="center"/>
          </w:tcPr>
          <w:p w14:paraId="59CB896F">
            <w:pPr>
              <w:spacing w:after="0" w:line="240" w:lineRule="auto"/>
              <w:jc w:val="center"/>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7064559E">
            <w:pPr>
              <w:spacing w:after="0" w:line="240" w:lineRule="auto"/>
              <w:jc w:val="center"/>
              <w:rPr>
                <w:rFonts w:ascii="Times New Roman" w:hAnsi="Times New Roman" w:cs="Times New Roman"/>
                <w:sz w:val="28"/>
                <w:szCs w:val="28"/>
                <w:lang w:val="kk-KZ"/>
              </w:rPr>
            </w:pPr>
            <w:r>
              <w:rPr>
                <w:rFonts w:ascii="Times New Roman" w:hAnsi="Times New Roman" w:cs="Times New Roman"/>
              </w:rPr>
              <w:t>Reserve balance of tokenA</w:t>
            </w:r>
          </w:p>
        </w:tc>
      </w:tr>
      <w:tr w14:paraId="36E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2214A514">
            <w:pPr>
              <w:spacing w:after="0" w:line="240" w:lineRule="auto"/>
              <w:jc w:val="center"/>
              <w:rPr>
                <w:rFonts w:ascii="Times New Roman" w:hAnsi="Times New Roman" w:cs="Times New Roman"/>
                <w:sz w:val="28"/>
                <w:szCs w:val="28"/>
                <w:lang w:val="kk-KZ"/>
              </w:rPr>
            </w:pPr>
            <w:r>
              <w:rPr>
                <w:rFonts w:ascii="Times New Roman" w:hAnsi="Times New Roman" w:cs="Times New Roman"/>
              </w:rPr>
              <w:t>reserveB</w:t>
            </w:r>
          </w:p>
        </w:tc>
        <w:tc>
          <w:tcPr>
            <w:tcW w:w="3115" w:type="dxa"/>
            <w:vAlign w:val="center"/>
          </w:tcPr>
          <w:p w14:paraId="0D0DB8A6">
            <w:pPr>
              <w:spacing w:after="0" w:line="240" w:lineRule="auto"/>
              <w:jc w:val="center"/>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62717D9D">
            <w:pPr>
              <w:spacing w:after="0" w:line="240" w:lineRule="auto"/>
              <w:jc w:val="center"/>
              <w:rPr>
                <w:rFonts w:ascii="Times New Roman" w:hAnsi="Times New Roman" w:cs="Times New Roman"/>
                <w:sz w:val="28"/>
                <w:szCs w:val="28"/>
                <w:lang w:val="kk-KZ"/>
              </w:rPr>
            </w:pPr>
            <w:r>
              <w:rPr>
                <w:rFonts w:ascii="Times New Roman" w:hAnsi="Times New Roman" w:cs="Times New Roman"/>
              </w:rPr>
              <w:t>Reserve balance of tokenB</w:t>
            </w:r>
          </w:p>
        </w:tc>
      </w:tr>
      <w:tr w14:paraId="2485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52346E2">
            <w:pPr>
              <w:spacing w:after="0" w:line="240" w:lineRule="auto"/>
              <w:jc w:val="center"/>
              <w:rPr>
                <w:rFonts w:ascii="Times New Roman" w:hAnsi="Times New Roman" w:cs="Times New Roman"/>
                <w:sz w:val="28"/>
                <w:szCs w:val="28"/>
                <w:lang w:val="kk-KZ"/>
              </w:rPr>
            </w:pPr>
            <w:r>
              <w:rPr>
                <w:rFonts w:ascii="Times New Roman" w:hAnsi="Times New Roman" w:cs="Times New Roman"/>
              </w:rPr>
              <w:t>FEE</w:t>
            </w:r>
          </w:p>
        </w:tc>
        <w:tc>
          <w:tcPr>
            <w:tcW w:w="3115" w:type="dxa"/>
            <w:vAlign w:val="center"/>
          </w:tcPr>
          <w:p w14:paraId="256326C4">
            <w:pPr>
              <w:spacing w:after="0" w:line="240" w:lineRule="auto"/>
              <w:jc w:val="center"/>
              <w:rPr>
                <w:rFonts w:ascii="Times New Roman" w:hAnsi="Times New Roman" w:cs="Times New Roman"/>
                <w:sz w:val="28"/>
                <w:szCs w:val="28"/>
                <w:lang w:val="kk-KZ"/>
              </w:rPr>
            </w:pPr>
            <w:r>
              <w:rPr>
                <w:rFonts w:ascii="Times New Roman" w:hAnsi="Times New Roman" w:cs="Times New Roman"/>
              </w:rPr>
              <w:t>uint256 constant</w:t>
            </w:r>
          </w:p>
        </w:tc>
        <w:tc>
          <w:tcPr>
            <w:tcW w:w="3115" w:type="dxa"/>
            <w:vAlign w:val="center"/>
          </w:tcPr>
          <w:p w14:paraId="67D2FECC">
            <w:pPr>
              <w:spacing w:after="0" w:line="240" w:lineRule="auto"/>
              <w:jc w:val="center"/>
              <w:rPr>
                <w:rFonts w:ascii="Times New Roman" w:hAnsi="Times New Roman" w:cs="Times New Roman"/>
                <w:sz w:val="28"/>
                <w:szCs w:val="28"/>
                <w:lang w:val="kk-KZ"/>
              </w:rPr>
            </w:pPr>
            <w:r>
              <w:rPr>
                <w:rFonts w:ascii="Times New Roman" w:hAnsi="Times New Roman" w:cs="Times New Roman"/>
              </w:rPr>
              <w:t>Swap fee used in AMM calculations</w:t>
            </w:r>
          </w:p>
        </w:tc>
      </w:tr>
    </w:tbl>
    <w:p w14:paraId="2CC93B2A">
      <w:pPr>
        <w:rPr>
          <w:rFonts w:ascii="Times New Roman" w:hAnsi="Times New Roman" w:cs="Times New Roman"/>
          <w:sz w:val="28"/>
          <w:szCs w:val="28"/>
          <w:lang w:val="kk-KZ"/>
        </w:rPr>
      </w:pPr>
      <w:r>
        <w:rPr>
          <w:rFonts w:ascii="Times New Roman" w:hAnsi="Times New Roman" w:cs="Times New Roman"/>
          <w:sz w:val="28"/>
          <w:szCs w:val="28"/>
          <w:lang w:val="kk-KZ"/>
        </w:rPr>
        <w:t>The SuperAMM contract stores reserve balances for both liquidity pool assets and manages token swaps using the constant-product AMM model.</w:t>
      </w:r>
    </w:p>
    <w:p w14:paraId="0376C9C8">
      <w:pPr>
        <w:rPr>
          <w:rFonts w:ascii="Times New Roman" w:hAnsi="Times New Roman" w:cs="Times New Roman"/>
          <w:sz w:val="28"/>
          <w:szCs w:val="28"/>
          <w:lang w:val="kk-KZ"/>
        </w:rPr>
      </w:pPr>
      <w:r>
        <w:rPr>
          <w:rFonts w:ascii="Times New Roman" w:hAnsi="Times New Roman" w:cs="Times New Roman"/>
          <w:sz w:val="28"/>
          <w:szCs w:val="28"/>
          <w:lang w:val="kk-KZ"/>
        </w:rPr>
        <w:t>The reserveA and reserveB variables are updated after liquidity additions and swap operations.</w:t>
      </w:r>
    </w:p>
    <w:p w14:paraId="3DE6FEEB">
      <w:pPr>
        <w:rPr>
          <w:rFonts w:ascii="Times New Roman" w:hAnsi="Times New Roman" w:cs="Times New Roman"/>
          <w:sz w:val="28"/>
          <w:szCs w:val="28"/>
          <w:lang w:val="kk-KZ"/>
        </w:rPr>
      </w:pPr>
      <w:r>
        <w:rPr>
          <w:rFonts w:ascii="Times New Roman" w:hAnsi="Times New Roman" w:cs="Times New Roman"/>
          <w:sz w:val="28"/>
          <w:szCs w:val="28"/>
          <w:lang w:val="kk-KZ"/>
        </w:rPr>
        <w:t>The contract uses immutable token references for tokenA and tokenB and applies a fixed swap fee during output calculations.</w:t>
      </w:r>
    </w:p>
    <w:p w14:paraId="6D7A1EF6">
      <w:pPr>
        <w:rPr>
          <w:rFonts w:ascii="Times New Roman" w:hAnsi="Times New Roman" w:cs="Times New Roman"/>
          <w:b/>
          <w:bCs/>
          <w:i/>
          <w:iCs/>
          <w:sz w:val="28"/>
          <w:szCs w:val="28"/>
          <w:lang w:val="zh-CN"/>
        </w:rPr>
      </w:pPr>
      <w:r>
        <w:rPr>
          <w:rFonts w:ascii="Times New Roman" w:hAnsi="Times New Roman" w:cs="Times New Roman"/>
          <w:b/>
          <w:bCs/>
          <w:i/>
          <w:iCs/>
          <w:sz w:val="28"/>
          <w:szCs w:val="28"/>
          <w:lang w:val="zh-CN"/>
        </w:rPr>
        <w:t>PoolFactory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49AF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7EE2DEC">
            <w:pPr>
              <w:spacing w:after="0" w:line="240" w:lineRule="auto"/>
              <w:rPr>
                <w:rFonts w:ascii="Times New Roman" w:hAnsi="Times New Roman" w:cs="Times New Roman"/>
                <w:sz w:val="28"/>
                <w:szCs w:val="28"/>
                <w:lang w:val="zh-CN"/>
              </w:rPr>
            </w:pPr>
            <w:r>
              <w:rPr>
                <w:rFonts w:ascii="Times New Roman" w:hAnsi="Times New Roman" w:cs="Times New Roman"/>
                <w:b/>
                <w:bCs/>
              </w:rPr>
              <w:t>Variable</w:t>
            </w:r>
          </w:p>
        </w:tc>
        <w:tc>
          <w:tcPr>
            <w:tcW w:w="3115" w:type="dxa"/>
            <w:vAlign w:val="center"/>
          </w:tcPr>
          <w:p w14:paraId="4764924C">
            <w:pPr>
              <w:spacing w:after="0" w:line="240" w:lineRule="auto"/>
              <w:rPr>
                <w:rFonts w:ascii="Times New Roman" w:hAnsi="Times New Roman" w:cs="Times New Roman"/>
                <w:sz w:val="28"/>
                <w:szCs w:val="28"/>
                <w:lang w:val="zh-CN"/>
              </w:rPr>
            </w:pPr>
            <w:r>
              <w:rPr>
                <w:rFonts w:ascii="Times New Roman" w:hAnsi="Times New Roman" w:cs="Times New Roman"/>
                <w:b/>
                <w:bCs/>
              </w:rPr>
              <w:t>Type</w:t>
            </w:r>
          </w:p>
        </w:tc>
        <w:tc>
          <w:tcPr>
            <w:tcW w:w="3115" w:type="dxa"/>
            <w:vAlign w:val="center"/>
          </w:tcPr>
          <w:p w14:paraId="784D547C">
            <w:pPr>
              <w:spacing w:after="0" w:line="240" w:lineRule="auto"/>
              <w:rPr>
                <w:rFonts w:ascii="Times New Roman" w:hAnsi="Times New Roman" w:cs="Times New Roman"/>
                <w:sz w:val="28"/>
                <w:szCs w:val="28"/>
                <w:lang w:val="zh-CN"/>
              </w:rPr>
            </w:pPr>
            <w:r>
              <w:rPr>
                <w:rFonts w:ascii="Times New Roman" w:hAnsi="Times New Roman" w:cs="Times New Roman"/>
                <w:b/>
                <w:bCs/>
              </w:rPr>
              <w:t>Description</w:t>
            </w:r>
          </w:p>
        </w:tc>
      </w:tr>
      <w:tr w14:paraId="760B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9EA8624">
            <w:pPr>
              <w:spacing w:after="0" w:line="240" w:lineRule="auto"/>
              <w:rPr>
                <w:rFonts w:ascii="Times New Roman" w:hAnsi="Times New Roman" w:cs="Times New Roman"/>
                <w:sz w:val="28"/>
                <w:szCs w:val="28"/>
                <w:lang w:val="zh-CN"/>
              </w:rPr>
            </w:pPr>
            <w:r>
              <w:rPr>
                <w:rFonts w:ascii="Times New Roman" w:hAnsi="Times New Roman" w:cs="Times New Roman"/>
              </w:rPr>
              <w:t>allPools</w:t>
            </w:r>
          </w:p>
        </w:tc>
        <w:tc>
          <w:tcPr>
            <w:tcW w:w="3115" w:type="dxa"/>
            <w:vAlign w:val="center"/>
          </w:tcPr>
          <w:p w14:paraId="1528FC21">
            <w:pPr>
              <w:spacing w:after="0" w:line="240" w:lineRule="auto"/>
              <w:rPr>
                <w:rFonts w:ascii="Times New Roman" w:hAnsi="Times New Roman" w:cs="Times New Roman"/>
                <w:sz w:val="28"/>
                <w:szCs w:val="28"/>
                <w:lang w:val="zh-CN"/>
              </w:rPr>
            </w:pPr>
            <w:r>
              <w:rPr>
                <w:rFonts w:ascii="Times New Roman" w:hAnsi="Times New Roman" w:cs="Times New Roman"/>
              </w:rPr>
              <w:t>address[]</w:t>
            </w:r>
          </w:p>
        </w:tc>
        <w:tc>
          <w:tcPr>
            <w:tcW w:w="3115" w:type="dxa"/>
            <w:vAlign w:val="center"/>
          </w:tcPr>
          <w:p w14:paraId="605D4ACA">
            <w:pPr>
              <w:spacing w:after="0" w:line="240" w:lineRule="auto"/>
              <w:rPr>
                <w:rFonts w:ascii="Times New Roman" w:hAnsi="Times New Roman" w:cs="Times New Roman"/>
                <w:sz w:val="28"/>
                <w:szCs w:val="28"/>
                <w:lang w:val="zh-CN"/>
              </w:rPr>
            </w:pPr>
            <w:r>
              <w:rPr>
                <w:rFonts w:ascii="Times New Roman" w:hAnsi="Times New Roman" w:cs="Times New Roman"/>
              </w:rPr>
              <w:t>Array containing all deployed AMM pool addresses</w:t>
            </w:r>
          </w:p>
        </w:tc>
      </w:tr>
    </w:tbl>
    <w:p w14:paraId="04505DCB">
      <w:pPr>
        <w:rPr>
          <w:rFonts w:ascii="Times New Roman" w:hAnsi="Times New Roman" w:cs="Times New Roman"/>
          <w:sz w:val="28"/>
          <w:szCs w:val="28"/>
          <w:lang w:val="zh-CN"/>
        </w:rPr>
      </w:pPr>
      <w:r>
        <w:rPr>
          <w:rFonts w:ascii="Times New Roman" w:hAnsi="Times New Roman" w:cs="Times New Roman"/>
          <w:sz w:val="28"/>
          <w:szCs w:val="28"/>
          <w:lang w:val="zh-CN"/>
        </w:rPr>
        <w:t>The PoolFactory contract manages deployment and tracking of SuperAMM liquidity pools.</w:t>
      </w:r>
    </w:p>
    <w:p w14:paraId="7DC4E5BA">
      <w:pPr>
        <w:rPr>
          <w:rFonts w:ascii="Times New Roman" w:hAnsi="Times New Roman" w:cs="Times New Roman"/>
          <w:sz w:val="28"/>
          <w:szCs w:val="28"/>
          <w:lang w:val="zh-CN"/>
        </w:rPr>
      </w:pPr>
      <w:r>
        <w:rPr>
          <w:rFonts w:ascii="Times New Roman" w:hAnsi="Times New Roman" w:cs="Times New Roman"/>
          <w:sz w:val="28"/>
          <w:szCs w:val="28"/>
          <w:lang w:val="zh-CN"/>
        </w:rPr>
        <w:t>The allPools array stores addresses of all created AMM contracts deployed through standard or deterministic CREATE2 deployment methods.</w:t>
      </w:r>
    </w:p>
    <w:p w14:paraId="3E2FAB17">
      <w:pPr>
        <w:rPr>
          <w:rFonts w:ascii="Times New Roman" w:hAnsi="Times New Roman" w:cs="Times New Roman"/>
          <w:sz w:val="28"/>
          <w:szCs w:val="28"/>
          <w:lang w:val="zh-CN"/>
        </w:rPr>
      </w:pPr>
      <w:r>
        <w:rPr>
          <w:rFonts w:ascii="Times New Roman" w:hAnsi="Times New Roman" w:cs="Times New Roman"/>
          <w:sz w:val="28"/>
          <w:szCs w:val="28"/>
          <w:lang w:val="zh-CN"/>
        </w:rPr>
        <w:t>The factory supports deterministic pool deployment and address prediction for precomputed liquidity pool addresses.</w:t>
      </w:r>
    </w:p>
    <w:p w14:paraId="3AA9067D">
      <w:pPr>
        <w:rPr>
          <w:rFonts w:ascii="Times New Roman" w:hAnsi="Times New Roman" w:cs="Times New Roman"/>
          <w:sz w:val="28"/>
          <w:szCs w:val="28"/>
          <w:lang w:val="zh-CN"/>
        </w:rPr>
      </w:pPr>
    </w:p>
    <w:p w14:paraId="64F7EB54">
      <w:pPr>
        <w:rPr>
          <w:rFonts w:ascii="Times New Roman" w:hAnsi="Times New Roman" w:cs="Times New Roman"/>
          <w:b/>
          <w:bCs/>
          <w:i/>
          <w:iCs/>
          <w:sz w:val="28"/>
          <w:szCs w:val="28"/>
          <w:lang w:val="kk-KZ"/>
        </w:rPr>
      </w:pPr>
      <w:r>
        <w:rPr>
          <w:rFonts w:ascii="Times New Roman" w:hAnsi="Times New Roman" w:cs="Times New Roman"/>
          <w:b/>
          <w:bCs/>
          <w:i/>
          <w:iCs/>
          <w:sz w:val="28"/>
          <w:szCs w:val="28"/>
        </w:rPr>
        <w:t>SuperGovernor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71AB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675B0A4">
            <w:pPr>
              <w:spacing w:after="0" w:line="240" w:lineRule="auto"/>
              <w:rPr>
                <w:rFonts w:ascii="Times New Roman" w:hAnsi="Times New Roman" w:cs="Times New Roman"/>
                <w:sz w:val="28"/>
                <w:szCs w:val="28"/>
                <w:lang w:val="kk-KZ"/>
              </w:rPr>
            </w:pPr>
            <w:r>
              <w:rPr>
                <w:rFonts w:ascii="Times New Roman" w:hAnsi="Times New Roman" w:cs="Times New Roman"/>
                <w:b/>
                <w:bCs/>
              </w:rPr>
              <w:t>Variable</w:t>
            </w:r>
          </w:p>
        </w:tc>
        <w:tc>
          <w:tcPr>
            <w:tcW w:w="3115" w:type="dxa"/>
            <w:vAlign w:val="center"/>
          </w:tcPr>
          <w:p w14:paraId="2C065314">
            <w:pPr>
              <w:spacing w:after="0" w:line="240" w:lineRule="auto"/>
              <w:rPr>
                <w:rFonts w:ascii="Times New Roman" w:hAnsi="Times New Roman" w:cs="Times New Roman"/>
                <w:sz w:val="28"/>
                <w:szCs w:val="28"/>
                <w:lang w:val="kk-KZ"/>
              </w:rPr>
            </w:pPr>
            <w:r>
              <w:rPr>
                <w:rFonts w:ascii="Times New Roman" w:hAnsi="Times New Roman" w:cs="Times New Roman"/>
                <w:b/>
                <w:bCs/>
              </w:rPr>
              <w:t>Type</w:t>
            </w:r>
          </w:p>
        </w:tc>
        <w:tc>
          <w:tcPr>
            <w:tcW w:w="3115" w:type="dxa"/>
            <w:vAlign w:val="center"/>
          </w:tcPr>
          <w:p w14:paraId="09ADF565">
            <w:pPr>
              <w:spacing w:after="0" w:line="240" w:lineRule="auto"/>
              <w:rPr>
                <w:rFonts w:ascii="Times New Roman" w:hAnsi="Times New Roman" w:cs="Times New Roman"/>
                <w:sz w:val="28"/>
                <w:szCs w:val="28"/>
                <w:lang w:val="kk-KZ"/>
              </w:rPr>
            </w:pPr>
            <w:r>
              <w:rPr>
                <w:rFonts w:ascii="Times New Roman" w:hAnsi="Times New Roman" w:cs="Times New Roman"/>
                <w:b/>
                <w:bCs/>
              </w:rPr>
              <w:t>Description</w:t>
            </w:r>
          </w:p>
        </w:tc>
      </w:tr>
      <w:tr w14:paraId="744D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7566AB5">
            <w:pPr>
              <w:spacing w:after="0" w:line="240" w:lineRule="auto"/>
              <w:rPr>
                <w:rFonts w:ascii="Times New Roman" w:hAnsi="Times New Roman" w:cs="Times New Roman"/>
                <w:sz w:val="28"/>
                <w:szCs w:val="28"/>
                <w:lang w:val="kk-KZ"/>
              </w:rPr>
            </w:pPr>
            <w:r>
              <w:rPr>
                <w:rFonts w:ascii="Times New Roman" w:hAnsi="Times New Roman" w:cs="Times New Roman"/>
              </w:rPr>
              <w:t>votingDelay</w:t>
            </w:r>
          </w:p>
        </w:tc>
        <w:tc>
          <w:tcPr>
            <w:tcW w:w="3115" w:type="dxa"/>
            <w:vAlign w:val="center"/>
          </w:tcPr>
          <w:p w14:paraId="79488747">
            <w:pPr>
              <w:spacing w:after="0" w:line="240" w:lineRule="auto"/>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6E7AB3B7">
            <w:pPr>
              <w:spacing w:after="0" w:line="240" w:lineRule="auto"/>
              <w:rPr>
                <w:rFonts w:ascii="Times New Roman" w:hAnsi="Times New Roman" w:cs="Times New Roman"/>
                <w:sz w:val="28"/>
                <w:szCs w:val="28"/>
                <w:lang w:val="kk-KZ"/>
              </w:rPr>
            </w:pPr>
            <w:r>
              <w:rPr>
                <w:rFonts w:ascii="Times New Roman" w:hAnsi="Times New Roman" w:cs="Times New Roman"/>
              </w:rPr>
              <w:t>Delay before voting starts after proposal creation</w:t>
            </w:r>
          </w:p>
        </w:tc>
      </w:tr>
      <w:tr w14:paraId="3DC4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5F50504">
            <w:pPr>
              <w:spacing w:after="0" w:line="240" w:lineRule="auto"/>
              <w:rPr>
                <w:rFonts w:ascii="Times New Roman" w:hAnsi="Times New Roman" w:cs="Times New Roman"/>
                <w:sz w:val="28"/>
                <w:szCs w:val="28"/>
                <w:lang w:val="kk-KZ"/>
              </w:rPr>
            </w:pPr>
            <w:r>
              <w:rPr>
                <w:rFonts w:ascii="Times New Roman" w:hAnsi="Times New Roman" w:cs="Times New Roman"/>
              </w:rPr>
              <w:t>votingPeriod</w:t>
            </w:r>
          </w:p>
        </w:tc>
        <w:tc>
          <w:tcPr>
            <w:tcW w:w="3115" w:type="dxa"/>
            <w:vAlign w:val="center"/>
          </w:tcPr>
          <w:p w14:paraId="33CE4F15">
            <w:pPr>
              <w:spacing w:after="0" w:line="240" w:lineRule="auto"/>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0CBCB04C">
            <w:pPr>
              <w:spacing w:after="0" w:line="240" w:lineRule="auto"/>
              <w:rPr>
                <w:rFonts w:ascii="Times New Roman" w:hAnsi="Times New Roman" w:cs="Times New Roman"/>
                <w:sz w:val="28"/>
                <w:szCs w:val="28"/>
                <w:lang w:val="kk-KZ"/>
              </w:rPr>
            </w:pPr>
            <w:r>
              <w:rPr>
                <w:rFonts w:ascii="Times New Roman" w:hAnsi="Times New Roman" w:cs="Times New Roman"/>
              </w:rPr>
              <w:t>Duration of the governance voting period</w:t>
            </w:r>
          </w:p>
        </w:tc>
      </w:tr>
      <w:tr w14:paraId="4D1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274D4644">
            <w:pPr>
              <w:spacing w:after="0" w:line="240" w:lineRule="auto"/>
              <w:rPr>
                <w:rFonts w:ascii="Times New Roman" w:hAnsi="Times New Roman" w:cs="Times New Roman"/>
                <w:sz w:val="28"/>
                <w:szCs w:val="28"/>
                <w:lang w:val="kk-KZ"/>
              </w:rPr>
            </w:pPr>
            <w:r>
              <w:rPr>
                <w:rFonts w:ascii="Times New Roman" w:hAnsi="Times New Roman" w:cs="Times New Roman"/>
              </w:rPr>
              <w:t>proposalThreshold</w:t>
            </w:r>
          </w:p>
        </w:tc>
        <w:tc>
          <w:tcPr>
            <w:tcW w:w="3115" w:type="dxa"/>
            <w:vAlign w:val="center"/>
          </w:tcPr>
          <w:p w14:paraId="5A8D6210">
            <w:pPr>
              <w:spacing w:after="0" w:line="240" w:lineRule="auto"/>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7CF7E4F6">
            <w:pPr>
              <w:spacing w:after="0" w:line="240" w:lineRule="auto"/>
              <w:rPr>
                <w:rFonts w:ascii="Times New Roman" w:hAnsi="Times New Roman" w:cs="Times New Roman"/>
                <w:sz w:val="28"/>
                <w:szCs w:val="28"/>
                <w:lang w:val="kk-KZ"/>
              </w:rPr>
            </w:pPr>
            <w:r>
              <w:rPr>
                <w:rFonts w:ascii="Times New Roman" w:hAnsi="Times New Roman" w:cs="Times New Roman"/>
              </w:rPr>
              <w:t>Minimum voting power required to create proposals</w:t>
            </w:r>
          </w:p>
        </w:tc>
      </w:tr>
      <w:tr w14:paraId="20C6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22403190">
            <w:pPr>
              <w:spacing w:after="0" w:line="240" w:lineRule="auto"/>
              <w:rPr>
                <w:rFonts w:ascii="Times New Roman" w:hAnsi="Times New Roman" w:cs="Times New Roman"/>
                <w:sz w:val="28"/>
                <w:szCs w:val="28"/>
                <w:lang w:val="kk-KZ"/>
              </w:rPr>
            </w:pPr>
            <w:r>
              <w:rPr>
                <w:rFonts w:ascii="Times New Roman" w:hAnsi="Times New Roman" w:cs="Times New Roman"/>
              </w:rPr>
              <w:t>quorumFraction</w:t>
            </w:r>
          </w:p>
        </w:tc>
        <w:tc>
          <w:tcPr>
            <w:tcW w:w="3115" w:type="dxa"/>
            <w:vAlign w:val="center"/>
          </w:tcPr>
          <w:p w14:paraId="13BA225A">
            <w:pPr>
              <w:spacing w:after="0" w:line="240" w:lineRule="auto"/>
              <w:rPr>
                <w:rFonts w:ascii="Times New Roman" w:hAnsi="Times New Roman" w:cs="Times New Roman"/>
                <w:sz w:val="28"/>
                <w:szCs w:val="28"/>
                <w:lang w:val="kk-KZ"/>
              </w:rPr>
            </w:pPr>
            <w:r>
              <w:rPr>
                <w:rFonts w:ascii="Times New Roman" w:hAnsi="Times New Roman" w:cs="Times New Roman"/>
              </w:rPr>
              <w:t>uint256</w:t>
            </w:r>
          </w:p>
        </w:tc>
        <w:tc>
          <w:tcPr>
            <w:tcW w:w="3115" w:type="dxa"/>
            <w:vAlign w:val="center"/>
          </w:tcPr>
          <w:p w14:paraId="66C4A3A5">
            <w:pPr>
              <w:spacing w:after="0" w:line="240" w:lineRule="auto"/>
              <w:rPr>
                <w:rFonts w:ascii="Times New Roman" w:hAnsi="Times New Roman" w:cs="Times New Roman"/>
                <w:sz w:val="28"/>
                <w:szCs w:val="28"/>
                <w:lang w:val="kk-KZ"/>
              </w:rPr>
            </w:pPr>
            <w:r>
              <w:rPr>
                <w:rFonts w:ascii="Times New Roman" w:hAnsi="Times New Roman" w:cs="Times New Roman"/>
              </w:rPr>
              <w:t>Percentage of total voting supply required for quorum</w:t>
            </w:r>
          </w:p>
        </w:tc>
      </w:tr>
    </w:tbl>
    <w:p w14:paraId="597FC736">
      <w:pPr>
        <w:rPr>
          <w:rFonts w:ascii="Times New Roman" w:hAnsi="Times New Roman" w:cs="Times New Roman"/>
          <w:sz w:val="28"/>
          <w:szCs w:val="28"/>
          <w:lang w:val="kk-KZ"/>
        </w:rPr>
      </w:pPr>
      <w:r>
        <w:rPr>
          <w:rFonts w:ascii="Times New Roman" w:hAnsi="Times New Roman" w:cs="Times New Roman"/>
          <w:sz w:val="28"/>
          <w:szCs w:val="28"/>
          <w:lang w:val="kk-KZ"/>
        </w:rPr>
        <w:t>The SuperGovernor contract manages DAO proposal creation, voting, quorum validation, and governance execution.</w:t>
      </w:r>
    </w:p>
    <w:p w14:paraId="21200D4A">
      <w:pPr>
        <w:rPr>
          <w:rFonts w:ascii="Times New Roman" w:hAnsi="Times New Roman" w:cs="Times New Roman"/>
          <w:sz w:val="28"/>
          <w:szCs w:val="28"/>
          <w:lang w:val="kk-KZ"/>
        </w:rPr>
      </w:pPr>
      <w:r>
        <w:rPr>
          <w:rFonts w:ascii="Times New Roman" w:hAnsi="Times New Roman" w:cs="Times New Roman"/>
          <w:sz w:val="28"/>
          <w:szCs w:val="28"/>
          <w:lang w:val="kk-KZ"/>
        </w:rPr>
        <w:t>The governance system is built on OpenZeppelin Governor modules and integrates ERC20Votes voting power through the GovernanceToken contract.</w:t>
      </w:r>
    </w:p>
    <w:p w14:paraId="5A832CA3">
      <w:pPr>
        <w:rPr>
          <w:rFonts w:ascii="Times New Roman" w:hAnsi="Times New Roman" w:cs="Times New Roman"/>
          <w:sz w:val="28"/>
          <w:szCs w:val="28"/>
          <w:lang w:val="kk-KZ"/>
        </w:rPr>
      </w:pPr>
      <w:r>
        <w:rPr>
          <w:rFonts w:ascii="Times New Roman" w:hAnsi="Times New Roman" w:cs="Times New Roman"/>
          <w:sz w:val="28"/>
          <w:szCs w:val="28"/>
          <w:lang w:val="kk-KZ"/>
        </w:rPr>
        <w:t>The contract stores governance configuration parameters including voting delay, voting period, proposal threshold, and quorum requirements.</w:t>
      </w:r>
    </w:p>
    <w:p w14:paraId="64A65FB9">
      <w:pPr>
        <w:rPr>
          <w:rFonts w:ascii="Times New Roman" w:hAnsi="Times New Roman" w:cs="Times New Roman"/>
          <w:sz w:val="28"/>
          <w:szCs w:val="28"/>
          <w:lang w:val="kk-KZ"/>
        </w:rPr>
      </w:pPr>
    </w:p>
    <w:p w14:paraId="101115CF">
      <w:pPr>
        <w:rPr>
          <w:rFonts w:ascii="Times New Roman" w:hAnsi="Times New Roman" w:cs="Times New Roman"/>
          <w:b/>
          <w:bCs/>
          <w:i/>
          <w:iCs/>
          <w:sz w:val="28"/>
          <w:szCs w:val="28"/>
          <w:lang w:val="kk-KZ"/>
        </w:rPr>
      </w:pPr>
      <w:r>
        <w:rPr>
          <w:rFonts w:ascii="Times New Roman" w:hAnsi="Times New Roman" w:cs="Times New Roman"/>
          <w:b/>
          <w:bCs/>
          <w:i/>
          <w:iCs/>
          <w:sz w:val="28"/>
          <w:szCs w:val="28"/>
        </w:rPr>
        <w:t>LendingPool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3115"/>
        <w:gridCol w:w="3115"/>
      </w:tblGrid>
      <w:tr w14:paraId="20CC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112646C">
            <w:pPr>
              <w:spacing w:after="0" w:line="240" w:lineRule="auto"/>
              <w:rPr>
                <w:rFonts w:ascii="Times New Roman" w:hAnsi="Times New Roman" w:cs="Times New Roman"/>
                <w:sz w:val="28"/>
                <w:szCs w:val="28"/>
                <w:lang w:val="kk-KZ"/>
              </w:rPr>
            </w:pPr>
            <w:r>
              <w:rPr>
                <w:rFonts w:ascii="Times New Roman" w:hAnsi="Times New Roman" w:cs="Times New Roman"/>
                <w:b/>
                <w:bCs/>
              </w:rPr>
              <w:t>Variable</w:t>
            </w:r>
          </w:p>
        </w:tc>
        <w:tc>
          <w:tcPr>
            <w:tcW w:w="3115" w:type="dxa"/>
            <w:vAlign w:val="center"/>
          </w:tcPr>
          <w:p w14:paraId="29A34852">
            <w:pPr>
              <w:spacing w:after="0" w:line="240" w:lineRule="auto"/>
              <w:rPr>
                <w:rFonts w:ascii="Times New Roman" w:hAnsi="Times New Roman" w:cs="Times New Roman"/>
                <w:sz w:val="28"/>
                <w:szCs w:val="28"/>
                <w:lang w:val="kk-KZ"/>
              </w:rPr>
            </w:pPr>
            <w:r>
              <w:rPr>
                <w:rFonts w:ascii="Times New Roman" w:hAnsi="Times New Roman" w:cs="Times New Roman"/>
                <w:b/>
                <w:bCs/>
              </w:rPr>
              <w:t>Type</w:t>
            </w:r>
          </w:p>
        </w:tc>
        <w:tc>
          <w:tcPr>
            <w:tcW w:w="3115" w:type="dxa"/>
            <w:vAlign w:val="center"/>
          </w:tcPr>
          <w:p w14:paraId="781A3765">
            <w:pPr>
              <w:spacing w:after="0" w:line="240" w:lineRule="auto"/>
              <w:rPr>
                <w:rFonts w:ascii="Times New Roman" w:hAnsi="Times New Roman" w:cs="Times New Roman"/>
                <w:sz w:val="28"/>
                <w:szCs w:val="28"/>
                <w:lang w:val="kk-KZ"/>
              </w:rPr>
            </w:pPr>
            <w:r>
              <w:rPr>
                <w:rFonts w:ascii="Times New Roman" w:hAnsi="Times New Roman" w:cs="Times New Roman"/>
                <w:b/>
                <w:bCs/>
              </w:rPr>
              <w:t>Description</w:t>
            </w:r>
          </w:p>
        </w:tc>
      </w:tr>
      <w:tr w14:paraId="49D1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02B1CCE">
            <w:pPr>
              <w:spacing w:after="0" w:line="240" w:lineRule="auto"/>
              <w:rPr>
                <w:rFonts w:ascii="Times New Roman" w:hAnsi="Times New Roman" w:cs="Times New Roman"/>
                <w:sz w:val="28"/>
                <w:szCs w:val="28"/>
                <w:lang w:val="kk-KZ"/>
              </w:rPr>
            </w:pPr>
            <w:r>
              <w:rPr>
                <w:rFonts w:ascii="Times New Roman" w:hAnsi="Times New Roman" w:cs="Times New Roman"/>
              </w:rPr>
              <w:t>collateralToken</w:t>
            </w:r>
          </w:p>
        </w:tc>
        <w:tc>
          <w:tcPr>
            <w:tcW w:w="3115" w:type="dxa"/>
            <w:vAlign w:val="center"/>
          </w:tcPr>
          <w:p w14:paraId="20FCE700">
            <w:pPr>
              <w:spacing w:after="0" w:line="240" w:lineRule="auto"/>
              <w:rPr>
                <w:rFonts w:ascii="Times New Roman" w:hAnsi="Times New Roman" w:cs="Times New Roman"/>
                <w:sz w:val="28"/>
                <w:szCs w:val="28"/>
                <w:lang w:val="kk-KZ"/>
              </w:rPr>
            </w:pPr>
            <w:r>
              <w:rPr>
                <w:rFonts w:ascii="Times New Roman" w:hAnsi="Times New Roman" w:cs="Times New Roman"/>
              </w:rPr>
              <w:t>IERC20 immutable</w:t>
            </w:r>
          </w:p>
        </w:tc>
        <w:tc>
          <w:tcPr>
            <w:tcW w:w="3115" w:type="dxa"/>
            <w:vAlign w:val="center"/>
          </w:tcPr>
          <w:p w14:paraId="2136AE83">
            <w:pPr>
              <w:spacing w:after="0" w:line="240" w:lineRule="auto"/>
              <w:rPr>
                <w:rFonts w:ascii="Times New Roman" w:hAnsi="Times New Roman" w:cs="Times New Roman"/>
                <w:sz w:val="28"/>
                <w:szCs w:val="28"/>
                <w:lang w:val="kk-KZ"/>
              </w:rPr>
            </w:pPr>
            <w:r>
              <w:rPr>
                <w:rFonts w:ascii="Times New Roman" w:hAnsi="Times New Roman" w:cs="Times New Roman"/>
              </w:rPr>
              <w:t>ERC20 token used as collateral</w:t>
            </w:r>
          </w:p>
        </w:tc>
      </w:tr>
      <w:tr w14:paraId="6FB6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0A999145">
            <w:pPr>
              <w:spacing w:after="0" w:line="240" w:lineRule="auto"/>
              <w:rPr>
                <w:rFonts w:ascii="Times New Roman" w:hAnsi="Times New Roman" w:cs="Times New Roman"/>
                <w:sz w:val="28"/>
                <w:szCs w:val="28"/>
                <w:lang w:val="kk-KZ"/>
              </w:rPr>
            </w:pPr>
            <w:r>
              <w:rPr>
                <w:rFonts w:ascii="Times New Roman" w:hAnsi="Times New Roman" w:cs="Times New Roman"/>
              </w:rPr>
              <w:t>borrowToken</w:t>
            </w:r>
          </w:p>
        </w:tc>
        <w:tc>
          <w:tcPr>
            <w:tcW w:w="3115" w:type="dxa"/>
            <w:vAlign w:val="center"/>
          </w:tcPr>
          <w:p w14:paraId="4066AF60">
            <w:pPr>
              <w:spacing w:after="0" w:line="240" w:lineRule="auto"/>
              <w:rPr>
                <w:rFonts w:ascii="Times New Roman" w:hAnsi="Times New Roman" w:cs="Times New Roman"/>
                <w:sz w:val="28"/>
                <w:szCs w:val="28"/>
                <w:lang w:val="kk-KZ"/>
              </w:rPr>
            </w:pPr>
            <w:r>
              <w:rPr>
                <w:rFonts w:ascii="Times New Roman" w:hAnsi="Times New Roman" w:cs="Times New Roman"/>
              </w:rPr>
              <w:t>IERC20 immutable</w:t>
            </w:r>
          </w:p>
        </w:tc>
        <w:tc>
          <w:tcPr>
            <w:tcW w:w="3115" w:type="dxa"/>
            <w:vAlign w:val="center"/>
          </w:tcPr>
          <w:p w14:paraId="3E62CF44">
            <w:pPr>
              <w:spacing w:after="0" w:line="240" w:lineRule="auto"/>
              <w:rPr>
                <w:rFonts w:ascii="Times New Roman" w:hAnsi="Times New Roman" w:cs="Times New Roman"/>
                <w:sz w:val="28"/>
                <w:szCs w:val="28"/>
                <w:lang w:val="kk-KZ"/>
              </w:rPr>
            </w:pPr>
            <w:r>
              <w:rPr>
                <w:rFonts w:ascii="Times New Roman" w:hAnsi="Times New Roman" w:cs="Times New Roman"/>
              </w:rPr>
              <w:t>ERC20 token available for borrowing</w:t>
            </w:r>
          </w:p>
        </w:tc>
      </w:tr>
      <w:tr w14:paraId="10A3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BA64337">
            <w:pPr>
              <w:spacing w:after="0" w:line="240" w:lineRule="auto"/>
              <w:rPr>
                <w:rFonts w:ascii="Times New Roman" w:hAnsi="Times New Roman" w:cs="Times New Roman"/>
                <w:sz w:val="28"/>
                <w:szCs w:val="28"/>
                <w:lang w:val="kk-KZ"/>
              </w:rPr>
            </w:pPr>
            <w:r>
              <w:rPr>
                <w:rFonts w:ascii="Times New Roman" w:hAnsi="Times New Roman" w:cs="Times New Roman"/>
              </w:rPr>
              <w:t>LTV</w:t>
            </w:r>
          </w:p>
        </w:tc>
        <w:tc>
          <w:tcPr>
            <w:tcW w:w="3115" w:type="dxa"/>
            <w:vAlign w:val="center"/>
          </w:tcPr>
          <w:p w14:paraId="746D6108">
            <w:pPr>
              <w:spacing w:after="0" w:line="240" w:lineRule="auto"/>
              <w:rPr>
                <w:rFonts w:ascii="Times New Roman" w:hAnsi="Times New Roman" w:cs="Times New Roman"/>
                <w:sz w:val="28"/>
                <w:szCs w:val="28"/>
                <w:lang w:val="kk-KZ"/>
              </w:rPr>
            </w:pPr>
            <w:r>
              <w:rPr>
                <w:rFonts w:ascii="Times New Roman" w:hAnsi="Times New Roman" w:cs="Times New Roman"/>
              </w:rPr>
              <w:t>uint256 constant</w:t>
            </w:r>
          </w:p>
        </w:tc>
        <w:tc>
          <w:tcPr>
            <w:tcW w:w="3115" w:type="dxa"/>
            <w:vAlign w:val="center"/>
          </w:tcPr>
          <w:p w14:paraId="233057C2">
            <w:pPr>
              <w:spacing w:after="0" w:line="240" w:lineRule="auto"/>
              <w:rPr>
                <w:rFonts w:ascii="Times New Roman" w:hAnsi="Times New Roman" w:cs="Times New Roman"/>
                <w:sz w:val="28"/>
                <w:szCs w:val="28"/>
                <w:lang w:val="kk-KZ"/>
              </w:rPr>
            </w:pPr>
            <w:r>
              <w:rPr>
                <w:rFonts w:ascii="Times New Roman" w:hAnsi="Times New Roman" w:cs="Times New Roman"/>
              </w:rPr>
              <w:t>Maximum loan-to-value ratio</w:t>
            </w:r>
          </w:p>
        </w:tc>
      </w:tr>
      <w:tr w14:paraId="7601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B269022">
            <w:pPr>
              <w:spacing w:after="0" w:line="240" w:lineRule="auto"/>
              <w:rPr>
                <w:rFonts w:ascii="Times New Roman" w:hAnsi="Times New Roman" w:cs="Times New Roman"/>
                <w:sz w:val="28"/>
                <w:szCs w:val="28"/>
                <w:lang w:val="kk-KZ"/>
              </w:rPr>
            </w:pPr>
            <w:r>
              <w:rPr>
                <w:rFonts w:ascii="Times New Roman" w:hAnsi="Times New Roman" w:cs="Times New Roman"/>
              </w:rPr>
              <w:t>LIQUIDATION_THRESHOLD</w:t>
            </w:r>
          </w:p>
        </w:tc>
        <w:tc>
          <w:tcPr>
            <w:tcW w:w="3115" w:type="dxa"/>
            <w:vAlign w:val="center"/>
          </w:tcPr>
          <w:p w14:paraId="41744E08">
            <w:pPr>
              <w:spacing w:after="0" w:line="240" w:lineRule="auto"/>
              <w:rPr>
                <w:rFonts w:ascii="Times New Roman" w:hAnsi="Times New Roman" w:cs="Times New Roman"/>
                <w:sz w:val="28"/>
                <w:szCs w:val="28"/>
                <w:lang w:val="kk-KZ"/>
              </w:rPr>
            </w:pPr>
            <w:r>
              <w:rPr>
                <w:rFonts w:ascii="Times New Roman" w:hAnsi="Times New Roman" w:cs="Times New Roman"/>
              </w:rPr>
              <w:t>uint256 constant</w:t>
            </w:r>
          </w:p>
        </w:tc>
        <w:tc>
          <w:tcPr>
            <w:tcW w:w="3115" w:type="dxa"/>
            <w:vAlign w:val="center"/>
          </w:tcPr>
          <w:p w14:paraId="25E24F1E">
            <w:pPr>
              <w:spacing w:after="0" w:line="240" w:lineRule="auto"/>
              <w:rPr>
                <w:rFonts w:ascii="Times New Roman" w:hAnsi="Times New Roman" w:cs="Times New Roman"/>
                <w:sz w:val="28"/>
                <w:szCs w:val="28"/>
                <w:lang w:val="kk-KZ"/>
              </w:rPr>
            </w:pPr>
            <w:r>
              <w:rPr>
                <w:rFonts w:ascii="Times New Roman" w:hAnsi="Times New Roman" w:cs="Times New Roman"/>
              </w:rPr>
              <w:t>Threshold used for liquidation checks</w:t>
            </w:r>
          </w:p>
        </w:tc>
      </w:tr>
      <w:tr w14:paraId="22E5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2EBB87C">
            <w:pPr>
              <w:spacing w:after="0" w:line="240" w:lineRule="auto"/>
              <w:rPr>
                <w:rFonts w:ascii="Times New Roman" w:hAnsi="Times New Roman" w:cs="Times New Roman"/>
                <w:sz w:val="28"/>
                <w:szCs w:val="28"/>
                <w:lang w:val="kk-KZ"/>
              </w:rPr>
            </w:pPr>
            <w:r>
              <w:rPr>
                <w:rFonts w:ascii="Times New Roman" w:hAnsi="Times New Roman" w:cs="Times New Roman"/>
              </w:rPr>
              <w:t>collateral</w:t>
            </w:r>
          </w:p>
        </w:tc>
        <w:tc>
          <w:tcPr>
            <w:tcW w:w="3115" w:type="dxa"/>
            <w:vAlign w:val="center"/>
          </w:tcPr>
          <w:p w14:paraId="68114C47">
            <w:pPr>
              <w:spacing w:after="0" w:line="240" w:lineRule="auto"/>
              <w:rPr>
                <w:rFonts w:ascii="Times New Roman" w:hAnsi="Times New Roman" w:cs="Times New Roman"/>
                <w:sz w:val="28"/>
                <w:szCs w:val="28"/>
                <w:lang w:val="kk-KZ"/>
              </w:rPr>
            </w:pPr>
            <w:r>
              <w:rPr>
                <w:rFonts w:ascii="Times New Roman" w:hAnsi="Times New Roman" w:cs="Times New Roman"/>
              </w:rPr>
              <w:t>mapping(address =&gt; uint256)</w:t>
            </w:r>
          </w:p>
        </w:tc>
        <w:tc>
          <w:tcPr>
            <w:tcW w:w="3115" w:type="dxa"/>
            <w:vAlign w:val="center"/>
          </w:tcPr>
          <w:p w14:paraId="7AA83AD2">
            <w:pPr>
              <w:spacing w:after="0" w:line="240" w:lineRule="auto"/>
              <w:rPr>
                <w:rFonts w:ascii="Times New Roman" w:hAnsi="Times New Roman" w:cs="Times New Roman"/>
                <w:sz w:val="28"/>
                <w:szCs w:val="28"/>
                <w:lang w:val="kk-KZ"/>
              </w:rPr>
            </w:pPr>
            <w:r>
              <w:rPr>
                <w:rFonts w:ascii="Times New Roman" w:hAnsi="Times New Roman" w:cs="Times New Roman"/>
              </w:rPr>
              <w:t>User collateral balances</w:t>
            </w:r>
          </w:p>
        </w:tc>
      </w:tr>
      <w:tr w14:paraId="515D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55F4B83A">
            <w:pPr>
              <w:spacing w:after="0" w:line="240" w:lineRule="auto"/>
              <w:rPr>
                <w:rFonts w:ascii="Times New Roman" w:hAnsi="Times New Roman" w:cs="Times New Roman"/>
                <w:sz w:val="28"/>
                <w:szCs w:val="28"/>
                <w:lang w:val="kk-KZ"/>
              </w:rPr>
            </w:pPr>
            <w:r>
              <w:rPr>
                <w:rFonts w:ascii="Times New Roman" w:hAnsi="Times New Roman" w:cs="Times New Roman"/>
              </w:rPr>
              <w:t>debt</w:t>
            </w:r>
          </w:p>
        </w:tc>
        <w:tc>
          <w:tcPr>
            <w:tcW w:w="3115" w:type="dxa"/>
            <w:vAlign w:val="center"/>
          </w:tcPr>
          <w:p w14:paraId="284C5F04">
            <w:pPr>
              <w:spacing w:after="0" w:line="240" w:lineRule="auto"/>
              <w:rPr>
                <w:rFonts w:ascii="Times New Roman" w:hAnsi="Times New Roman" w:cs="Times New Roman"/>
                <w:sz w:val="28"/>
                <w:szCs w:val="28"/>
                <w:lang w:val="kk-KZ"/>
              </w:rPr>
            </w:pPr>
            <w:r>
              <w:rPr>
                <w:rFonts w:ascii="Times New Roman" w:hAnsi="Times New Roman" w:cs="Times New Roman"/>
              </w:rPr>
              <w:t>mapping(address =&gt; uint256)</w:t>
            </w:r>
          </w:p>
        </w:tc>
        <w:tc>
          <w:tcPr>
            <w:tcW w:w="3115" w:type="dxa"/>
            <w:vAlign w:val="center"/>
          </w:tcPr>
          <w:p w14:paraId="14E5DD0B">
            <w:pPr>
              <w:spacing w:after="0" w:line="240" w:lineRule="auto"/>
              <w:rPr>
                <w:rFonts w:ascii="Times New Roman" w:hAnsi="Times New Roman" w:cs="Times New Roman"/>
                <w:sz w:val="28"/>
                <w:szCs w:val="28"/>
                <w:lang w:val="kk-KZ"/>
              </w:rPr>
            </w:pPr>
            <w:r>
              <w:rPr>
                <w:rFonts w:ascii="Times New Roman" w:hAnsi="Times New Roman" w:cs="Times New Roman"/>
              </w:rPr>
              <w:t>User borrowed debt balances</w:t>
            </w:r>
          </w:p>
        </w:tc>
      </w:tr>
    </w:tbl>
    <w:p w14:paraId="01E7E997">
      <w:pPr>
        <w:rPr>
          <w:rFonts w:ascii="Times New Roman" w:hAnsi="Times New Roman" w:cs="Times New Roman"/>
          <w:sz w:val="28"/>
          <w:szCs w:val="28"/>
          <w:lang w:val="kk-KZ"/>
        </w:rPr>
      </w:pPr>
      <w:r>
        <w:rPr>
          <w:rFonts w:ascii="Times New Roman" w:hAnsi="Times New Roman" w:cs="Times New Roman"/>
          <w:sz w:val="28"/>
          <w:szCs w:val="28"/>
          <w:lang w:val="kk-KZ"/>
        </w:rPr>
        <w:t>The LendingPool contract manages collateral deposits, borrowing, repayments, and liquidation operations.</w:t>
      </w:r>
    </w:p>
    <w:p w14:paraId="58FF28E9">
      <w:pPr>
        <w:rPr>
          <w:rFonts w:ascii="Times New Roman" w:hAnsi="Times New Roman" w:cs="Times New Roman"/>
          <w:sz w:val="28"/>
          <w:szCs w:val="28"/>
          <w:lang w:val="kk-KZ"/>
        </w:rPr>
      </w:pPr>
      <w:r>
        <w:rPr>
          <w:rFonts w:ascii="Times New Roman" w:hAnsi="Times New Roman" w:cs="Times New Roman"/>
          <w:sz w:val="28"/>
          <w:szCs w:val="28"/>
          <w:lang w:val="kk-KZ"/>
        </w:rPr>
        <w:t>The contract stores user collateral balances and debt positions while enforcing LTV and liquidation threshold requirements.</w:t>
      </w:r>
    </w:p>
    <w:p w14:paraId="0CAAA33C">
      <w:pPr>
        <w:rPr>
          <w:rFonts w:ascii="Times New Roman" w:hAnsi="Times New Roman" w:cs="Times New Roman"/>
          <w:sz w:val="28"/>
          <w:szCs w:val="28"/>
          <w:lang w:val="kk-KZ"/>
        </w:rPr>
      </w:pPr>
    </w:p>
    <w:p w14:paraId="0269B8C9">
      <w:pPr>
        <w:rPr>
          <w:rFonts w:ascii="Times New Roman" w:hAnsi="Times New Roman" w:cs="Times New Roman"/>
          <w:b/>
          <w:bCs/>
          <w:i/>
          <w:iCs/>
          <w:sz w:val="28"/>
          <w:szCs w:val="28"/>
          <w:lang w:val="kk-KZ"/>
        </w:rPr>
      </w:pPr>
      <w:r>
        <w:rPr>
          <w:rFonts w:ascii="Times New Roman" w:hAnsi="Times New Roman" w:cs="Times New Roman"/>
          <w:b/>
          <w:bCs/>
          <w:i/>
          <w:iCs/>
          <w:sz w:val="28"/>
          <w:szCs w:val="28"/>
        </w:rPr>
        <w:t>ProtocolBadge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2986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BB631CD">
            <w:pPr>
              <w:spacing w:after="0" w:line="240" w:lineRule="auto"/>
              <w:rPr>
                <w:rFonts w:ascii="Times New Roman" w:hAnsi="Times New Roman" w:cs="Times New Roman"/>
                <w:sz w:val="28"/>
                <w:szCs w:val="28"/>
                <w:lang w:val="kk-KZ"/>
              </w:rPr>
            </w:pPr>
            <w:r>
              <w:rPr>
                <w:rFonts w:ascii="Times New Roman" w:hAnsi="Times New Roman" w:cs="Times New Roman"/>
                <w:b/>
                <w:bCs/>
              </w:rPr>
              <w:t>Variable</w:t>
            </w:r>
          </w:p>
        </w:tc>
        <w:tc>
          <w:tcPr>
            <w:tcW w:w="3115" w:type="dxa"/>
            <w:vAlign w:val="center"/>
          </w:tcPr>
          <w:p w14:paraId="47A185F9">
            <w:pPr>
              <w:spacing w:after="0" w:line="240" w:lineRule="auto"/>
              <w:rPr>
                <w:rFonts w:ascii="Times New Roman" w:hAnsi="Times New Roman" w:cs="Times New Roman"/>
                <w:sz w:val="28"/>
                <w:szCs w:val="28"/>
                <w:lang w:val="kk-KZ"/>
              </w:rPr>
            </w:pPr>
            <w:r>
              <w:rPr>
                <w:rFonts w:ascii="Times New Roman" w:hAnsi="Times New Roman" w:cs="Times New Roman"/>
                <w:b/>
                <w:bCs/>
              </w:rPr>
              <w:t>Type</w:t>
            </w:r>
          </w:p>
        </w:tc>
        <w:tc>
          <w:tcPr>
            <w:tcW w:w="3115" w:type="dxa"/>
            <w:vAlign w:val="center"/>
          </w:tcPr>
          <w:p w14:paraId="1A9D8F14">
            <w:pPr>
              <w:spacing w:after="0" w:line="240" w:lineRule="auto"/>
              <w:rPr>
                <w:rFonts w:ascii="Times New Roman" w:hAnsi="Times New Roman" w:cs="Times New Roman"/>
                <w:sz w:val="28"/>
                <w:szCs w:val="28"/>
                <w:lang w:val="kk-KZ"/>
              </w:rPr>
            </w:pPr>
            <w:r>
              <w:rPr>
                <w:rFonts w:ascii="Times New Roman" w:hAnsi="Times New Roman" w:cs="Times New Roman"/>
                <w:b/>
                <w:bCs/>
              </w:rPr>
              <w:t>Description</w:t>
            </w:r>
          </w:p>
        </w:tc>
      </w:tr>
      <w:tr w14:paraId="6ACF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1D2AAAF">
            <w:pPr>
              <w:spacing w:after="0" w:line="240" w:lineRule="auto"/>
              <w:rPr>
                <w:rFonts w:ascii="Times New Roman" w:hAnsi="Times New Roman" w:cs="Times New Roman"/>
                <w:sz w:val="28"/>
                <w:szCs w:val="28"/>
                <w:lang w:val="kk-KZ"/>
              </w:rPr>
            </w:pPr>
            <w:r>
              <w:rPr>
                <w:rFonts w:ascii="Times New Roman" w:hAnsi="Times New Roman" w:cs="Times New Roman"/>
              </w:rPr>
              <w:t>LP_BADGE</w:t>
            </w:r>
          </w:p>
        </w:tc>
        <w:tc>
          <w:tcPr>
            <w:tcW w:w="3115" w:type="dxa"/>
            <w:vAlign w:val="center"/>
          </w:tcPr>
          <w:p w14:paraId="79EAB99D">
            <w:pPr>
              <w:spacing w:after="0" w:line="240" w:lineRule="auto"/>
              <w:rPr>
                <w:rFonts w:ascii="Times New Roman" w:hAnsi="Times New Roman" w:cs="Times New Roman"/>
                <w:sz w:val="28"/>
                <w:szCs w:val="28"/>
                <w:lang w:val="kk-KZ"/>
              </w:rPr>
            </w:pPr>
            <w:r>
              <w:rPr>
                <w:rFonts w:ascii="Times New Roman" w:hAnsi="Times New Roman" w:cs="Times New Roman"/>
              </w:rPr>
              <w:t>uint256 constant</w:t>
            </w:r>
          </w:p>
        </w:tc>
        <w:tc>
          <w:tcPr>
            <w:tcW w:w="3115" w:type="dxa"/>
            <w:vAlign w:val="center"/>
          </w:tcPr>
          <w:p w14:paraId="3CDFA529">
            <w:pPr>
              <w:spacing w:after="0" w:line="240" w:lineRule="auto"/>
              <w:rPr>
                <w:rFonts w:ascii="Times New Roman" w:hAnsi="Times New Roman" w:cs="Times New Roman"/>
                <w:sz w:val="28"/>
                <w:szCs w:val="28"/>
                <w:lang w:val="kk-KZ"/>
              </w:rPr>
            </w:pPr>
            <w:r>
              <w:rPr>
                <w:rFonts w:ascii="Times New Roman" w:hAnsi="Times New Roman" w:cs="Times New Roman"/>
              </w:rPr>
              <w:t>ERC1155 badge identifier for liquidity providers</w:t>
            </w:r>
          </w:p>
        </w:tc>
      </w:tr>
      <w:tr w14:paraId="3D55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546DB51">
            <w:pPr>
              <w:spacing w:after="0" w:line="240" w:lineRule="auto"/>
              <w:rPr>
                <w:rFonts w:ascii="Times New Roman" w:hAnsi="Times New Roman" w:cs="Times New Roman"/>
                <w:sz w:val="28"/>
                <w:szCs w:val="28"/>
                <w:lang w:val="kk-KZ"/>
              </w:rPr>
            </w:pPr>
            <w:r>
              <w:rPr>
                <w:rFonts w:ascii="Times New Roman" w:hAnsi="Times New Roman" w:cs="Times New Roman"/>
              </w:rPr>
              <w:t>GOVERNANCE_BADGE</w:t>
            </w:r>
          </w:p>
        </w:tc>
        <w:tc>
          <w:tcPr>
            <w:tcW w:w="3115" w:type="dxa"/>
            <w:vAlign w:val="center"/>
          </w:tcPr>
          <w:p w14:paraId="4A587C61">
            <w:pPr>
              <w:spacing w:after="0" w:line="240" w:lineRule="auto"/>
              <w:rPr>
                <w:rFonts w:ascii="Times New Roman" w:hAnsi="Times New Roman" w:cs="Times New Roman"/>
                <w:sz w:val="28"/>
                <w:szCs w:val="28"/>
                <w:lang w:val="kk-KZ"/>
              </w:rPr>
            </w:pPr>
            <w:r>
              <w:rPr>
                <w:rFonts w:ascii="Times New Roman" w:hAnsi="Times New Roman" w:cs="Times New Roman"/>
              </w:rPr>
              <w:t>uint256 constant</w:t>
            </w:r>
          </w:p>
        </w:tc>
        <w:tc>
          <w:tcPr>
            <w:tcW w:w="3115" w:type="dxa"/>
            <w:vAlign w:val="center"/>
          </w:tcPr>
          <w:p w14:paraId="3FA879CB">
            <w:pPr>
              <w:spacing w:after="0" w:line="240" w:lineRule="auto"/>
              <w:rPr>
                <w:rFonts w:ascii="Times New Roman" w:hAnsi="Times New Roman" w:cs="Times New Roman"/>
                <w:sz w:val="28"/>
                <w:szCs w:val="28"/>
                <w:lang w:val="kk-KZ"/>
              </w:rPr>
            </w:pPr>
            <w:r>
              <w:rPr>
                <w:rFonts w:ascii="Times New Roman" w:hAnsi="Times New Roman" w:cs="Times New Roman"/>
              </w:rPr>
              <w:t>ERC1155 badge identifier for governance participants</w:t>
            </w:r>
          </w:p>
        </w:tc>
      </w:tr>
    </w:tbl>
    <w:p w14:paraId="68327F94">
      <w:pPr>
        <w:rPr>
          <w:rFonts w:ascii="Times New Roman" w:hAnsi="Times New Roman" w:cs="Times New Roman"/>
          <w:sz w:val="28"/>
          <w:szCs w:val="28"/>
          <w:lang w:val="kk-KZ"/>
        </w:rPr>
      </w:pPr>
      <w:r>
        <w:rPr>
          <w:rFonts w:ascii="Times New Roman" w:hAnsi="Times New Roman" w:cs="Times New Roman"/>
          <w:sz w:val="28"/>
          <w:szCs w:val="28"/>
          <w:lang w:val="kk-KZ"/>
        </w:rPr>
        <w:t>The ProtocolBadge contract implements ERC1155 badges used for protocol rewards and governance participation.</w:t>
      </w:r>
    </w:p>
    <w:p w14:paraId="100F6C2A">
      <w:pPr>
        <w:rPr>
          <w:rFonts w:ascii="Times New Roman" w:hAnsi="Times New Roman" w:cs="Times New Roman"/>
          <w:sz w:val="28"/>
          <w:szCs w:val="28"/>
          <w:lang w:val="kk-KZ"/>
        </w:rPr>
      </w:pPr>
      <w:r>
        <w:rPr>
          <w:rFonts w:ascii="Times New Roman" w:hAnsi="Times New Roman" w:cs="Times New Roman"/>
          <w:sz w:val="28"/>
          <w:szCs w:val="28"/>
          <w:lang w:val="kk-KZ"/>
        </w:rPr>
        <w:t>The contract supports minting and burning of badge tokens through owner-controlled functions.</w:t>
      </w:r>
    </w:p>
    <w:p w14:paraId="3F76E8DB">
      <w:pPr>
        <w:rPr>
          <w:rFonts w:ascii="Times New Roman" w:hAnsi="Times New Roman" w:cs="Times New Roman"/>
          <w:b/>
          <w:bCs/>
          <w:i/>
          <w:iCs/>
          <w:sz w:val="28"/>
          <w:szCs w:val="28"/>
          <w:lang w:val="kk-KZ"/>
        </w:rPr>
      </w:pPr>
      <w:r>
        <w:rPr>
          <w:rFonts w:ascii="Times New Roman" w:hAnsi="Times New Roman" w:cs="Times New Roman"/>
          <w:b/>
          <w:bCs/>
          <w:i/>
          <w:iCs/>
          <w:sz w:val="28"/>
          <w:szCs w:val="28"/>
        </w:rPr>
        <w:t>GovernanceToken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1B76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B759956">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Variable</w:t>
            </w:r>
          </w:p>
        </w:tc>
        <w:tc>
          <w:tcPr>
            <w:tcW w:w="3115" w:type="dxa"/>
            <w:vAlign w:val="center"/>
          </w:tcPr>
          <w:p w14:paraId="298859CD">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Type</w:t>
            </w:r>
          </w:p>
        </w:tc>
        <w:tc>
          <w:tcPr>
            <w:tcW w:w="3115" w:type="dxa"/>
            <w:vAlign w:val="center"/>
          </w:tcPr>
          <w:p w14:paraId="6EE9D3FA">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Description</w:t>
            </w:r>
          </w:p>
        </w:tc>
      </w:tr>
      <w:tr w14:paraId="6316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1CFA82E6">
            <w:pPr>
              <w:spacing w:after="0" w:line="240" w:lineRule="auto"/>
              <w:rPr>
                <w:rFonts w:ascii="Times New Roman" w:hAnsi="Times New Roman" w:cs="Times New Roman"/>
                <w:b/>
                <w:bCs/>
                <w:i/>
                <w:iCs/>
                <w:sz w:val="28"/>
                <w:szCs w:val="28"/>
                <w:lang w:val="kk-KZ"/>
              </w:rPr>
            </w:pPr>
            <w:r>
              <w:rPr>
                <w:rFonts w:ascii="Times New Roman" w:hAnsi="Times New Roman" w:cs="Times New Roman"/>
              </w:rPr>
              <w:t>balances</w:t>
            </w:r>
          </w:p>
        </w:tc>
        <w:tc>
          <w:tcPr>
            <w:tcW w:w="3115" w:type="dxa"/>
            <w:vAlign w:val="center"/>
          </w:tcPr>
          <w:p w14:paraId="517C6BD9">
            <w:pPr>
              <w:spacing w:after="0" w:line="240" w:lineRule="auto"/>
              <w:rPr>
                <w:rFonts w:ascii="Times New Roman" w:hAnsi="Times New Roman" w:cs="Times New Roman"/>
                <w:b/>
                <w:bCs/>
                <w:i/>
                <w:iCs/>
                <w:sz w:val="28"/>
                <w:szCs w:val="28"/>
                <w:lang w:val="kk-KZ"/>
              </w:rPr>
            </w:pPr>
            <w:r>
              <w:rPr>
                <w:rFonts w:ascii="Times New Roman" w:hAnsi="Times New Roman" w:cs="Times New Roman"/>
              </w:rPr>
              <w:t>mapping(address =&gt; uint256)</w:t>
            </w:r>
          </w:p>
        </w:tc>
        <w:tc>
          <w:tcPr>
            <w:tcW w:w="3115" w:type="dxa"/>
            <w:vAlign w:val="center"/>
          </w:tcPr>
          <w:p w14:paraId="2D4249D0">
            <w:pPr>
              <w:spacing w:after="0" w:line="240" w:lineRule="auto"/>
              <w:rPr>
                <w:rFonts w:ascii="Times New Roman" w:hAnsi="Times New Roman" w:cs="Times New Roman"/>
                <w:b/>
                <w:bCs/>
                <w:i/>
                <w:iCs/>
                <w:sz w:val="28"/>
                <w:szCs w:val="28"/>
                <w:lang w:val="kk-KZ"/>
              </w:rPr>
            </w:pPr>
            <w:r>
              <w:rPr>
                <w:rFonts w:ascii="Times New Roman" w:hAnsi="Times New Roman" w:cs="Times New Roman"/>
              </w:rPr>
              <w:t>Stores token balances of users</w:t>
            </w:r>
          </w:p>
        </w:tc>
      </w:tr>
      <w:tr w14:paraId="509D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E41F735">
            <w:pPr>
              <w:spacing w:after="0" w:line="240" w:lineRule="auto"/>
              <w:rPr>
                <w:rFonts w:ascii="Times New Roman" w:hAnsi="Times New Roman" w:cs="Times New Roman"/>
                <w:b/>
                <w:bCs/>
                <w:i/>
                <w:iCs/>
                <w:sz w:val="28"/>
                <w:szCs w:val="28"/>
                <w:lang w:val="kk-KZ"/>
              </w:rPr>
            </w:pPr>
            <w:r>
              <w:rPr>
                <w:rFonts w:ascii="Times New Roman" w:hAnsi="Times New Roman" w:cs="Times New Roman"/>
              </w:rPr>
              <w:t>allowances</w:t>
            </w:r>
          </w:p>
        </w:tc>
        <w:tc>
          <w:tcPr>
            <w:tcW w:w="3115" w:type="dxa"/>
            <w:vAlign w:val="center"/>
          </w:tcPr>
          <w:p w14:paraId="73B590CE">
            <w:pPr>
              <w:spacing w:after="0" w:line="240" w:lineRule="auto"/>
              <w:rPr>
                <w:rFonts w:ascii="Times New Roman" w:hAnsi="Times New Roman" w:cs="Times New Roman"/>
                <w:b/>
                <w:bCs/>
                <w:i/>
                <w:iCs/>
                <w:sz w:val="28"/>
                <w:szCs w:val="28"/>
                <w:lang w:val="kk-KZ"/>
              </w:rPr>
            </w:pPr>
            <w:r>
              <w:rPr>
                <w:rFonts w:ascii="Times New Roman" w:hAnsi="Times New Roman" w:cs="Times New Roman"/>
              </w:rPr>
              <w:t>mapping(address =&gt; mapping(address =&gt; uint256))</w:t>
            </w:r>
          </w:p>
        </w:tc>
        <w:tc>
          <w:tcPr>
            <w:tcW w:w="3115" w:type="dxa"/>
            <w:vAlign w:val="center"/>
          </w:tcPr>
          <w:p w14:paraId="1781260D">
            <w:pPr>
              <w:spacing w:after="0" w:line="240" w:lineRule="auto"/>
              <w:rPr>
                <w:rFonts w:ascii="Times New Roman" w:hAnsi="Times New Roman" w:cs="Times New Roman"/>
                <w:b/>
                <w:bCs/>
                <w:i/>
                <w:iCs/>
                <w:sz w:val="28"/>
                <w:szCs w:val="28"/>
                <w:lang w:val="kk-KZ"/>
              </w:rPr>
            </w:pPr>
            <w:r>
              <w:rPr>
                <w:rFonts w:ascii="Times New Roman" w:hAnsi="Times New Roman" w:cs="Times New Roman"/>
              </w:rPr>
              <w:t>Stores approved token spending allowances</w:t>
            </w:r>
          </w:p>
        </w:tc>
      </w:tr>
      <w:tr w14:paraId="17FD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3741AB7">
            <w:pPr>
              <w:spacing w:after="0" w:line="240" w:lineRule="auto"/>
              <w:rPr>
                <w:rFonts w:ascii="Times New Roman" w:hAnsi="Times New Roman" w:cs="Times New Roman"/>
                <w:b/>
                <w:bCs/>
                <w:i/>
                <w:iCs/>
                <w:sz w:val="28"/>
                <w:szCs w:val="28"/>
                <w:lang w:val="kk-KZ"/>
              </w:rPr>
            </w:pPr>
            <w:r>
              <w:rPr>
                <w:rFonts w:ascii="Times New Roman" w:hAnsi="Times New Roman" w:cs="Times New Roman"/>
              </w:rPr>
              <w:t>delegates</w:t>
            </w:r>
          </w:p>
        </w:tc>
        <w:tc>
          <w:tcPr>
            <w:tcW w:w="3115" w:type="dxa"/>
            <w:vAlign w:val="center"/>
          </w:tcPr>
          <w:p w14:paraId="5831C85A">
            <w:pPr>
              <w:spacing w:after="0" w:line="240" w:lineRule="auto"/>
              <w:rPr>
                <w:rFonts w:ascii="Times New Roman" w:hAnsi="Times New Roman" w:cs="Times New Roman"/>
                <w:b/>
                <w:bCs/>
                <w:i/>
                <w:iCs/>
                <w:sz w:val="28"/>
                <w:szCs w:val="28"/>
                <w:lang w:val="kk-KZ"/>
              </w:rPr>
            </w:pPr>
            <w:r>
              <w:rPr>
                <w:rFonts w:ascii="Times New Roman" w:hAnsi="Times New Roman" w:cs="Times New Roman"/>
              </w:rPr>
              <w:t>mapping(address =&gt; address)</w:t>
            </w:r>
          </w:p>
        </w:tc>
        <w:tc>
          <w:tcPr>
            <w:tcW w:w="3115" w:type="dxa"/>
            <w:vAlign w:val="center"/>
          </w:tcPr>
          <w:p w14:paraId="08E017CA">
            <w:pPr>
              <w:spacing w:after="0" w:line="240" w:lineRule="auto"/>
              <w:rPr>
                <w:rFonts w:ascii="Times New Roman" w:hAnsi="Times New Roman" w:cs="Times New Roman"/>
                <w:b/>
                <w:bCs/>
                <w:i/>
                <w:iCs/>
                <w:sz w:val="28"/>
                <w:szCs w:val="28"/>
                <w:lang w:val="kk-KZ"/>
              </w:rPr>
            </w:pPr>
            <w:r>
              <w:rPr>
                <w:rFonts w:ascii="Times New Roman" w:hAnsi="Times New Roman" w:cs="Times New Roman"/>
              </w:rPr>
              <w:t>Stores delegated voting addresses</w:t>
            </w:r>
          </w:p>
        </w:tc>
      </w:tr>
      <w:tr w14:paraId="2C66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C86F097">
            <w:pPr>
              <w:spacing w:after="0" w:line="240" w:lineRule="auto"/>
              <w:rPr>
                <w:rFonts w:ascii="Times New Roman" w:hAnsi="Times New Roman" w:cs="Times New Roman"/>
                <w:b/>
                <w:bCs/>
                <w:i/>
                <w:iCs/>
                <w:sz w:val="28"/>
                <w:szCs w:val="28"/>
                <w:lang w:val="kk-KZ"/>
              </w:rPr>
            </w:pPr>
            <w:r>
              <w:rPr>
                <w:rFonts w:ascii="Times New Roman" w:hAnsi="Times New Roman" w:cs="Times New Roman"/>
              </w:rPr>
              <w:t>checkpoints</w:t>
            </w:r>
          </w:p>
        </w:tc>
        <w:tc>
          <w:tcPr>
            <w:tcW w:w="3115" w:type="dxa"/>
            <w:vAlign w:val="center"/>
          </w:tcPr>
          <w:p w14:paraId="0FC8D09D">
            <w:pPr>
              <w:spacing w:after="0" w:line="240" w:lineRule="auto"/>
              <w:rPr>
                <w:rFonts w:ascii="Times New Roman" w:hAnsi="Times New Roman" w:cs="Times New Roman"/>
                <w:b/>
                <w:bCs/>
                <w:i/>
                <w:iCs/>
                <w:sz w:val="28"/>
                <w:szCs w:val="28"/>
                <w:lang w:val="kk-KZ"/>
              </w:rPr>
            </w:pPr>
            <w:r>
              <w:rPr>
                <w:rFonts w:ascii="Times New Roman" w:hAnsi="Times New Roman" w:cs="Times New Roman"/>
              </w:rPr>
              <w:t>mapping</w:t>
            </w:r>
          </w:p>
        </w:tc>
        <w:tc>
          <w:tcPr>
            <w:tcW w:w="3115" w:type="dxa"/>
            <w:vAlign w:val="center"/>
          </w:tcPr>
          <w:p w14:paraId="25F7BEF9">
            <w:pPr>
              <w:spacing w:after="0" w:line="240" w:lineRule="auto"/>
              <w:rPr>
                <w:rFonts w:ascii="Times New Roman" w:hAnsi="Times New Roman" w:cs="Times New Roman"/>
                <w:b/>
                <w:bCs/>
                <w:i/>
                <w:iCs/>
                <w:sz w:val="28"/>
                <w:szCs w:val="28"/>
                <w:lang w:val="kk-KZ"/>
              </w:rPr>
            </w:pPr>
            <w:r>
              <w:rPr>
                <w:rFonts w:ascii="Times New Roman" w:hAnsi="Times New Roman" w:cs="Times New Roman"/>
              </w:rPr>
              <w:t>Stores historical voting power checkpoints</w:t>
            </w:r>
          </w:p>
        </w:tc>
      </w:tr>
      <w:tr w14:paraId="5700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6469191">
            <w:pPr>
              <w:spacing w:after="0" w:line="240" w:lineRule="auto"/>
              <w:rPr>
                <w:rFonts w:ascii="Times New Roman" w:hAnsi="Times New Roman" w:cs="Times New Roman"/>
                <w:b/>
                <w:bCs/>
                <w:i/>
                <w:iCs/>
                <w:sz w:val="28"/>
                <w:szCs w:val="28"/>
                <w:lang w:val="kk-KZ"/>
              </w:rPr>
            </w:pPr>
            <w:r>
              <w:rPr>
                <w:rFonts w:ascii="Times New Roman" w:hAnsi="Times New Roman" w:cs="Times New Roman"/>
              </w:rPr>
              <w:t>totalSupply</w:t>
            </w:r>
          </w:p>
        </w:tc>
        <w:tc>
          <w:tcPr>
            <w:tcW w:w="3115" w:type="dxa"/>
            <w:vAlign w:val="center"/>
          </w:tcPr>
          <w:p w14:paraId="3C4B48EF">
            <w:pPr>
              <w:spacing w:after="0" w:line="240" w:lineRule="auto"/>
              <w:rPr>
                <w:rFonts w:ascii="Times New Roman" w:hAnsi="Times New Roman" w:cs="Times New Roman"/>
                <w:b/>
                <w:bCs/>
                <w:i/>
                <w:iCs/>
                <w:sz w:val="28"/>
                <w:szCs w:val="28"/>
                <w:lang w:val="kk-KZ"/>
              </w:rPr>
            </w:pPr>
            <w:r>
              <w:rPr>
                <w:rFonts w:ascii="Times New Roman" w:hAnsi="Times New Roman" w:cs="Times New Roman"/>
              </w:rPr>
              <w:t>uint256</w:t>
            </w:r>
          </w:p>
        </w:tc>
        <w:tc>
          <w:tcPr>
            <w:tcW w:w="3115" w:type="dxa"/>
            <w:vAlign w:val="center"/>
          </w:tcPr>
          <w:p w14:paraId="2F39C9D3">
            <w:pPr>
              <w:spacing w:after="0" w:line="240" w:lineRule="auto"/>
              <w:rPr>
                <w:rFonts w:ascii="Times New Roman" w:hAnsi="Times New Roman" w:cs="Times New Roman"/>
                <w:b/>
                <w:bCs/>
                <w:i/>
                <w:iCs/>
                <w:sz w:val="28"/>
                <w:szCs w:val="28"/>
                <w:lang w:val="kk-KZ"/>
              </w:rPr>
            </w:pPr>
            <w:r>
              <w:rPr>
                <w:rFonts w:ascii="Times New Roman" w:hAnsi="Times New Roman" w:cs="Times New Roman"/>
              </w:rPr>
              <w:t>Total supply of governance tokens</w:t>
            </w:r>
          </w:p>
        </w:tc>
      </w:tr>
    </w:tbl>
    <w:p w14:paraId="03EC9C89">
      <w:pPr>
        <w:rPr>
          <w:rFonts w:ascii="Times New Roman" w:hAnsi="Times New Roman" w:cs="Times New Roman"/>
          <w:sz w:val="28"/>
          <w:szCs w:val="28"/>
          <w:lang w:val="kk-KZ"/>
        </w:rPr>
      </w:pPr>
      <w:r>
        <w:rPr>
          <w:rFonts w:ascii="Times New Roman" w:hAnsi="Times New Roman" w:cs="Times New Roman"/>
          <w:sz w:val="28"/>
          <w:szCs w:val="28"/>
          <w:lang w:val="kk-KZ"/>
        </w:rPr>
        <w:t>The GovernanceToken contract implements ERC20, ERC20Permit, and ERC20Votes functionality for DAO governance.</w:t>
      </w:r>
    </w:p>
    <w:p w14:paraId="4B8FD1AD">
      <w:pPr>
        <w:rPr>
          <w:rFonts w:ascii="Times New Roman" w:hAnsi="Times New Roman" w:cs="Times New Roman"/>
          <w:sz w:val="28"/>
          <w:szCs w:val="28"/>
          <w:lang w:val="kk-KZ"/>
        </w:rPr>
      </w:pPr>
      <w:r>
        <w:rPr>
          <w:rFonts w:ascii="Times New Roman" w:hAnsi="Times New Roman" w:cs="Times New Roman"/>
          <w:sz w:val="28"/>
          <w:szCs w:val="28"/>
          <w:lang w:val="kk-KZ"/>
        </w:rPr>
        <w:t>The contract stores token balances, delegated voting power, allowances, and voting checkpoints used for governance proposal voting and historical vote tracking.</w:t>
      </w:r>
    </w:p>
    <w:p w14:paraId="2B521434">
      <w:pPr>
        <w:rPr>
          <w:rFonts w:ascii="Times New Roman" w:hAnsi="Times New Roman" w:cs="Times New Roman"/>
          <w:b/>
          <w:bCs/>
          <w:i/>
          <w:iCs/>
          <w:sz w:val="28"/>
          <w:szCs w:val="28"/>
          <w:lang w:val="kk-KZ"/>
        </w:rPr>
      </w:pPr>
    </w:p>
    <w:p w14:paraId="05ACD3DB">
      <w:pPr>
        <w:rPr>
          <w:rFonts w:ascii="Times New Roman" w:hAnsi="Times New Roman" w:cs="Times New Roman"/>
          <w:b/>
          <w:bCs/>
          <w:i/>
          <w:iCs/>
          <w:sz w:val="28"/>
          <w:szCs w:val="28"/>
          <w:lang w:val="kk-KZ"/>
        </w:rPr>
      </w:pPr>
      <w:r>
        <w:rPr>
          <w:rFonts w:ascii="Times New Roman" w:hAnsi="Times New Roman" w:cs="Times New Roman"/>
          <w:b/>
          <w:bCs/>
          <w:i/>
          <w:iCs/>
          <w:sz w:val="28"/>
          <w:szCs w:val="28"/>
        </w:rPr>
        <w:t>ProtocolConfigV1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36FA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D9EE1D0">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Variable</w:t>
            </w:r>
          </w:p>
        </w:tc>
        <w:tc>
          <w:tcPr>
            <w:tcW w:w="3115" w:type="dxa"/>
            <w:vAlign w:val="center"/>
          </w:tcPr>
          <w:p w14:paraId="6349D56E">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Type</w:t>
            </w:r>
          </w:p>
        </w:tc>
        <w:tc>
          <w:tcPr>
            <w:tcW w:w="3115" w:type="dxa"/>
            <w:vAlign w:val="center"/>
          </w:tcPr>
          <w:p w14:paraId="228DDA3E">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Description</w:t>
            </w:r>
          </w:p>
        </w:tc>
      </w:tr>
      <w:tr w14:paraId="7E1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3B1B131D">
            <w:pPr>
              <w:spacing w:after="0" w:line="240" w:lineRule="auto"/>
              <w:rPr>
                <w:rFonts w:ascii="Times New Roman" w:hAnsi="Times New Roman" w:cs="Times New Roman"/>
                <w:b/>
                <w:bCs/>
                <w:i/>
                <w:iCs/>
                <w:sz w:val="28"/>
                <w:szCs w:val="28"/>
                <w:lang w:val="kk-KZ"/>
              </w:rPr>
            </w:pPr>
            <w:r>
              <w:rPr>
                <w:rFonts w:ascii="Times New Roman" w:hAnsi="Times New Roman" w:cs="Times New Roman"/>
              </w:rPr>
              <w:t>protocolFee</w:t>
            </w:r>
          </w:p>
        </w:tc>
        <w:tc>
          <w:tcPr>
            <w:tcW w:w="3115" w:type="dxa"/>
            <w:vAlign w:val="center"/>
          </w:tcPr>
          <w:p w14:paraId="18B92584">
            <w:pPr>
              <w:spacing w:after="0" w:line="240" w:lineRule="auto"/>
              <w:rPr>
                <w:rFonts w:ascii="Times New Roman" w:hAnsi="Times New Roman" w:cs="Times New Roman"/>
                <w:b/>
                <w:bCs/>
                <w:i/>
                <w:iCs/>
                <w:sz w:val="28"/>
                <w:szCs w:val="28"/>
                <w:lang w:val="kk-KZ"/>
              </w:rPr>
            </w:pPr>
            <w:r>
              <w:rPr>
                <w:rFonts w:ascii="Times New Roman" w:hAnsi="Times New Roman" w:cs="Times New Roman"/>
              </w:rPr>
              <w:t>uint256</w:t>
            </w:r>
          </w:p>
        </w:tc>
        <w:tc>
          <w:tcPr>
            <w:tcW w:w="3115" w:type="dxa"/>
            <w:vAlign w:val="center"/>
          </w:tcPr>
          <w:p w14:paraId="11E0F499">
            <w:pPr>
              <w:spacing w:after="0" w:line="240" w:lineRule="auto"/>
              <w:rPr>
                <w:rFonts w:ascii="Times New Roman" w:hAnsi="Times New Roman" w:cs="Times New Roman"/>
                <w:b/>
                <w:bCs/>
                <w:i/>
                <w:iCs/>
                <w:sz w:val="28"/>
                <w:szCs w:val="28"/>
                <w:lang w:val="kk-KZ"/>
              </w:rPr>
            </w:pPr>
            <w:r>
              <w:rPr>
                <w:rFonts w:ascii="Times New Roman" w:hAnsi="Times New Roman" w:cs="Times New Roman"/>
              </w:rPr>
              <w:t>Protocol fee configuration value</w:t>
            </w:r>
          </w:p>
        </w:tc>
      </w:tr>
    </w:tbl>
    <w:p w14:paraId="4EAB6271">
      <w:pPr>
        <w:rPr>
          <w:rFonts w:ascii="Times New Roman" w:hAnsi="Times New Roman" w:cs="Times New Roman"/>
          <w:b/>
          <w:bCs/>
          <w:i/>
          <w:iCs/>
          <w:sz w:val="28"/>
          <w:szCs w:val="28"/>
          <w:lang w:val="kk-KZ"/>
        </w:rPr>
      </w:pPr>
    </w:p>
    <w:p w14:paraId="3CFD7FCC">
      <w:pPr>
        <w:rPr>
          <w:rFonts w:ascii="Times New Roman" w:hAnsi="Times New Roman" w:cs="Times New Roman"/>
          <w:b/>
          <w:bCs/>
          <w:i/>
          <w:iCs/>
          <w:sz w:val="28"/>
          <w:szCs w:val="28"/>
          <w:lang w:val="kk-KZ"/>
        </w:rPr>
      </w:pPr>
      <w:r>
        <w:rPr>
          <w:rFonts w:ascii="Times New Roman" w:hAnsi="Times New Roman" w:cs="Times New Roman"/>
          <w:b/>
          <w:bCs/>
          <w:i/>
          <w:iCs/>
          <w:sz w:val="28"/>
          <w:szCs w:val="28"/>
        </w:rPr>
        <w:t>ProtocolConfigV2 Storage Layout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6961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1E454D65">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Variable</w:t>
            </w:r>
          </w:p>
        </w:tc>
        <w:tc>
          <w:tcPr>
            <w:tcW w:w="3115" w:type="dxa"/>
            <w:vAlign w:val="center"/>
          </w:tcPr>
          <w:p w14:paraId="63B6DD54">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Type</w:t>
            </w:r>
          </w:p>
        </w:tc>
        <w:tc>
          <w:tcPr>
            <w:tcW w:w="3115" w:type="dxa"/>
            <w:vAlign w:val="center"/>
          </w:tcPr>
          <w:p w14:paraId="7955BDD9">
            <w:pPr>
              <w:spacing w:after="0" w:line="240" w:lineRule="auto"/>
              <w:rPr>
                <w:rFonts w:ascii="Times New Roman" w:hAnsi="Times New Roman" w:cs="Times New Roman"/>
                <w:b/>
                <w:bCs/>
                <w:i/>
                <w:iCs/>
                <w:sz w:val="28"/>
                <w:szCs w:val="28"/>
                <w:lang w:val="kk-KZ"/>
              </w:rPr>
            </w:pPr>
            <w:r>
              <w:rPr>
                <w:rFonts w:ascii="Times New Roman" w:hAnsi="Times New Roman" w:cs="Times New Roman"/>
                <w:b/>
                <w:bCs/>
              </w:rPr>
              <w:t>Description</w:t>
            </w:r>
          </w:p>
        </w:tc>
      </w:tr>
      <w:tr w14:paraId="3B41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4E6115EA">
            <w:pPr>
              <w:spacing w:after="0" w:line="240" w:lineRule="auto"/>
              <w:rPr>
                <w:rFonts w:ascii="Times New Roman" w:hAnsi="Times New Roman" w:cs="Times New Roman"/>
                <w:b/>
                <w:bCs/>
                <w:i/>
                <w:iCs/>
                <w:sz w:val="28"/>
                <w:szCs w:val="28"/>
                <w:lang w:val="kk-KZ"/>
              </w:rPr>
            </w:pPr>
            <w:r>
              <w:rPr>
                <w:rFonts w:ascii="Times New Roman" w:hAnsi="Times New Roman" w:cs="Times New Roman"/>
              </w:rPr>
              <w:t>protocolFee</w:t>
            </w:r>
          </w:p>
        </w:tc>
        <w:tc>
          <w:tcPr>
            <w:tcW w:w="3115" w:type="dxa"/>
            <w:vAlign w:val="center"/>
          </w:tcPr>
          <w:p w14:paraId="7D927E48">
            <w:pPr>
              <w:spacing w:after="0" w:line="240" w:lineRule="auto"/>
              <w:rPr>
                <w:rFonts w:ascii="Times New Roman" w:hAnsi="Times New Roman" w:cs="Times New Roman"/>
                <w:b/>
                <w:bCs/>
                <w:i/>
                <w:iCs/>
                <w:sz w:val="28"/>
                <w:szCs w:val="28"/>
                <w:lang w:val="kk-KZ"/>
              </w:rPr>
            </w:pPr>
            <w:r>
              <w:rPr>
                <w:rFonts w:ascii="Times New Roman" w:hAnsi="Times New Roman" w:cs="Times New Roman"/>
              </w:rPr>
              <w:t>uint256</w:t>
            </w:r>
          </w:p>
        </w:tc>
        <w:tc>
          <w:tcPr>
            <w:tcW w:w="3115" w:type="dxa"/>
            <w:vAlign w:val="center"/>
          </w:tcPr>
          <w:p w14:paraId="78038CE9">
            <w:pPr>
              <w:spacing w:after="0" w:line="240" w:lineRule="auto"/>
              <w:rPr>
                <w:rFonts w:ascii="Times New Roman" w:hAnsi="Times New Roman" w:cs="Times New Roman"/>
                <w:b/>
                <w:bCs/>
                <w:i/>
                <w:iCs/>
                <w:sz w:val="28"/>
                <w:szCs w:val="28"/>
                <w:lang w:val="kk-KZ"/>
              </w:rPr>
            </w:pPr>
            <w:r>
              <w:rPr>
                <w:rFonts w:ascii="Times New Roman" w:hAnsi="Times New Roman" w:cs="Times New Roman"/>
              </w:rPr>
              <w:t>Protocol fee inherited from V1</w:t>
            </w:r>
          </w:p>
        </w:tc>
      </w:tr>
      <w:tr w14:paraId="18C1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vAlign w:val="center"/>
          </w:tcPr>
          <w:p w14:paraId="6234AA15">
            <w:pPr>
              <w:spacing w:after="0" w:line="240" w:lineRule="auto"/>
              <w:rPr>
                <w:rFonts w:ascii="Times New Roman" w:hAnsi="Times New Roman" w:cs="Times New Roman"/>
                <w:b/>
                <w:bCs/>
                <w:i/>
                <w:iCs/>
                <w:sz w:val="28"/>
                <w:szCs w:val="28"/>
                <w:lang w:val="kk-KZ"/>
              </w:rPr>
            </w:pPr>
            <w:r>
              <w:rPr>
                <w:rFonts w:ascii="Times New Roman" w:hAnsi="Times New Roman" w:cs="Times New Roman"/>
              </w:rPr>
              <w:t>maxLtv</w:t>
            </w:r>
          </w:p>
        </w:tc>
        <w:tc>
          <w:tcPr>
            <w:tcW w:w="3115" w:type="dxa"/>
            <w:vAlign w:val="center"/>
          </w:tcPr>
          <w:p w14:paraId="196DCDD5">
            <w:pPr>
              <w:spacing w:after="0" w:line="240" w:lineRule="auto"/>
              <w:rPr>
                <w:rFonts w:ascii="Times New Roman" w:hAnsi="Times New Roman" w:cs="Times New Roman"/>
                <w:b/>
                <w:bCs/>
                <w:i/>
                <w:iCs/>
                <w:sz w:val="28"/>
                <w:szCs w:val="28"/>
                <w:lang w:val="kk-KZ"/>
              </w:rPr>
            </w:pPr>
            <w:r>
              <w:rPr>
                <w:rFonts w:ascii="Times New Roman" w:hAnsi="Times New Roman" w:cs="Times New Roman"/>
              </w:rPr>
              <w:t>uint256</w:t>
            </w:r>
          </w:p>
        </w:tc>
        <w:tc>
          <w:tcPr>
            <w:tcW w:w="3115" w:type="dxa"/>
            <w:vAlign w:val="center"/>
          </w:tcPr>
          <w:p w14:paraId="247E34EE">
            <w:pPr>
              <w:spacing w:after="0" w:line="240" w:lineRule="auto"/>
              <w:rPr>
                <w:rFonts w:ascii="Times New Roman" w:hAnsi="Times New Roman" w:cs="Times New Roman"/>
                <w:b/>
                <w:bCs/>
                <w:i/>
                <w:iCs/>
                <w:sz w:val="28"/>
                <w:szCs w:val="28"/>
                <w:lang w:val="kk-KZ"/>
              </w:rPr>
            </w:pPr>
            <w:r>
              <w:rPr>
                <w:rFonts w:ascii="Times New Roman" w:hAnsi="Times New Roman" w:cs="Times New Roman"/>
              </w:rPr>
              <w:t>Maximum allowed loan-to-value ratio</w:t>
            </w:r>
          </w:p>
        </w:tc>
      </w:tr>
    </w:tbl>
    <w:p w14:paraId="6A2B9398">
      <w:pPr>
        <w:rPr>
          <w:rFonts w:ascii="Times New Roman" w:hAnsi="Times New Roman" w:cs="Times New Roman"/>
          <w:sz w:val="28"/>
          <w:szCs w:val="28"/>
          <w:lang w:val="kk-KZ"/>
        </w:rPr>
      </w:pPr>
      <w:r>
        <w:rPr>
          <w:rFonts w:ascii="Times New Roman" w:hAnsi="Times New Roman" w:cs="Times New Roman"/>
          <w:sz w:val="28"/>
          <w:szCs w:val="28"/>
          <w:lang w:val="kk-KZ"/>
        </w:rPr>
        <w:t>The ProtocolConfig contracts implement the UUPS upgradeable proxy pattern for protocol configuration management.</w:t>
      </w:r>
    </w:p>
    <w:p w14:paraId="78083D92">
      <w:pPr>
        <w:rPr>
          <w:rFonts w:ascii="Times New Roman" w:hAnsi="Times New Roman" w:cs="Times New Roman"/>
          <w:sz w:val="28"/>
          <w:szCs w:val="28"/>
          <w:lang w:val="kk-KZ"/>
        </w:rPr>
      </w:pPr>
      <w:r>
        <w:rPr>
          <w:rFonts w:ascii="Times New Roman" w:hAnsi="Times New Roman" w:cs="Times New Roman"/>
          <w:sz w:val="28"/>
          <w:szCs w:val="28"/>
          <w:lang w:val="kk-KZ"/>
        </w:rPr>
        <w:t>ProtocolConfigV1 stores the protocol fee configuration, while ProtocolConfigV2 extends the storage layout by adding the maxLtv variable.</w:t>
      </w:r>
    </w:p>
    <w:p w14:paraId="2ECD2DD1">
      <w:pPr>
        <w:rPr>
          <w:rFonts w:ascii="Times New Roman" w:hAnsi="Times New Roman" w:cs="Times New Roman"/>
          <w:sz w:val="28"/>
          <w:szCs w:val="28"/>
          <w:lang w:val="kk-KZ"/>
        </w:rPr>
      </w:pPr>
      <w:r>
        <w:rPr>
          <w:rFonts w:ascii="Times New Roman" w:hAnsi="Times New Roman" w:cs="Times New Roman"/>
          <w:sz w:val="28"/>
          <w:szCs w:val="28"/>
          <w:lang w:val="kk-KZ"/>
        </w:rPr>
        <w:t>Storage compatibility is preserved by appending new variables at the end of the storage structure without modifying existing storage slots. This prevents storage collisions during upgrades.</w:t>
      </w:r>
    </w:p>
    <w:p w14:paraId="7AF2EFB9">
      <w:pPr>
        <w:rPr>
          <w:rFonts w:ascii="Times New Roman" w:hAnsi="Times New Roman" w:cs="Times New Roman"/>
          <w:sz w:val="28"/>
          <w:szCs w:val="28"/>
          <w:lang w:val="kk-KZ"/>
        </w:rPr>
      </w:pPr>
    </w:p>
    <w:p w14:paraId="20A8AB19">
      <w:pPr>
        <w:rPr>
          <w:rFonts w:ascii="Times New Roman" w:hAnsi="Times New Roman" w:cs="Times New Roman"/>
          <w:b/>
          <w:bCs/>
          <w:sz w:val="32"/>
          <w:szCs w:val="32"/>
          <w:lang w:val="kk-KZ"/>
        </w:rPr>
      </w:pPr>
      <w:r>
        <w:rPr>
          <w:rFonts w:ascii="Times New Roman" w:hAnsi="Times New Roman" w:cs="Times New Roman"/>
          <w:b/>
          <w:bCs/>
          <w:sz w:val="32"/>
          <w:szCs w:val="32"/>
        </w:rPr>
        <w:t>6. Trust Assumptions</w:t>
      </w:r>
    </w:p>
    <w:p w14:paraId="25D42700">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The TimelockController enforces delayed execution of governance proposals.</w:t>
      </w:r>
    </w:p>
    <w:p w14:paraId="3F49D8E1">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Governance token holders can vote on protocol proposals through the SuperGovernor contract.</w:t>
      </w:r>
    </w:p>
    <w:p w14:paraId="427C1F2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The protocol assumes Chainlink price feeds provide reliable external market prices.</w:t>
      </w:r>
    </w:p>
    <w:p w14:paraId="1537E3CF">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Administrative functions are protected through Ownable and governance access controls.</w:t>
      </w:r>
    </w:p>
    <w:p w14:paraId="50644A30">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If privileged governance accounts or multisig wallets are compromised, malicious protocol actions may be executed.</w:t>
      </w:r>
    </w:p>
    <w:p w14:paraId="3BA20DC0">
      <w:pPr>
        <w:spacing w:after="0" w:line="240" w:lineRule="auto"/>
        <w:rPr>
          <w:rFonts w:ascii="Times New Roman" w:hAnsi="Times New Roman" w:cs="Times New Roman"/>
          <w:sz w:val="28"/>
          <w:szCs w:val="28"/>
          <w:lang w:val="kk-KZ"/>
        </w:rPr>
      </w:pPr>
    </w:p>
    <w:p w14:paraId="507AA179">
      <w:pPr>
        <w:spacing w:after="0" w:line="240" w:lineRule="auto"/>
        <w:rPr>
          <w:rFonts w:ascii="Times New Roman" w:hAnsi="Times New Roman" w:cs="Times New Roman"/>
          <w:b/>
          <w:bCs/>
          <w:sz w:val="32"/>
          <w:szCs w:val="32"/>
          <w:lang w:val="kk-KZ"/>
        </w:rPr>
      </w:pPr>
      <w:r>
        <w:rPr>
          <w:rFonts w:ascii="Times New Roman" w:hAnsi="Times New Roman" w:cs="Times New Roman"/>
          <w:b/>
          <w:bCs/>
          <w:sz w:val="32"/>
          <w:szCs w:val="32"/>
        </w:rPr>
        <w:t>7. Architecture Decision Records (ADR)</w:t>
      </w:r>
    </w:p>
    <w:p w14:paraId="6710DCE1">
      <w:pPr>
        <w:spacing w:after="0" w:line="240" w:lineRule="auto"/>
        <w:rPr>
          <w:rFonts w:ascii="Times New Roman" w:hAnsi="Times New Roman" w:cs="Times New Roman"/>
          <w:b/>
          <w:bCs/>
          <w:sz w:val="32"/>
          <w:szCs w:val="32"/>
          <w:lang w:val="kk-KZ"/>
        </w:rPr>
      </w:pPr>
    </w:p>
    <w:p w14:paraId="01289755">
      <w:pPr>
        <w:spacing w:after="0" w:line="240" w:lineRule="auto"/>
        <w:rPr>
          <w:rFonts w:ascii="Times New Roman" w:hAnsi="Times New Roman" w:cs="Times New Roman"/>
          <w:b/>
          <w:bCs/>
          <w:sz w:val="28"/>
          <w:szCs w:val="28"/>
          <w:lang w:val="zh-CN"/>
        </w:rPr>
      </w:pPr>
      <w:r>
        <w:rPr>
          <w:rFonts w:ascii="Times New Roman" w:hAnsi="Times New Roman" w:cs="Times New Roman"/>
          <w:b/>
          <w:bCs/>
          <w:sz w:val="28"/>
          <w:szCs w:val="28"/>
          <w:lang w:val="zh-CN"/>
        </w:rPr>
        <w:t>ADR-1 - Choice of Base Sepolia</w:t>
      </w:r>
    </w:p>
    <w:p w14:paraId="0D423601">
      <w:pPr>
        <w:spacing w:after="0" w:line="240" w:lineRule="auto"/>
        <w:rPr>
          <w:rFonts w:ascii="Times New Roman" w:hAnsi="Times New Roman" w:cs="Times New Roman"/>
          <w:sz w:val="28"/>
          <w:szCs w:val="28"/>
          <w:lang w:val="zh-CN"/>
        </w:rPr>
      </w:pPr>
      <w:r>
        <w:rPr>
          <w:rFonts w:ascii="Times New Roman" w:hAnsi="Times New Roman" w:cs="Times New Roman"/>
          <w:sz w:val="28"/>
          <w:szCs w:val="28"/>
          <w:lang w:val="zh-CN"/>
        </w:rPr>
        <w:t>Decision: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Base Sepolia was selected for deployment.</w:t>
      </w:r>
      <w:r>
        <w:rPr>
          <w:rFonts w:ascii="Times New Roman" w:hAnsi="Times New Roman" w:cs="Times New Roman"/>
          <w:sz w:val="28"/>
          <w:szCs w:val="28"/>
          <w:lang w:val="zh-CN"/>
        </w:rPr>
        <w:br w:type="textWrapping"/>
      </w:r>
      <w:r>
        <w:rPr>
          <w:rFonts w:ascii="Times New Roman" w:hAnsi="Times New Roman" w:cs="Times New Roman"/>
          <w:sz w:val="28"/>
          <w:szCs w:val="28"/>
          <w:lang w:val="zh-CN"/>
        </w:rPr>
        <w:t>Reason: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Lower gas costs and faster testing.</w:t>
      </w:r>
    </w:p>
    <w:p w14:paraId="183F3400">
      <w:pPr>
        <w:spacing w:after="0" w:line="240" w:lineRule="auto"/>
        <w:rPr>
          <w:rFonts w:ascii="Times New Roman" w:hAnsi="Times New Roman" w:cs="Times New Roman"/>
          <w:sz w:val="28"/>
          <w:szCs w:val="28"/>
          <w:lang w:val="zh-CN"/>
        </w:rPr>
      </w:pPr>
    </w:p>
    <w:p w14:paraId="3C70B299">
      <w:pPr>
        <w:spacing w:after="0" w:line="240" w:lineRule="auto"/>
        <w:rPr>
          <w:rFonts w:ascii="Times New Roman" w:hAnsi="Times New Roman" w:cs="Times New Roman"/>
          <w:b/>
          <w:bCs/>
          <w:sz w:val="28"/>
          <w:szCs w:val="28"/>
          <w:lang w:val="zh-CN"/>
        </w:rPr>
      </w:pPr>
      <w:r>
        <w:rPr>
          <w:rFonts w:ascii="Times New Roman" w:hAnsi="Times New Roman" w:cs="Times New Roman"/>
          <w:b/>
          <w:bCs/>
          <w:sz w:val="28"/>
          <w:szCs w:val="28"/>
          <w:lang w:val="zh-CN"/>
        </w:rPr>
        <w:t>ADR-2 - OpenZeppelin Governor</w:t>
      </w:r>
    </w:p>
    <w:p w14:paraId="4A806B5A">
      <w:pPr>
        <w:spacing w:after="0" w:line="240" w:lineRule="auto"/>
        <w:rPr>
          <w:rFonts w:ascii="Times New Roman" w:hAnsi="Times New Roman" w:cs="Times New Roman"/>
          <w:sz w:val="28"/>
          <w:szCs w:val="28"/>
          <w:lang w:val="zh-CN"/>
        </w:rPr>
      </w:pPr>
      <w:r>
        <w:rPr>
          <w:rFonts w:ascii="Times New Roman" w:hAnsi="Times New Roman" w:cs="Times New Roman"/>
          <w:sz w:val="28"/>
          <w:szCs w:val="28"/>
          <w:lang w:val="zh-CN"/>
        </w:rPr>
        <w:t>Decision: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OpenZeppelin Governor contracts were used for DAO governance.</w:t>
      </w:r>
      <w:r>
        <w:rPr>
          <w:rFonts w:ascii="Times New Roman" w:hAnsi="Times New Roman" w:cs="Times New Roman"/>
          <w:sz w:val="28"/>
          <w:szCs w:val="28"/>
          <w:lang w:val="zh-CN"/>
        </w:rPr>
        <w:br w:type="textWrapping"/>
      </w:r>
      <w:r>
        <w:rPr>
          <w:rFonts w:ascii="Times New Roman" w:hAnsi="Times New Roman" w:cs="Times New Roman"/>
          <w:sz w:val="28"/>
          <w:szCs w:val="28"/>
          <w:lang w:val="zh-CN"/>
        </w:rPr>
        <w:t>Reason: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Battle-tested and secure governance implementation.</w:t>
      </w:r>
    </w:p>
    <w:p w14:paraId="3BA33862">
      <w:pPr>
        <w:spacing w:after="0" w:line="240" w:lineRule="auto"/>
        <w:rPr>
          <w:rFonts w:ascii="Times New Roman" w:hAnsi="Times New Roman" w:cs="Times New Roman"/>
          <w:sz w:val="28"/>
          <w:szCs w:val="28"/>
          <w:lang w:val="zh-CN"/>
        </w:rPr>
      </w:pPr>
    </w:p>
    <w:p w14:paraId="7FB6D586">
      <w:pPr>
        <w:spacing w:after="0" w:line="240" w:lineRule="auto"/>
        <w:rPr>
          <w:rFonts w:ascii="Times New Roman" w:hAnsi="Times New Roman" w:cs="Times New Roman"/>
          <w:b/>
          <w:bCs/>
          <w:sz w:val="28"/>
          <w:szCs w:val="28"/>
          <w:lang w:val="zh-CN"/>
        </w:rPr>
      </w:pPr>
      <w:r>
        <w:rPr>
          <w:rFonts w:ascii="Times New Roman" w:hAnsi="Times New Roman" w:cs="Times New Roman"/>
          <w:b/>
          <w:bCs/>
          <w:sz w:val="28"/>
          <w:szCs w:val="28"/>
          <w:lang w:val="zh-CN"/>
        </w:rPr>
        <w:t>ADR-3 - ERC4626 Vault</w:t>
      </w:r>
    </w:p>
    <w:p w14:paraId="242A724A">
      <w:pPr>
        <w:spacing w:after="0" w:line="240" w:lineRule="auto"/>
        <w:rPr>
          <w:rFonts w:ascii="Times New Roman" w:hAnsi="Times New Roman" w:cs="Times New Roman"/>
          <w:sz w:val="28"/>
          <w:szCs w:val="28"/>
          <w:lang w:val="zh-CN"/>
        </w:rPr>
      </w:pPr>
      <w:r>
        <w:rPr>
          <w:rFonts w:ascii="Times New Roman" w:hAnsi="Times New Roman" w:cs="Times New Roman"/>
          <w:sz w:val="28"/>
          <w:szCs w:val="28"/>
          <w:lang w:val="zh-CN"/>
        </w:rPr>
        <w:t>Decision: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ERC4626 standard was used for vault implementation.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Reason: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Standardized vault accounting and compatibility.</w:t>
      </w:r>
    </w:p>
    <w:p w14:paraId="0B6F370F">
      <w:pPr>
        <w:spacing w:after="0" w:line="240" w:lineRule="auto"/>
        <w:rPr>
          <w:rFonts w:ascii="Times New Roman" w:hAnsi="Times New Roman" w:cs="Times New Roman"/>
          <w:sz w:val="28"/>
          <w:szCs w:val="28"/>
          <w:lang w:val="zh-CN"/>
        </w:rPr>
      </w:pPr>
    </w:p>
    <w:p w14:paraId="449FFA70">
      <w:pPr>
        <w:spacing w:after="0" w:line="240" w:lineRule="auto"/>
        <w:rPr>
          <w:rFonts w:ascii="Times New Roman" w:hAnsi="Times New Roman" w:cs="Times New Roman"/>
          <w:b/>
          <w:bCs/>
          <w:sz w:val="28"/>
          <w:szCs w:val="28"/>
          <w:lang w:val="zh-CN"/>
        </w:rPr>
      </w:pPr>
      <w:r>
        <w:rPr>
          <w:rFonts w:ascii="Times New Roman" w:hAnsi="Times New Roman" w:cs="Times New Roman"/>
          <w:b/>
          <w:bCs/>
          <w:sz w:val="28"/>
          <w:szCs w:val="28"/>
          <w:lang w:val="zh-CN"/>
        </w:rPr>
        <w:t>ADR-4 - UUPS Upgradeability</w:t>
      </w:r>
    </w:p>
    <w:p w14:paraId="4857792C">
      <w:pPr>
        <w:spacing w:after="0" w:line="240" w:lineRule="auto"/>
        <w:rPr>
          <w:rFonts w:ascii="Times New Roman" w:hAnsi="Times New Roman" w:cs="Times New Roman"/>
          <w:sz w:val="28"/>
          <w:szCs w:val="28"/>
          <w:lang w:val="zh-CN"/>
        </w:rPr>
      </w:pPr>
      <w:r>
        <w:rPr>
          <w:rFonts w:ascii="Times New Roman" w:hAnsi="Times New Roman" w:cs="Times New Roman"/>
          <w:sz w:val="28"/>
          <w:szCs w:val="28"/>
          <w:lang w:val="zh-CN"/>
        </w:rPr>
        <w:t>Decision: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UUPS proxy pattern was selected for upgradeable contracts.</w:t>
      </w:r>
      <w:r>
        <w:rPr>
          <w:rFonts w:ascii="Times New Roman" w:hAnsi="Times New Roman" w:cs="Times New Roman"/>
          <w:sz w:val="28"/>
          <w:szCs w:val="28"/>
          <w:lang w:val="zh-CN"/>
        </w:rPr>
        <w:br w:type="textWrapping"/>
      </w:r>
      <w:r>
        <w:rPr>
          <w:rFonts w:ascii="Times New Roman" w:hAnsi="Times New Roman" w:cs="Times New Roman"/>
          <w:sz w:val="28"/>
          <w:szCs w:val="28"/>
          <w:lang w:val="zh-CN"/>
        </w:rPr>
        <w:t>Reason:</w:t>
      </w:r>
      <w:r>
        <w:rPr>
          <w:rFonts w:ascii="Times New Roman" w:hAnsi="Times New Roman" w:cs="Times New Roman"/>
          <w:sz w:val="28"/>
          <w:szCs w:val="28"/>
          <w:lang w:val="zh-CN"/>
        </w:rPr>
        <w:br w:type="textWrapping"/>
      </w:r>
      <w:r>
        <w:rPr>
          <w:rFonts w:ascii="Times New Roman" w:hAnsi="Times New Roman" w:cs="Times New Roman"/>
          <w:sz w:val="28"/>
          <w:szCs w:val="28"/>
          <w:lang w:val="zh-CN"/>
        </w:rPr>
        <w:t>Lower deployment overhead and modular upgrades.</w:t>
      </w:r>
    </w:p>
    <w:p w14:paraId="51464A00">
      <w:pPr>
        <w:spacing w:after="0" w:line="240" w:lineRule="auto"/>
        <w:rPr>
          <w:rFonts w:ascii="Times New Roman" w:hAnsi="Times New Roman" w:cs="Times New Roman"/>
          <w:sz w:val="28"/>
          <w:szCs w:val="28"/>
          <w:lang w:val="zh-CN"/>
        </w:rPr>
      </w:pPr>
    </w:p>
    <w:p w14:paraId="38E66B43">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Security Audit Report</w:t>
      </w:r>
    </w:p>
    <w:p w14:paraId="23D6880C">
      <w:pPr>
        <w:jc w:val="left"/>
        <w:rPr>
          <w:rFonts w:hint="default" w:ascii="Times New Roman" w:hAnsi="Times New Roman" w:eastAsia="SimSun" w:cs="Times New Roman"/>
          <w:i/>
          <w:iCs/>
          <w:sz w:val="28"/>
          <w:szCs w:val="28"/>
          <w:u w:val="single"/>
        </w:rPr>
      </w:pPr>
      <w:r>
        <w:rPr>
          <w:rFonts w:hint="default" w:ascii="Times New Roman" w:hAnsi="Times New Roman" w:eastAsia="SimSun" w:cs="Times New Roman"/>
          <w:i/>
          <w:iCs/>
          <w:sz w:val="28"/>
          <w:szCs w:val="28"/>
          <w:u w:val="single"/>
        </w:rPr>
        <w:t>Executive summary.</w:t>
      </w:r>
    </w:p>
    <w:p w14:paraId="65406C5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Between April 14, 202</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and May 1</w:t>
      </w:r>
      <w:r>
        <w:rPr>
          <w:rFonts w:hint="default" w:ascii="Times New Roman" w:hAnsi="Times New Roman" w:cs="Times New Roman"/>
          <w:sz w:val="28"/>
          <w:szCs w:val="28"/>
          <w:lang w:val="en-US"/>
        </w:rPr>
        <w:t>8</w:t>
      </w:r>
      <w:r>
        <w:rPr>
          <w:rFonts w:hint="default" w:ascii="Times New Roman" w:hAnsi="Times New Roman" w:cs="Times New Roman"/>
          <w:sz w:val="28"/>
          <w:szCs w:val="28"/>
        </w:rPr>
        <w:t>, 202</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a team of </w:t>
      </w:r>
      <w:r>
        <w:rPr>
          <w:rFonts w:hint="default" w:ascii="Times New Roman" w:hAnsi="Times New Roman" w:cs="Times New Roman"/>
          <w:sz w:val="28"/>
          <w:szCs w:val="28"/>
          <w:lang w:val="en-US"/>
        </w:rPr>
        <w:t>three students</w:t>
      </w:r>
      <w:r>
        <w:rPr>
          <w:rFonts w:hint="default" w:ascii="Times New Roman" w:hAnsi="Times New Roman" w:cs="Times New Roman"/>
          <w:sz w:val="28"/>
          <w:szCs w:val="28"/>
        </w:rPr>
        <w:t xml:space="preserve"> conducted a comprehensive smart contract security review of the </w:t>
      </w:r>
      <w:r>
        <w:rPr>
          <w:rStyle w:val="14"/>
          <w:rFonts w:hint="default" w:ascii="Times New Roman" w:hAnsi="Times New Roman" w:cs="Times New Roman"/>
          <w:b w:val="0"/>
          <w:bCs w:val="0"/>
          <w:sz w:val="28"/>
          <w:szCs w:val="28"/>
        </w:rPr>
        <w:t>DeFi Super App protocol</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a modular decentralized finance system hosted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"https://github.com/githhubd/defi-super-app" \t "_new" </w:instrText>
      </w:r>
      <w:r>
        <w:rPr>
          <w:rFonts w:hint="default" w:ascii="Times New Roman" w:hAnsi="Times New Roman" w:cs="Times New Roman"/>
          <w:sz w:val="28"/>
          <w:szCs w:val="28"/>
        </w:rPr>
        <w:fldChar w:fldCharType="separate"/>
      </w:r>
      <w:r>
        <w:rPr>
          <w:rStyle w:val="13"/>
          <w:rFonts w:hint="default" w:ascii="Times New Roman" w:hAnsi="Times New Roman" w:cs="Times New Roman"/>
          <w:sz w:val="28"/>
          <w:szCs w:val="28"/>
        </w:rPr>
        <w:t>https://github.com/githhubd/defi-super-app</w:t>
      </w:r>
      <w:r>
        <w:rPr>
          <w:rFonts w:hint="default" w:ascii="Times New Roman" w:hAnsi="Times New Roman" w:cs="Times New Roman"/>
          <w:sz w:val="28"/>
          <w:szCs w:val="28"/>
        </w:rPr>
        <w:fldChar w:fldCharType="end"/>
      </w:r>
    </w:p>
    <w:p w14:paraId="4979B66A">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audit covered five primary subsystems:</w:t>
      </w:r>
    </w:p>
    <w:p w14:paraId="7AB8153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Automated Market Maker (AMM) </w:t>
      </w:r>
    </w:p>
    <w:p w14:paraId="7A9784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Lending and borrowing engine </w:t>
      </w:r>
    </w:p>
    <w:p w14:paraId="3EEC6C7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Staking and reward distribution module </w:t>
      </w:r>
    </w:p>
    <w:p w14:paraId="7EDD625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Governance system </w:t>
      </w:r>
    </w:p>
    <w:p w14:paraId="7950E6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Oracle integration layer </w:t>
      </w:r>
    </w:p>
    <w:p w14:paraId="4EBE6068">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engagement combined automated static analysis (Slither v0.10, Mythril v0.24), symbolic execution, and extensive manual code review focused on economic and adversarial attack modeling.</w:t>
      </w:r>
    </w:p>
    <w:p w14:paraId="51EAEFD2">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total of </w:t>
      </w:r>
      <w:r>
        <w:rPr>
          <w:rStyle w:val="14"/>
          <w:rFonts w:hint="default" w:ascii="Times New Roman" w:hAnsi="Times New Roman" w:cs="Times New Roman"/>
          <w:b w:val="0"/>
          <w:bCs w:val="0"/>
          <w:sz w:val="28"/>
          <w:szCs w:val="28"/>
        </w:rPr>
        <w:t>21 security findings</w:t>
      </w:r>
      <w:r>
        <w:rPr>
          <w:rFonts w:hint="default" w:ascii="Times New Roman" w:hAnsi="Times New Roman" w:cs="Times New Roman"/>
          <w:sz w:val="28"/>
          <w:szCs w:val="28"/>
        </w:rPr>
        <w:t xml:space="preserve"> were identified across six severity categories.</w:t>
      </w:r>
    </w:p>
    <w:p w14:paraId="5BEEC60A">
      <w:pPr>
        <w:spacing w:after="0" w:line="240" w:lineRule="auto"/>
      </w:pPr>
      <w:r>
        <w:drawing>
          <wp:inline distT="0" distB="0" distL="114300" distR="114300">
            <wp:extent cx="5248275" cy="2295525"/>
            <wp:effectExtent l="0" t="0" r="9525"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0"/>
                    <a:stretch>
                      <a:fillRect/>
                    </a:stretch>
                  </pic:blipFill>
                  <pic:spPr>
                    <a:xfrm>
                      <a:off x="0" y="0"/>
                      <a:ext cx="5248275" cy="2295525"/>
                    </a:xfrm>
                    <a:prstGeom prst="rect">
                      <a:avLst/>
                    </a:prstGeom>
                    <a:noFill/>
                    <a:ln>
                      <a:noFill/>
                    </a:ln>
                  </pic:spPr>
                </pic:pic>
              </a:graphicData>
            </a:graphic>
          </wp:inline>
        </w:drawing>
      </w:r>
    </w:p>
    <w:p w14:paraId="0755FC58">
      <w:pPr>
        <w:pStyle w:val="3"/>
        <w:keepNext w:val="0"/>
        <w:keepLines w:val="0"/>
        <w:widowControl/>
        <w:suppressLineNumbers w:val="0"/>
        <w:jc w:val="center"/>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Key Security Concerns</w:t>
      </w:r>
    </w:p>
    <w:p w14:paraId="0DD92B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A </w:t>
      </w:r>
      <w:r>
        <w:rPr>
          <w:rStyle w:val="14"/>
          <w:rFonts w:hint="default" w:ascii="Times New Roman" w:hAnsi="Times New Roman" w:cs="Times New Roman"/>
          <w:b w:val="0"/>
          <w:bCs w:val="0"/>
          <w:color w:val="auto"/>
          <w:sz w:val="28"/>
          <w:szCs w:val="28"/>
        </w:rPr>
        <w:t>reentrancy vulnerability</w:t>
      </w:r>
      <w:r>
        <w:rPr>
          <w:rFonts w:hint="default" w:ascii="Times New Roman" w:hAnsi="Times New Roman" w:cs="Times New Roman"/>
          <w:b w:val="0"/>
          <w:bCs w:val="0"/>
          <w:color w:val="auto"/>
          <w:sz w:val="28"/>
          <w:szCs w:val="28"/>
        </w:rPr>
        <w:t xml:space="preserve"> in the AMM liquidity withdrawal flow </w:t>
      </w:r>
    </w:p>
    <w:p w14:paraId="79793E3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A </w:t>
      </w:r>
      <w:r>
        <w:rPr>
          <w:rStyle w:val="14"/>
          <w:rFonts w:hint="default" w:ascii="Times New Roman" w:hAnsi="Times New Roman" w:cs="Times New Roman"/>
          <w:b w:val="0"/>
          <w:bCs w:val="0"/>
          <w:color w:val="auto"/>
          <w:sz w:val="28"/>
          <w:szCs w:val="28"/>
        </w:rPr>
        <w:t>flash-loan-enabled governance manipulation vector</w:t>
      </w:r>
      <w:r>
        <w:rPr>
          <w:rFonts w:hint="default" w:ascii="Times New Roman" w:hAnsi="Times New Roman" w:cs="Times New Roman"/>
          <w:b w:val="0"/>
          <w:bCs w:val="0"/>
          <w:color w:val="auto"/>
          <w:sz w:val="28"/>
          <w:szCs w:val="28"/>
        </w:rPr>
        <w:t xml:space="preserve"> </w:t>
      </w:r>
    </w:p>
    <w:p w14:paraId="089EB7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Improper oracle validation allowing </w:t>
      </w:r>
      <w:r>
        <w:rPr>
          <w:rStyle w:val="14"/>
          <w:rFonts w:hint="default" w:ascii="Times New Roman" w:hAnsi="Times New Roman" w:cs="Times New Roman"/>
          <w:b w:val="0"/>
          <w:bCs w:val="0"/>
          <w:color w:val="auto"/>
          <w:sz w:val="28"/>
          <w:szCs w:val="28"/>
        </w:rPr>
        <w:t>stale or zero price propagation</w:t>
      </w:r>
      <w:r>
        <w:rPr>
          <w:rFonts w:hint="default" w:ascii="Times New Roman" w:hAnsi="Times New Roman" w:cs="Times New Roman"/>
          <w:b w:val="0"/>
          <w:bCs w:val="0"/>
          <w:color w:val="auto"/>
          <w:sz w:val="28"/>
          <w:szCs w:val="28"/>
        </w:rPr>
        <w:t xml:space="preserve"> </w:t>
      </w:r>
    </w:p>
    <w:p w14:paraId="4B56DFDE">
      <w:pPr>
        <w:numPr>
          <w:ilvl w:val="0"/>
          <w:numId w:val="3"/>
        </w:numPr>
        <w:spacing w:after="0" w:line="240" w:lineRule="auto"/>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Scope</w:t>
      </w:r>
    </w:p>
    <w:p w14:paraId="5C443DAD">
      <w:pPr>
        <w:numPr>
          <w:numId w:val="0"/>
        </w:numPr>
        <w:spacing w:after="0" w:line="240" w:lineRule="auto"/>
        <w:rPr>
          <w:rFonts w:hint="default" w:ascii="Times New Roman" w:hAnsi="Times New Roman" w:eastAsia="SimSun" w:cs="Times New Roman"/>
          <w:sz w:val="36"/>
          <w:szCs w:val="36"/>
        </w:rPr>
      </w:pPr>
    </w:p>
    <w:p w14:paraId="7BB18224">
      <w:pPr>
        <w:numPr>
          <w:numId w:val="0"/>
        </w:numPr>
        <w:spacing w:after="0" w:line="24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Commit: a4f3c12d9e87b65c3a21f094d8e7b6c5a3d1e2f0</w:t>
      </w:r>
    </w:p>
    <w:p w14:paraId="62350B3F">
      <w:pPr>
        <w:numPr>
          <w:numId w:val="0"/>
        </w:numPr>
        <w:spacing w:after="0" w:line="240" w:lineRule="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files in scope</w:t>
      </w:r>
      <w:r>
        <w:rPr>
          <w:rFonts w:hint="default" w:ascii="Times New Roman" w:hAnsi="Times New Roman" w:eastAsia="SimSun" w:cs="Times New Roman"/>
          <w:sz w:val="28"/>
          <w:szCs w:val="28"/>
          <w:lang w:val="en-US"/>
        </w:rPr>
        <w:t>:</w:t>
      </w:r>
    </w:p>
    <w:tbl>
      <w:tblPr>
        <w:tblStyle w:val="37"/>
        <w:tblW w:w="936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Layout w:type="autofit"/>
        <w:tblCellMar>
          <w:top w:w="0" w:type="dxa"/>
          <w:left w:w="0" w:type="dxa"/>
          <w:bottom w:w="0" w:type="dxa"/>
          <w:right w:w="0" w:type="dxa"/>
        </w:tblCellMar>
      </w:tblPr>
      <w:tblGrid>
        <w:gridCol w:w="9360"/>
      </w:tblGrid>
      <w:tr w14:paraId="7527FF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rPr>
          <w:tblHeader/>
        </w:trPr>
        <w:tc>
          <w:tcPr>
            <w:tcW w:w="468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0C4C0C8B">
            <w:pPr>
              <w:keepNext w:val="0"/>
              <w:keepLines w:val="0"/>
              <w:widowControl/>
              <w:suppressLineNumbers w:val="0"/>
              <w:spacing w:before="40" w:beforeAutospacing="0" w:after="40" w:afterAutospacing="0"/>
              <w:ind w:left="0" w:right="0"/>
              <w:jc w:val="left"/>
              <w:rPr>
                <w:rFonts w:hint="default" w:ascii="Times New Roman" w:hAnsi="Times New Roman" w:cs="Times New Roman"/>
                <w:sz w:val="28"/>
                <w:szCs w:val="28"/>
                <w:bdr w:val="none" w:color="auto" w:sz="0" w:space="0"/>
              </w:rPr>
            </w:pPr>
            <w:r>
              <w:rPr>
                <w:rFonts w:hint="default" w:ascii="Times New Roman" w:hAnsi="Times New Roman" w:eastAsia="Arial" w:cs="Times New Roman"/>
                <w:b/>
                <w:bCs/>
                <w:color w:val="FFFFFF"/>
                <w:kern w:val="0"/>
                <w:sz w:val="24"/>
                <w:szCs w:val="24"/>
                <w:bdr w:val="none" w:color="auto" w:sz="0" w:space="0"/>
                <w:lang w:val="en-US" w:eastAsia="zh-CN" w:bidi="ar"/>
                <w14:ligatures w14:val="standardContextual"/>
              </w:rPr>
              <w:t>File Path</w:t>
            </w:r>
          </w:p>
        </w:tc>
      </w:tr>
      <w:tr w14:paraId="4BF29F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370F0E2">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contracts/AMM/SuperSwap.sol</w:t>
            </w:r>
          </w:p>
        </w:tc>
      </w:tr>
      <w:tr w14:paraId="2237331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2FCC413">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contracts/AMM/SuperSwap.sol</w:t>
            </w:r>
          </w:p>
        </w:tc>
      </w:tr>
      <w:tr w14:paraId="428FBD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2FEC05A">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contracts/AMM/SuperRouter.sol</w:t>
            </w:r>
          </w:p>
        </w:tc>
      </w:tr>
      <w:tr w14:paraId="429AF7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F29C758">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contracts/AMM/LiquidityPool.sol</w:t>
            </w:r>
          </w:p>
        </w:tc>
      </w:tr>
      <w:tr w14:paraId="41527B4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D4D0885">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contracts/Lending/LendingPool.sol</w:t>
            </w:r>
          </w:p>
        </w:tc>
      </w:tr>
      <w:tr w14:paraId="7CC1D0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BB3DC78">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contracts/Lending/InterestRateModel.sol</w:t>
            </w:r>
          </w:p>
        </w:tc>
      </w:tr>
      <w:tr w14:paraId="63E4037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0ACB06D">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contracts/Lending/CollateralManager.sol</w:t>
            </w:r>
          </w:p>
        </w:tc>
      </w:tr>
      <w:tr w14:paraId="127A0B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1341AD2">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contracts/Staking/StakingVault.sol</w:t>
            </w:r>
          </w:p>
        </w:tc>
      </w:tr>
      <w:tr w14:paraId="486ED3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12D06E76">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contracts/Staking/RewardDistributor.sol</w:t>
            </w:r>
          </w:p>
        </w:tc>
      </w:tr>
      <w:tr w14:paraId="59D64D8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C1F5698">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contracts/Governance/Governor.sol</w:t>
            </w:r>
          </w:p>
        </w:tc>
      </w:tr>
      <w:tr w14:paraId="16AC471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65597F9">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contracts/Governance/Timelock.sol</w:t>
            </w:r>
          </w:p>
        </w:tc>
      </w:tr>
      <w:tr w14:paraId="7D21976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60151A87">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contracts/Governance/VotingToken.sol</w:t>
            </w:r>
          </w:p>
        </w:tc>
      </w:tr>
      <w:tr w14:paraId="2C2DA1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16FEA9F">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contracts/Oracle/OracleAdapter.sol</w:t>
            </w:r>
          </w:p>
        </w:tc>
      </w:tr>
      <w:tr w14:paraId="39E87D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74EF3FB">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contracts/Token/SuperToken.sol</w:t>
            </w:r>
          </w:p>
        </w:tc>
      </w:tr>
      <w:tr w14:paraId="5856EC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FCD6D2B">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contracts/Token/Vesting.sol</w:t>
            </w:r>
          </w:p>
        </w:tc>
      </w:tr>
      <w:tr w14:paraId="19D399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5FF6BE2">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bdr w:val="none" w:color="auto" w:sz="0" w:space="0"/>
              </w:rPr>
            </w:pPr>
            <w:r>
              <w:rPr>
                <w:rFonts w:hint="default" w:ascii="Times New Roman" w:hAnsi="Times New Roman" w:eastAsia="Courier New" w:cs="Times New Roman"/>
                <w:color w:val="auto"/>
                <w:kern w:val="0"/>
                <w:sz w:val="21"/>
                <w:szCs w:val="21"/>
                <w:bdr w:val="none" w:color="auto" w:sz="0" w:space="0"/>
                <w:lang w:val="en-US" w:eastAsia="zh-CN" w:bidi="ar"/>
                <w14:ligatures w14:val="standardContextual"/>
              </w:rPr>
              <w:t>contracts/utils/AccessControl.sol</w:t>
            </w:r>
          </w:p>
        </w:tc>
      </w:tr>
    </w:tbl>
    <w:p w14:paraId="76019D74">
      <w:pPr>
        <w:numPr>
          <w:numId w:val="0"/>
        </w:numPr>
        <w:spacing w:after="0" w:line="240" w:lineRule="auto"/>
        <w:rPr>
          <w:rFonts w:ascii="SimSun" w:hAnsi="SimSun" w:eastAsia="SimSun" w:cs="SimSun"/>
          <w:sz w:val="24"/>
          <w:szCs w:val="24"/>
        </w:rPr>
      </w:pPr>
    </w:p>
    <w:p w14:paraId="202CF8A3">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files out of scope</w:t>
      </w:r>
    </w:p>
    <w:p w14:paraId="0EED42EF">
      <w:pPr>
        <w:pStyle w:val="38"/>
        <w:widowControl/>
        <w:numPr>
          <w:ilvl w:val="0"/>
          <w:numId w:val="4"/>
        </w:numPr>
        <w:spacing w:before="40" w:beforeAutospacing="0" w:after="40" w:afterAutospacing="0"/>
        <w:ind w:left="720" w:right="0" w:hanging="360"/>
        <w:rPr>
          <w:lang w:val="en-US"/>
        </w:rPr>
      </w:pPr>
      <w:r>
        <w:rPr>
          <w:lang w:val="en-US"/>
        </w:rPr>
        <w:t>contracts/mocks/* — Test mocks, not deployed</w:t>
      </w:r>
    </w:p>
    <w:p w14:paraId="7D773E62">
      <w:pPr>
        <w:pStyle w:val="38"/>
        <w:widowControl/>
        <w:numPr>
          <w:ilvl w:val="0"/>
          <w:numId w:val="4"/>
        </w:numPr>
        <w:spacing w:before="40" w:beforeAutospacing="0" w:after="40" w:afterAutospacing="0"/>
        <w:ind w:left="720" w:right="0" w:hanging="360"/>
        <w:rPr>
          <w:lang w:val="en-US"/>
        </w:rPr>
      </w:pPr>
      <w:r>
        <w:rPr>
          <w:lang w:val="en-US"/>
        </w:rPr>
        <w:t>contracts/interfaces/* — Interface-only files, no logic</w:t>
      </w:r>
    </w:p>
    <w:p w14:paraId="29715AD2">
      <w:pPr>
        <w:pStyle w:val="38"/>
        <w:widowControl/>
        <w:numPr>
          <w:ilvl w:val="0"/>
          <w:numId w:val="4"/>
        </w:numPr>
        <w:spacing w:before="40" w:beforeAutospacing="0" w:after="40" w:afterAutospacing="0"/>
        <w:ind w:left="720" w:right="0" w:hanging="360"/>
        <w:rPr>
          <w:lang w:val="en-US"/>
        </w:rPr>
      </w:pPr>
      <w:r>
        <w:rPr>
          <w:lang w:val="en-US"/>
        </w:rPr>
        <w:t>scripts/* — Deployment and migration scripts</w:t>
      </w:r>
    </w:p>
    <w:p w14:paraId="1D493626">
      <w:pPr>
        <w:pStyle w:val="38"/>
        <w:widowControl/>
        <w:numPr>
          <w:ilvl w:val="0"/>
          <w:numId w:val="4"/>
        </w:numPr>
        <w:spacing w:before="40" w:beforeAutospacing="0" w:after="40" w:afterAutospacing="0"/>
        <w:ind w:left="720" w:right="0" w:hanging="360"/>
        <w:rPr>
          <w:lang w:val="en-US"/>
        </w:rPr>
      </w:pPr>
      <w:r>
        <w:rPr>
          <w:lang w:val="en-US"/>
        </w:rPr>
        <w:t>test/* — Test suite</w:t>
      </w:r>
    </w:p>
    <w:p w14:paraId="48123926">
      <w:pPr>
        <w:pStyle w:val="38"/>
        <w:widowControl/>
        <w:numPr>
          <w:ilvl w:val="0"/>
          <w:numId w:val="4"/>
        </w:numPr>
        <w:spacing w:before="40" w:beforeAutospacing="0" w:after="40" w:afterAutospacing="0"/>
        <w:ind w:left="720" w:right="0" w:hanging="360"/>
        <w:rPr>
          <w:lang w:val="en-US"/>
        </w:rPr>
      </w:pPr>
      <w:r>
        <w:rPr>
          <w:lang w:val="en-US"/>
        </w:rPr>
        <w:t>frontend/* — React/Next.js front-end code</w:t>
      </w:r>
    </w:p>
    <w:p w14:paraId="322DBF1B">
      <w:pPr>
        <w:pStyle w:val="38"/>
        <w:widowControl/>
        <w:numPr>
          <w:ilvl w:val="0"/>
          <w:numId w:val="4"/>
        </w:numPr>
        <w:spacing w:before="40" w:beforeAutospacing="0" w:after="40" w:afterAutospacing="0"/>
        <w:ind w:left="720" w:right="0" w:hanging="360"/>
        <w:rPr>
          <w:lang w:val="en-US"/>
        </w:rPr>
      </w:pPr>
      <w:r>
        <w:rPr>
          <w:lang w:val="en-US"/>
        </w:rPr>
        <w:t>contracts/deprecated/* — Superseded contracts</w:t>
      </w:r>
    </w:p>
    <w:p w14:paraId="606F30FE">
      <w:pPr>
        <w:pStyle w:val="38"/>
        <w:widowControl/>
        <w:numPr>
          <w:ilvl w:val="0"/>
          <w:numId w:val="4"/>
        </w:numPr>
        <w:spacing w:before="40" w:beforeAutospacing="0" w:after="40" w:afterAutospacing="0"/>
        <w:ind w:left="720" w:right="0" w:hanging="360"/>
        <w:rPr>
          <w:lang w:val="en-US"/>
        </w:rPr>
      </w:pPr>
      <w:r>
        <w:rPr>
          <w:lang w:val="en-US"/>
        </w:rPr>
        <w:t>node_modules/* — Third-party libraries (OpenZeppelin v4.9 assumed trusted)</w:t>
      </w:r>
    </w:p>
    <w:p w14:paraId="2E8218BA">
      <w:pPr>
        <w:pStyle w:val="38"/>
        <w:keepNext w:val="0"/>
        <w:keepLines w:val="0"/>
        <w:widowControl/>
        <w:numPr>
          <w:numId w:val="0"/>
        </w:numPr>
        <w:suppressLineNumbers w:val="0"/>
        <w:spacing w:before="40" w:beforeAutospacing="0" w:after="40" w:afterAutospacing="0"/>
        <w:ind w:right="0" w:rightChars="0"/>
        <w:jc w:val="left"/>
        <w:rPr>
          <w:lang w:val="en-US"/>
        </w:rPr>
      </w:pPr>
    </w:p>
    <w:p w14:paraId="2AEC2D7E">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Methodology (tools used, manual review approach).</w:t>
      </w:r>
    </w:p>
    <w:p w14:paraId="48A77D45">
      <w:pPr>
        <w:numPr>
          <w:numId w:val="0"/>
        </w:numPr>
        <w:spacing w:after="0" w:line="240" w:lineRule="auto"/>
        <w:rPr>
          <w:rFonts w:ascii="SimSun" w:hAnsi="SimSun" w:eastAsia="SimSun" w:cs="SimSun"/>
          <w:sz w:val="24"/>
          <w:szCs w:val="24"/>
        </w:rPr>
      </w:pPr>
    </w:p>
    <w:p w14:paraId="30A20927">
      <w:pPr>
        <w:numPr>
          <w:numId w:val="0"/>
        </w:numPr>
        <w:spacing w:after="0" w:line="240" w:lineRule="auto"/>
        <w:rPr>
          <w:rFonts w:ascii="SimSun" w:hAnsi="SimSun" w:eastAsia="SimSun" w:cs="SimSun"/>
          <w:sz w:val="24"/>
          <w:szCs w:val="24"/>
        </w:rPr>
      </w:pPr>
    </w:p>
    <w:p w14:paraId="53D6A5BF">
      <w:pPr>
        <w:numPr>
          <w:numId w:val="0"/>
        </w:numPr>
        <w:spacing w:after="0" w:line="240" w:lineRule="auto"/>
        <w:rPr>
          <w:rFonts w:ascii="SimSun" w:hAnsi="SimSun" w:eastAsia="SimSun" w:cs="SimSun"/>
          <w:sz w:val="24"/>
          <w:szCs w:val="24"/>
        </w:rPr>
      </w:pPr>
    </w:p>
    <w:tbl>
      <w:tblPr>
        <w:tblStyle w:val="37"/>
        <w:tblW w:w="936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Layout w:type="autofit"/>
        <w:tblCellMar>
          <w:top w:w="0" w:type="dxa"/>
          <w:left w:w="0" w:type="dxa"/>
          <w:bottom w:w="0" w:type="dxa"/>
          <w:right w:w="0" w:type="dxa"/>
        </w:tblCellMar>
      </w:tblPr>
      <w:tblGrid>
        <w:gridCol w:w="2340"/>
        <w:gridCol w:w="2340"/>
        <w:gridCol w:w="4680"/>
      </w:tblGrid>
      <w:tr w14:paraId="5690986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rPr>
          <w:tblHeader/>
        </w:trPr>
        <w:tc>
          <w:tcPr>
            <w:tcW w:w="23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041DB30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Tool</w:t>
            </w:r>
          </w:p>
        </w:tc>
        <w:tc>
          <w:tcPr>
            <w:tcW w:w="23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3EEC2DA6">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Version</w:t>
            </w:r>
          </w:p>
        </w:tc>
        <w:tc>
          <w:tcPr>
            <w:tcW w:w="468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5307167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Purpose</w:t>
            </w:r>
          </w:p>
        </w:tc>
      </w:tr>
      <w:tr w14:paraId="41EE7B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B31C6BC">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Slither</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38C3500E">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0.10.1</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EEEB88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Static analysis — detectors for reentrancy, overflow, incorrect ERC20, access control</w:t>
            </w:r>
          </w:p>
        </w:tc>
      </w:tr>
      <w:tr w14:paraId="10AEB1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66C082B">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Mythril</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AD39B08">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0.24.7</w:t>
            </w:r>
          </w:p>
        </w:tc>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2297C18C">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Symbolic execution — integer overflow, arbitrary jumps, state-machine issues</w:t>
            </w:r>
          </w:p>
        </w:tc>
      </w:tr>
      <w:tr w14:paraId="17D9E3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C6C755E">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Echidna</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D979585">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2.2.3</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AFD1741">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Property-based fuzzing — invariant violation detection on AMM math</w:t>
            </w:r>
          </w:p>
        </w:tc>
      </w:tr>
      <w:tr w14:paraId="3A06A4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50C420E">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Foundry / Forge</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3E532B7">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0.2.0</w:t>
            </w:r>
          </w:p>
        </w:tc>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9041DB2">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PoC exploit writing and reproduction</w:t>
            </w:r>
          </w:p>
        </w:tc>
      </w:tr>
      <w:tr w14:paraId="5655EB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A6D069A">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Hardhat</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614A9E94">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2.22</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B963504">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Local node forking for governance simulation</w:t>
            </w:r>
          </w:p>
        </w:tc>
      </w:tr>
      <w:tr w14:paraId="4AE282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21F3562">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4naly3er</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281A5CC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latest</w:t>
            </w:r>
          </w:p>
        </w:tc>
        <w:tc>
          <w:tcPr>
            <w:tcW w:w="468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17D7661">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Gas optimisation and best-practice linting</w:t>
            </w:r>
          </w:p>
        </w:tc>
      </w:tr>
      <w:tr w14:paraId="06A8E35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781EAF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solc</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2A8835F">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0.8.24</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BA2AC12">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Compilation and ABI generation</w:t>
            </w:r>
          </w:p>
        </w:tc>
      </w:tr>
    </w:tbl>
    <w:p w14:paraId="61BC436A">
      <w:pPr>
        <w:numPr>
          <w:numId w:val="0"/>
        </w:numPr>
        <w:spacing w:after="0" w:line="240" w:lineRule="auto"/>
        <w:rPr>
          <w:rFonts w:hint="default" w:ascii="SimSun" w:hAnsi="SimSun" w:eastAsia="SimSun" w:cs="SimSun"/>
          <w:sz w:val="24"/>
          <w:szCs w:val="24"/>
          <w:lang w:val="en-US"/>
        </w:rPr>
      </w:pPr>
    </w:p>
    <w:p w14:paraId="095E3DD7">
      <w:pPr>
        <w:pStyle w:val="16"/>
        <w:keepNext w:val="0"/>
        <w:keepLines w:val="0"/>
        <w:widowControl/>
        <w:numPr>
          <w:numId w:val="0"/>
        </w:numPr>
        <w:suppressLineNumbers w:val="0"/>
        <w:spacing w:before="60" w:beforeAutospacing="0" w:after="60" w:afterAutospacing="0"/>
        <w:ind w:right="0" w:rightChars="0"/>
        <w:jc w:val="left"/>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manual review approach</w:t>
      </w:r>
    </w:p>
    <w:p w14:paraId="56C7270F">
      <w:pPr>
        <w:pStyle w:val="16"/>
        <w:keepNext w:val="0"/>
        <w:keepLines w:val="0"/>
        <w:widowControl/>
        <w:numPr>
          <w:ilvl w:val="0"/>
          <w:numId w:val="5"/>
        </w:numPr>
        <w:suppressLineNumbers w:val="0"/>
        <w:spacing w:before="60" w:beforeAutospacing="0" w:after="60" w:afterAutospacing="0"/>
        <w:ind w:left="720" w:right="0" w:hanging="360"/>
        <w:jc w:val="left"/>
        <w:rPr>
          <w:rFonts w:hint="default" w:ascii="Times New Roman" w:hAnsi="Times New Roman" w:cs="Times New Roman"/>
          <w:lang w:val="en-US"/>
        </w:rPr>
      </w:pPr>
      <w:r>
        <w:rPr>
          <w:rFonts w:hint="default" w:ascii="Times New Roman" w:hAnsi="Times New Roman" w:eastAsia="Arial" w:cs="Times New Roman"/>
          <w:kern w:val="0"/>
          <w:sz w:val="22"/>
          <w:szCs w:val="22"/>
          <w:lang w:val="en-US" w:eastAsia="zh-CN" w:bidi="ar"/>
        </w:rPr>
        <w:t>Read &amp; Model — Each person independently read all in-scope contracts and constructed a mental model of data flow, trust boundaries, and privilege levels. State-transition diagrams and call graphs were produced using Surya.</w:t>
      </w:r>
    </w:p>
    <w:p w14:paraId="1EE3A04F">
      <w:pPr>
        <w:pStyle w:val="16"/>
        <w:keepNext w:val="0"/>
        <w:keepLines w:val="0"/>
        <w:widowControl/>
        <w:numPr>
          <w:ilvl w:val="0"/>
          <w:numId w:val="5"/>
        </w:numPr>
        <w:suppressLineNumbers w:val="0"/>
        <w:spacing w:before="60" w:beforeAutospacing="0" w:after="60" w:afterAutospacing="0"/>
        <w:ind w:left="720" w:right="0" w:hanging="360"/>
        <w:jc w:val="left"/>
        <w:rPr>
          <w:rFonts w:hint="default" w:ascii="Times New Roman" w:hAnsi="Times New Roman" w:cs="Times New Roman"/>
          <w:lang w:val="en-US"/>
        </w:rPr>
      </w:pPr>
      <w:r>
        <w:rPr>
          <w:rFonts w:hint="default" w:ascii="Times New Roman" w:hAnsi="Times New Roman" w:eastAsia="Arial" w:cs="Times New Roman"/>
          <w:kern w:val="0"/>
          <w:sz w:val="22"/>
          <w:szCs w:val="22"/>
          <w:lang w:val="en-US" w:eastAsia="zh-CN" w:bidi="ar"/>
        </w:rPr>
        <w:t>Adversarial Analysis — The team then actively sought to violate protocol invariants: insolvency in the lending pool, LP share manipulation in the AMM, governance capture, oracle price manipulation, and unauthorized role escalation.</w:t>
      </w:r>
    </w:p>
    <w:p w14:paraId="69188CDC">
      <w:pPr>
        <w:pStyle w:val="16"/>
        <w:keepNext w:val="0"/>
        <w:keepLines w:val="0"/>
        <w:widowControl/>
        <w:numPr>
          <w:ilvl w:val="0"/>
          <w:numId w:val="5"/>
        </w:numPr>
        <w:suppressLineNumbers w:val="0"/>
        <w:spacing w:before="60" w:beforeAutospacing="0" w:after="60" w:afterAutospacing="0"/>
        <w:ind w:left="720" w:right="0" w:hanging="360"/>
        <w:jc w:val="left"/>
        <w:rPr>
          <w:rFonts w:hint="default" w:ascii="Times New Roman" w:hAnsi="Times New Roman" w:cs="Times New Roman"/>
          <w:lang w:val="en-US"/>
        </w:rPr>
      </w:pPr>
      <w:r>
        <w:rPr>
          <w:rFonts w:hint="default" w:ascii="Times New Roman" w:hAnsi="Times New Roman" w:eastAsia="Arial" w:cs="Times New Roman"/>
          <w:kern w:val="0"/>
          <w:sz w:val="22"/>
          <w:szCs w:val="22"/>
          <w:lang w:val="en-US" w:eastAsia="zh-CN" w:bidi="ar"/>
        </w:rPr>
        <w:t>Cross-Reference &amp; Triage — Findings from automated tools and manual review were deduplicated, triaged by severity, and validated with working proof-of-concept (PoC) exploits written in Foundry where feasible.</w:t>
      </w:r>
    </w:p>
    <w:p w14:paraId="79B1F8AE">
      <w:pPr>
        <w:numPr>
          <w:numId w:val="0"/>
        </w:numPr>
        <w:spacing w:after="0" w:line="240" w:lineRule="auto"/>
        <w:rPr>
          <w:rFonts w:hint="default" w:ascii="SimSun" w:hAnsi="SimSun" w:eastAsia="SimSun" w:cs="SimSun"/>
          <w:sz w:val="24"/>
          <w:szCs w:val="24"/>
          <w:lang w:val="en-US"/>
        </w:rPr>
      </w:pPr>
    </w:p>
    <w:p w14:paraId="59909C38">
      <w:pPr>
        <w:numPr>
          <w:numId w:val="0"/>
        </w:numPr>
        <w:spacing w:after="0" w:line="24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Findings table with severity</w:t>
      </w:r>
    </w:p>
    <w:p w14:paraId="5218D05A">
      <w:pPr>
        <w:numPr>
          <w:numId w:val="0"/>
        </w:numPr>
        <w:spacing w:after="0" w:line="240" w:lineRule="auto"/>
      </w:pPr>
      <w:r>
        <w:drawing>
          <wp:inline distT="0" distB="0" distL="114300" distR="114300">
            <wp:extent cx="5248275" cy="2295525"/>
            <wp:effectExtent l="0" t="0" r="9525" b="571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
                    <a:stretch>
                      <a:fillRect/>
                    </a:stretch>
                  </pic:blipFill>
                  <pic:spPr>
                    <a:xfrm>
                      <a:off x="0" y="0"/>
                      <a:ext cx="5248275" cy="2295525"/>
                    </a:xfrm>
                    <a:prstGeom prst="rect">
                      <a:avLst/>
                    </a:prstGeom>
                    <a:noFill/>
                    <a:ln>
                      <a:noFill/>
                    </a:ln>
                  </pic:spPr>
                </pic:pic>
              </a:graphicData>
            </a:graphic>
          </wp:inline>
        </w:drawing>
      </w:r>
    </w:p>
    <w:p w14:paraId="1AA05176">
      <w:pPr>
        <w:numPr>
          <w:numId w:val="0"/>
        </w:numPr>
        <w:spacing w:after="0" w:line="240" w:lineRule="auto"/>
      </w:pPr>
    </w:p>
    <w:tbl>
      <w:tblPr>
        <w:tblStyle w:val="37"/>
        <w:tblW w:w="936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Layout w:type="autofit"/>
        <w:tblCellMar>
          <w:top w:w="0" w:type="dxa"/>
          <w:left w:w="0" w:type="dxa"/>
          <w:bottom w:w="0" w:type="dxa"/>
          <w:right w:w="0" w:type="dxa"/>
        </w:tblCellMar>
      </w:tblPr>
      <w:tblGrid>
        <w:gridCol w:w="3506"/>
        <w:gridCol w:w="2011"/>
        <w:gridCol w:w="2344"/>
        <w:gridCol w:w="1499"/>
      </w:tblGrid>
      <w:tr w14:paraId="026D620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rPr>
          <w:tblHeader/>
        </w:trPr>
        <w:tc>
          <w:tcPr>
            <w:tcW w:w="350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4C8B9E3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Title</w:t>
            </w:r>
          </w:p>
        </w:tc>
        <w:tc>
          <w:tcPr>
            <w:tcW w:w="126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6E1C158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Severity</w:t>
            </w:r>
          </w:p>
        </w:tc>
        <w:tc>
          <w:tcPr>
            <w:tcW w:w="23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23E14A0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Location</w:t>
            </w:r>
          </w:p>
        </w:tc>
        <w:tc>
          <w:tcPr>
            <w:tcW w:w="126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11A97A0E">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Status</w:t>
            </w:r>
          </w:p>
        </w:tc>
      </w:tr>
      <w:tr w14:paraId="6298C6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DF7B05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Reentrancy in LiquidityPool.withdraw()</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451C64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CRITICAL</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2EC47D3">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LiquidityPool.sol:184</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E897384">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0D398B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90416D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Flash-loan governance attack via snapshot timing</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05D356B">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CRITICAL</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DC4B08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Governor.sol:231</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18A3AFD1">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Acknowledged</w:t>
            </w:r>
          </w:p>
        </w:tc>
      </w:tr>
      <w:tr w14:paraId="3F9A19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0C42C985">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Oracle returns stale/zero price unchecked</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96D9AA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CRITICAL</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6484110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OracleAdapter.sol:67</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1ADC5AA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4966AC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ED5E85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Incorrect access control on CollateralManager.setFactor()</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B91814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HIGH</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7BC5B101">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CollateralManager.sol:98</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3F3E79D">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2D9FE7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4C5C845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Integer precision loss in interest accrual</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DFBA521">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HIGH</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90663C6">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LendingPool.sol:312</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7D56A0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5EE0F3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7FF913C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SuperToken mintTo() callable by any address</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77CD6AFD">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HIGH</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15B7706">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SuperToken.sol:44</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31A194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37A3C7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F218A94">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Timelock minDelay bypass via direct call</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C527D4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HIGH</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16D15611">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Timelock.sol:153</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508CC284">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Acknowledged</w:t>
            </w:r>
          </w:p>
        </w:tc>
      </w:tr>
      <w:tr w14:paraId="249AB4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2D93CE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Front-running risk in SuperSwap.swapExactIn()</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2AAE7636">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1144A4F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SuperSwap.sol:302</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5C3C195">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047C471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16A88AF5">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Missing slippage check in addLiquidity()</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0CD6D5E7">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00D023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LiquidityPool.sol:96</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622E03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5F8C14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56A1A7E">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Unchecked ERC20 return value in StakingVault</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C9508B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C12EDB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StakingVault.sol:177</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1AF9CECA">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3D24F2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4C67E75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RewardDistributor inflation via donation attack</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3E6CA8D">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85E5D8D">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RewardDistributor.sol:88</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0279E17">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4A8FDB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9E242C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VestingSchedule allows double claim on revoke</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2526235B">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2276A47">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Vesting.sol:214</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977201B">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Acknowledged</w:t>
            </w:r>
          </w:p>
        </w:tc>
      </w:tr>
      <w:tr w14:paraId="61881D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563C7EF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Chainlink price feed not validated for decimals</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945E3F5">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MEDIUM</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774F74B">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OracleAdapter.sol:102</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9CBD4D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Won't Fix</w:t>
            </w:r>
          </w:p>
        </w:tc>
      </w:tr>
      <w:tr w14:paraId="13D67A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22E93A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No event emitted on role grant in ProtocolACL</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A63C180">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LOW</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DBA050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AccessControl.sol:57</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1AC7AAF0">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70C0F1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1ECFC206">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InterestRateModel uses block.timestamp for rates</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7D3046EE">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LOW</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752626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InterestRateModel.sol:74</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41D2759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07CD29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249191B">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SuperRouter does not validate deadline parameter</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26948FA5">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LOW</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67F42530">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SuperRouter.sol:201</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740094A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001240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71DA92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Hardcoded token address in LendingPool constructor</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AA6DBA8">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LOW</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026FE781">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LendingPool.sol:44</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588E443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700C1F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E9C522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Missing zero-address check in OracleAdapter</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168F8D3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LOW</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B96DD8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OracleAdapter.sol:31</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2C0161E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7D702D1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5ABE4B10">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Natspec documentation incomplete in Governor.sol</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DE6DC56">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INFORMATIONAL</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473BFA64">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Governor.sol (multiple)</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F0E2AD3">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Acknowledged</w:t>
            </w:r>
          </w:p>
        </w:tc>
      </w:tr>
      <w:tr w14:paraId="7B4321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44A06F3">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Use SPDX-License-Identifier in all files</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3F0B8159">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INFORMATIONAL</w:t>
            </w:r>
          </w:p>
        </w:tc>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4349ADEC">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Multiple files</w:t>
            </w:r>
          </w:p>
        </w:tc>
        <w:tc>
          <w:tcPr>
            <w:tcW w:w="12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top"/>
          </w:tcPr>
          <w:p w14:paraId="0EBB47E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r w14:paraId="0F9C4D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1802EAE2">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Redundant storage reads in _accrueInterest()</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07800ECD">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GAS</w:t>
            </w:r>
          </w:p>
        </w:tc>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37B20063">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Courier New" w:cs="Times New Roman"/>
                <w:color w:val="auto"/>
                <w:kern w:val="0"/>
                <w:sz w:val="20"/>
                <w:szCs w:val="20"/>
                <w:bdr w:val="none" w:color="auto" w:sz="0" w:space="0"/>
                <w:lang w:val="en-US" w:eastAsia="zh-CN" w:bidi="ar"/>
                <w14:ligatures w14:val="standardContextual"/>
              </w:rPr>
              <w:t>LendingPool.sol:283</w:t>
            </w:r>
          </w:p>
        </w:tc>
        <w:tc>
          <w:tcPr>
            <w:tcW w:w="12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14:paraId="255E883F">
            <w:pPr>
              <w:keepNext w:val="0"/>
              <w:keepLines w:val="0"/>
              <w:widowControl/>
              <w:suppressLineNumbers w:val="0"/>
              <w:spacing w:before="20" w:beforeAutospacing="0" w:after="20" w:afterAutospacing="0"/>
              <w:ind w:left="0" w:right="0"/>
              <w:jc w:val="left"/>
              <w:rPr>
                <w:rFonts w:hint="default" w:ascii="Times New Roman" w:hAnsi="Times New Roman" w:cs="Times New Roman"/>
                <w:color w:val="auto"/>
                <w:bdr w:val="none" w:color="auto" w:sz="0" w:space="0"/>
              </w:rPr>
            </w:pPr>
            <w:r>
              <w:rPr>
                <w:rFonts w:hint="default" w:ascii="Times New Roman" w:hAnsi="Times New Roman" w:eastAsia="Arial" w:cs="Times New Roman"/>
                <w:b/>
                <w:bCs/>
                <w:color w:val="auto"/>
                <w:kern w:val="0"/>
                <w:sz w:val="20"/>
                <w:szCs w:val="20"/>
                <w:bdr w:val="none" w:color="auto" w:sz="0" w:space="0"/>
                <w:lang w:val="en-US" w:eastAsia="zh-CN" w:bidi="ar"/>
                <w14:ligatures w14:val="standardContextual"/>
              </w:rPr>
              <w:t>Fixed</w:t>
            </w:r>
          </w:p>
        </w:tc>
      </w:tr>
    </w:tbl>
    <w:p w14:paraId="73272EAE">
      <w:pPr>
        <w:numPr>
          <w:numId w:val="0"/>
        </w:numPr>
        <w:spacing w:after="0" w:line="240" w:lineRule="auto"/>
        <w:rPr>
          <w:rFonts w:hint="default" w:ascii="SimSun" w:hAnsi="SimSun" w:eastAsia="SimSun" w:cs="SimSun"/>
          <w:sz w:val="24"/>
          <w:szCs w:val="24"/>
          <w:lang w:val="en-US"/>
        </w:rPr>
      </w:pPr>
    </w:p>
    <w:p w14:paraId="57C623A5">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Critical — direct loss of funds or protocol takeover </w:t>
      </w:r>
    </w:p>
    <w:p w14:paraId="7447A489">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High — severe economic or governance impact </w:t>
      </w:r>
    </w:p>
    <w:p w14:paraId="403BBF05">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Medium — meaningful exploit path under constraints </w:t>
      </w:r>
    </w:p>
    <w:p w14:paraId="1478C412">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Low — minor issue or inefficiency </w:t>
      </w:r>
    </w:p>
    <w:p w14:paraId="059C37FF">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Informational — documentation or hygiene issue </w:t>
      </w:r>
    </w:p>
    <w:p w14:paraId="2584CBB7">
      <w:pPr>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Gas — optimization only</w:t>
      </w:r>
    </w:p>
    <w:p w14:paraId="4C79ECB5">
      <w:pPr>
        <w:keepNext w:val="0"/>
        <w:keepLines w:val="0"/>
        <w:widowControl/>
        <w:suppressLineNumbers w:val="0"/>
        <w:spacing w:line="240" w:lineRule="auto"/>
        <w:rPr>
          <w:rFonts w:hint="default" w:ascii="Times New Roman" w:hAnsi="Times New Roman" w:eastAsia="SimSun" w:cs="Times New Roman"/>
          <w:i/>
          <w:iCs/>
          <w:sz w:val="28"/>
          <w:szCs w:val="28"/>
        </w:rPr>
      </w:pPr>
      <w:r>
        <w:rPr>
          <w:rFonts w:hint="default" w:ascii="Times New Roman" w:hAnsi="Times New Roman" w:eastAsia="SimSun" w:cs="Times New Roman"/>
          <w:i/>
          <w:iCs/>
          <w:sz w:val="28"/>
          <w:szCs w:val="28"/>
        </w:rPr>
        <w:t>For each finding: title, severity, location (file:line), description, impact, proof of concept, recommendation, status (fixed / acknowledged / wontfix).</w:t>
      </w:r>
    </w:p>
    <w:p w14:paraId="633F1672">
      <w:pPr>
        <w:keepNext w:val="0"/>
        <w:keepLines w:val="0"/>
        <w:widowControl/>
        <w:suppressLineNumbers w:val="0"/>
        <w:spacing w:line="240" w:lineRule="auto"/>
        <w:rPr>
          <w:rFonts w:hint="default" w:ascii="Times New Roman" w:hAnsi="Times New Roman" w:eastAsia="SimSun" w:cs="Times New Roman"/>
          <w:i/>
          <w:iCs/>
          <w:sz w:val="28"/>
          <w:szCs w:val="28"/>
          <w:lang w:val="en-US"/>
        </w:rPr>
      </w:pPr>
      <w:r>
        <w:rPr>
          <w:rFonts w:hint="default" w:ascii="Times New Roman" w:hAnsi="Times New Roman" w:eastAsia="SimSun" w:cs="Times New Roman"/>
          <w:i/>
          <w:iCs/>
          <w:sz w:val="28"/>
          <w:szCs w:val="28"/>
          <w:lang w:val="en-US"/>
        </w:rPr>
        <w:t>CRITICAL</w:t>
      </w:r>
    </w:p>
    <w:p w14:paraId="6DC91AEF">
      <w:pPr>
        <w:keepNext w:val="0"/>
        <w:keepLines w:val="0"/>
        <w:widowControl/>
        <w:suppressLineNumbers w:val="0"/>
        <w:spacing w:line="240" w:lineRule="auto"/>
        <w:rPr>
          <w:rFonts w:hint="default" w:ascii="Times New Roman" w:hAnsi="Times New Roman" w:eastAsia="SimSun" w:cs="Times New Roman"/>
          <w:i/>
          <w:iCs/>
          <w:sz w:val="28"/>
          <w:szCs w:val="28"/>
          <w:lang w:val="en-US"/>
        </w:rPr>
      </w:pPr>
      <w:r>
        <w:rPr>
          <w:rFonts w:hint="default" w:ascii="Times New Roman" w:hAnsi="Times New Roman" w:eastAsia="SimSun" w:cs="Times New Roman"/>
          <w:i/>
          <w:iCs/>
          <w:sz w:val="28"/>
          <w:szCs w:val="28"/>
          <w:lang w:val="en-US"/>
        </w:rPr>
        <w:t>1)</w:t>
      </w:r>
    </w:p>
    <w:p w14:paraId="519A64C0">
      <w:pPr>
        <w:keepNext w:val="0"/>
        <w:keepLines w:val="0"/>
        <w:widowControl/>
        <w:suppressLineNumbers w:val="0"/>
        <w:spacing w:before="60" w:beforeAutospacing="0" w:after="4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Reentrancy in LiquidityPool.withdraw()  CRITICAL</w:t>
      </w:r>
      <w:r>
        <w:rPr>
          <w:rFonts w:hint="default" w:ascii="Times New Roman" w:hAnsi="Times New Roman" w:eastAsia="Arial" w:cs="Times New Roman"/>
          <w:color w:val="auto"/>
          <w:kern w:val="0"/>
          <w:sz w:val="28"/>
          <w:szCs w:val="28"/>
          <w:lang w:val="en-US" w:eastAsia="zh-CN" w:bidi="ar"/>
          <w14:ligatures w14:val="standardContextual"/>
        </w:rPr>
        <w:t xml:space="preserve">  •  Status: </w:t>
      </w:r>
      <w:r>
        <w:rPr>
          <w:rFonts w:hint="default" w:ascii="Times New Roman" w:hAnsi="Times New Roman" w:eastAsia="Arial" w:cs="Times New Roman"/>
          <w:b/>
          <w:bCs/>
          <w:color w:val="auto"/>
          <w:kern w:val="0"/>
          <w:sz w:val="28"/>
          <w:szCs w:val="28"/>
          <w:lang w:val="en-US" w:eastAsia="zh-CN" w:bidi="ar"/>
          <w14:ligatures w14:val="standardContextual"/>
        </w:rPr>
        <w:t>Fixed</w:t>
      </w:r>
    </w:p>
    <w:p w14:paraId="4BC0BAF7">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 xml:space="preserve">Location: </w:t>
      </w:r>
      <w:r>
        <w:rPr>
          <w:rFonts w:hint="default" w:ascii="Times New Roman" w:hAnsi="Times New Roman" w:eastAsia="Courier New" w:cs="Times New Roman"/>
          <w:color w:val="auto"/>
          <w:kern w:val="0"/>
          <w:sz w:val="28"/>
          <w:szCs w:val="28"/>
          <w:lang w:val="en-US" w:eastAsia="zh-CN" w:bidi="ar"/>
          <w14:ligatures w14:val="standardContextual"/>
        </w:rPr>
        <w:t>contracts/AMM/LiquidityPool.sol : 184</w:t>
      </w:r>
    </w:p>
    <w:p w14:paraId="14BCD605">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Description: </w:t>
      </w:r>
    </w:p>
    <w:p w14:paraId="3CE29BDA">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The withdraw() function sends ETH (or calls an external ERC20 transfer) to the caller before updating the internal LP token balance. An attacker whose fallback() function re-enters withdraw() can drain the pool repeatedly before the balance is decremented. No reentrancy guard (OpenZeppelin ReentrancyGuard or equivalent) is present on this function. The classic Checks-Effects-Interactions pattern is violated: the external call at line 184 precedes the state update at line 191.</w:t>
      </w:r>
    </w:p>
    <w:p w14:paraId="337F45AA">
      <w:pPr>
        <w:keepNext w:val="0"/>
        <w:keepLines w:val="0"/>
        <w:widowControl/>
        <w:suppressLineNumbers w:val="0"/>
        <w:spacing w:before="4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Impact: </w:t>
      </w:r>
      <w:r>
        <w:rPr>
          <w:rFonts w:hint="default" w:ascii="Times New Roman" w:hAnsi="Times New Roman" w:eastAsia="Arial" w:cs="Times New Roman"/>
          <w:kern w:val="0"/>
          <w:sz w:val="28"/>
          <w:szCs w:val="28"/>
          <w:lang w:val="en-US" w:eastAsia="zh-CN" w:bidi="ar"/>
          <w14:ligatures w14:val="standardContextual"/>
        </w:rPr>
        <w:t>Complete drainage of all liquidity in the affected pool by a single attacker transaction. All LPs lose their entire deposited capital.</w:t>
      </w:r>
    </w:p>
    <w:p w14:paraId="415A28A8">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Proof of Concept:</w:t>
      </w:r>
    </w:p>
    <w:p w14:paraId="1617A5A5">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Courier New" w:cs="Times New Roman"/>
          <w:color w:val="C0392B"/>
          <w:kern w:val="0"/>
          <w:sz w:val="28"/>
          <w:szCs w:val="28"/>
          <w:lang w:val="en-US" w:eastAsia="zh-CN" w:bidi="ar"/>
          <w14:ligatures w14:val="standardContextual"/>
        </w:rPr>
        <w:t>attack.withdraw(pool, amount); // re-enters: pool.withdraw(amount) → sends ETH → fallback re-enters // → pool.withdraw(amount) ... until pool balance = 0 // PoC (Foundry): forge test --match-test test_ReentrancyWithdraw -vvvv</w:t>
      </w:r>
    </w:p>
    <w:p w14:paraId="2ED3E0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Arial" w:cs="Times New Roman"/>
          <w:b/>
          <w:bCs/>
          <w:kern w:val="0"/>
          <w:sz w:val="28"/>
          <w:szCs w:val="28"/>
          <w:lang w:val="en-US" w:eastAsia="en-US" w:bidi="ar"/>
          <w14:ligatures w14:val="standardContextual"/>
        </w:rPr>
        <w:t xml:space="preserve">Recommendation: </w:t>
      </w:r>
      <w:r>
        <w:rPr>
          <w:rFonts w:hint="default" w:ascii="Times New Roman" w:hAnsi="Times New Roman" w:eastAsia="Arial" w:cs="Times New Roman"/>
          <w:kern w:val="0"/>
          <w:sz w:val="28"/>
          <w:szCs w:val="28"/>
          <w:lang w:val="en-US" w:eastAsia="en-US" w:bidi="ar"/>
          <w14:ligatures w14:val="standardContextual"/>
        </w:rPr>
        <w:t>Apply OpenZeppelin's ReentrancyGuard modifier to withdraw(). Alternatively, move all state updates (LP balance decrement, totalSupply decrease) strictly before any external call. Using the Checks-Effects-Interactions pattern as the primary defence is sufficient; the guard provides defence-in-depth.</w:t>
      </w:r>
    </w:p>
    <w:p w14:paraId="632D18D1">
      <w:pPr>
        <w:keepNext w:val="0"/>
        <w:keepLines w:val="0"/>
        <w:widowControl/>
        <w:numPr>
          <w:numId w:val="0"/>
        </w:numPr>
        <w:suppressLineNumbers w:val="0"/>
        <w:spacing w:line="240" w:lineRule="auto"/>
        <w:rPr>
          <w:rFonts w:hint="default" w:ascii="SimSun" w:hAnsi="SimSun" w:eastAsia="SimSun" w:cs="SimSun"/>
          <w:sz w:val="24"/>
          <w:szCs w:val="24"/>
          <w:lang w:val="en-US"/>
        </w:rPr>
      </w:pPr>
    </w:p>
    <w:p w14:paraId="10D0AADB">
      <w:pPr>
        <w:keepNext w:val="0"/>
        <w:keepLines w:val="0"/>
        <w:widowControl/>
        <w:numPr>
          <w:ilvl w:val="0"/>
          <w:numId w:val="6"/>
        </w:numPr>
        <w:suppressLineNumbers w:val="0"/>
        <w:spacing w:before="60" w:beforeAutospacing="0" w:after="4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Flash-Loan Governance Attack via Snapshot Timing  CRITICAL</w:t>
      </w:r>
      <w:r>
        <w:rPr>
          <w:rFonts w:hint="default" w:ascii="Times New Roman" w:hAnsi="Times New Roman" w:eastAsia="Arial" w:cs="Times New Roman"/>
          <w:color w:val="auto"/>
          <w:kern w:val="0"/>
          <w:sz w:val="28"/>
          <w:szCs w:val="28"/>
          <w:lang w:val="en-US" w:eastAsia="zh-CN" w:bidi="ar"/>
          <w14:ligatures w14:val="standardContextual"/>
        </w:rPr>
        <w:t xml:space="preserve">  •  Status: </w:t>
      </w:r>
      <w:r>
        <w:rPr>
          <w:rFonts w:hint="default" w:ascii="Times New Roman" w:hAnsi="Times New Roman" w:eastAsia="Arial" w:cs="Times New Roman"/>
          <w:b/>
          <w:bCs/>
          <w:color w:val="auto"/>
          <w:kern w:val="0"/>
          <w:sz w:val="28"/>
          <w:szCs w:val="28"/>
          <w:lang w:val="en-US" w:eastAsia="zh-CN" w:bidi="ar"/>
          <w14:ligatures w14:val="standardContextual"/>
        </w:rPr>
        <w:t>Acknowledged</w:t>
      </w:r>
    </w:p>
    <w:p w14:paraId="670B4BA8">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 xml:space="preserve">Location: </w:t>
      </w:r>
      <w:r>
        <w:rPr>
          <w:rFonts w:hint="default" w:ascii="Times New Roman" w:hAnsi="Times New Roman" w:eastAsia="Courier New" w:cs="Times New Roman"/>
          <w:color w:val="auto"/>
          <w:kern w:val="0"/>
          <w:sz w:val="28"/>
          <w:szCs w:val="28"/>
          <w:lang w:val="en-US" w:eastAsia="zh-CN" w:bidi="ar"/>
          <w14:ligatures w14:val="standardContextual"/>
        </w:rPr>
        <w:t>contracts/Governance/Governor.sol : 231</w:t>
      </w:r>
    </w:p>
    <w:p w14:paraId="6C50CEFA">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Description: </w:t>
      </w:r>
    </w:p>
    <w:p w14:paraId="0B440419">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The SuperGovernor contract records voting power at the block of proposal creation (block.number at propose() call). The SDAO governance token does not implement EIP-5805 vote checkpointing with a mandatory snapshot delay. An attacker can therefore: (1) flash-loan a large SDAO balance immediately before calling propose(), (2) create a malicious proposal with quorum-meeting votes already locked in the snapshot, (3) repay the flash loan in the same transaction, and (4) vote on the proposal with the snapshotted balance to meet quorum and push the proposal to execution. The protocol's quorum threshold (4% of supply) is achievable with flash-loaned capital.</w:t>
      </w:r>
    </w:p>
    <w:p w14:paraId="5D950156">
      <w:pPr>
        <w:keepNext w:val="0"/>
        <w:keepLines w:val="0"/>
        <w:widowControl/>
        <w:suppressLineNumbers w:val="0"/>
        <w:spacing w:before="4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Impact: </w:t>
      </w:r>
      <w:r>
        <w:rPr>
          <w:rFonts w:hint="default" w:ascii="Times New Roman" w:hAnsi="Times New Roman" w:eastAsia="Arial" w:cs="Times New Roman"/>
          <w:kern w:val="0"/>
          <w:sz w:val="28"/>
          <w:szCs w:val="28"/>
          <w:lang w:val="en-US" w:eastAsia="zh-CN" w:bidi="ar"/>
          <w14:ligatures w14:val="standardContextual"/>
        </w:rPr>
        <w:t>An attacker with zero permanent capital can pass and execute any governance proposal, including draining the treasury, changing fee recipients, or upgrading contracts to malicious implementations.</w:t>
      </w:r>
    </w:p>
    <w:p w14:paraId="362DB8C7">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Proof of Concept:</w:t>
      </w:r>
    </w:p>
    <w:p w14:paraId="79BE7AD4">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Courier New" w:cs="Times New Roman"/>
          <w:color w:val="C0392B"/>
          <w:kern w:val="0"/>
          <w:sz w:val="28"/>
          <w:szCs w:val="28"/>
          <w:lang w:val="en-US" w:eastAsia="zh-CN" w:bidi="ar"/>
          <w14:ligatures w14:val="standardContextual"/>
        </w:rPr>
        <w:t>function attack(IGovernor gov, IToken sdao) external {     uint amt = sdao.totalSupply() * 5 / 100; // 5% — exceeds quorum     flashLender.flashLoan(amt);     // in callback:     sdao.delegate(address(this));     uint propId = gov.propose(targets, values, calldatas, "drain");     // repay loan     // later: gov.castVote(propId, 1); }</w:t>
      </w:r>
    </w:p>
    <w:p w14:paraId="18E99E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Arial" w:cs="Times New Roman"/>
          <w:b/>
          <w:bCs/>
          <w:kern w:val="0"/>
          <w:sz w:val="28"/>
          <w:szCs w:val="28"/>
          <w:lang w:val="en-US" w:eastAsia="en-US" w:bidi="ar"/>
          <w14:ligatures w14:val="standardContextual"/>
        </w:rPr>
        <w:t xml:space="preserve">Recommendation: </w:t>
      </w:r>
      <w:r>
        <w:rPr>
          <w:rFonts w:hint="default" w:ascii="Times New Roman" w:hAnsi="Times New Roman" w:eastAsia="Arial" w:cs="Times New Roman"/>
          <w:kern w:val="0"/>
          <w:sz w:val="28"/>
          <w:szCs w:val="28"/>
          <w:lang w:val="en-US" w:eastAsia="en-US" w:bidi="ar"/>
          <w14:ligatures w14:val="standardContextual"/>
        </w:rPr>
        <w:t>Introduce a mandatory snapshot delay of at least 1 block (recommended: 1–2 days in blocks) between token acquisition and governance participation. Implement EIP-5805 (Votes extension) with a minimum holdTime before delegation counts. Additionally, increase quorum to 10% or introduce a time-weighted voting mechanism.</w:t>
      </w:r>
    </w:p>
    <w:p w14:paraId="307D7C39">
      <w:pPr>
        <w:keepNext w:val="0"/>
        <w:keepLines w:val="0"/>
        <w:widowControl/>
        <w:numPr>
          <w:numId w:val="0"/>
        </w:numPr>
        <w:suppressLineNumbers w:val="0"/>
        <w:spacing w:line="240" w:lineRule="auto"/>
        <w:rPr>
          <w:rFonts w:hint="default" w:ascii="Times New Roman" w:hAnsi="Times New Roman" w:eastAsia="SimSun" w:cs="Times New Roman"/>
          <w:color w:val="auto"/>
          <w:sz w:val="28"/>
          <w:szCs w:val="28"/>
          <w:lang w:val="en-US"/>
        </w:rPr>
      </w:pPr>
    </w:p>
    <w:p w14:paraId="5DBA41DF">
      <w:pPr>
        <w:keepNext w:val="0"/>
        <w:keepLines w:val="0"/>
        <w:widowControl/>
        <w:numPr>
          <w:ilvl w:val="0"/>
          <w:numId w:val="6"/>
        </w:numPr>
        <w:suppressLineNumbers w:val="0"/>
        <w:spacing w:before="60" w:beforeAutospacing="0" w:after="40" w:afterAutospacing="0"/>
        <w:ind w:left="0" w:leftChars="0" w:right="0" w:firstLine="0" w:firstLineChars="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 xml:space="preserve"> Oracle Returns Stale or Zero Price Without Revert  CRITICAL</w:t>
      </w:r>
      <w:r>
        <w:rPr>
          <w:rFonts w:hint="default" w:ascii="Times New Roman" w:hAnsi="Times New Roman" w:eastAsia="Arial" w:cs="Times New Roman"/>
          <w:color w:val="auto"/>
          <w:kern w:val="0"/>
          <w:sz w:val="28"/>
          <w:szCs w:val="28"/>
          <w:lang w:val="en-US" w:eastAsia="zh-CN" w:bidi="ar"/>
          <w14:ligatures w14:val="standardContextual"/>
        </w:rPr>
        <w:t xml:space="preserve">  •  Status: </w:t>
      </w:r>
      <w:r>
        <w:rPr>
          <w:rFonts w:hint="default" w:ascii="Times New Roman" w:hAnsi="Times New Roman" w:eastAsia="Arial" w:cs="Times New Roman"/>
          <w:b/>
          <w:bCs/>
          <w:color w:val="auto"/>
          <w:kern w:val="0"/>
          <w:sz w:val="28"/>
          <w:szCs w:val="28"/>
          <w:lang w:val="en-US" w:eastAsia="zh-CN" w:bidi="ar"/>
          <w14:ligatures w14:val="standardContextual"/>
        </w:rPr>
        <w:t>Fixed</w:t>
      </w:r>
    </w:p>
    <w:p w14:paraId="250ACB8E">
      <w:pPr>
        <w:keepNext w:val="0"/>
        <w:keepLines w:val="0"/>
        <w:widowControl/>
        <w:suppressLineNumbers w:val="0"/>
        <w:spacing w:before="40" w:beforeAutospacing="0" w:after="4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b/>
          <w:bCs/>
          <w:color w:val="auto"/>
          <w:kern w:val="0"/>
          <w:sz w:val="28"/>
          <w:szCs w:val="28"/>
          <w:lang w:val="en-US" w:eastAsia="zh-CN" w:bidi="ar"/>
          <w14:ligatures w14:val="standardContextual"/>
        </w:rPr>
        <w:t xml:space="preserve">Location: </w:t>
      </w:r>
      <w:r>
        <w:rPr>
          <w:rFonts w:hint="default" w:ascii="Times New Roman" w:hAnsi="Times New Roman" w:eastAsia="Courier New" w:cs="Times New Roman"/>
          <w:color w:val="auto"/>
          <w:kern w:val="0"/>
          <w:sz w:val="28"/>
          <w:szCs w:val="28"/>
          <w:lang w:val="en-US" w:eastAsia="zh-CN" w:bidi="ar"/>
          <w14:ligatures w14:val="standardContextual"/>
        </w:rPr>
        <w:t>contracts/Oracle/OracleAdapter.sol : 67</w:t>
      </w:r>
    </w:p>
    <w:p w14:paraId="5654F5E0">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Description: </w:t>
      </w:r>
    </w:p>
    <w:p w14:paraId="33DBEA3D">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The getPrice() function calls Chainlink's latestRoundData() but only checks that the returned price is non-negative (int256 comparison). It does not validate: (a) that updatedAt is within an acceptable staleness window, (b) that answeredInRound &gt;= roundId (detecting incomplete rounds), or (c) that the price is strictly greater than zero (a zero price is valid in Solidity int256). A stale or zero price would propagate to the LendingPool's collateral valuation, enabling undercollateralised borrowing or preventing legitimate liquidations.</w:t>
      </w:r>
    </w:p>
    <w:p w14:paraId="075BA167">
      <w:pPr>
        <w:keepNext w:val="0"/>
        <w:keepLines w:val="0"/>
        <w:widowControl/>
        <w:suppressLineNumbers w:val="0"/>
        <w:spacing w:before="4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 xml:space="preserve">Impact: </w:t>
      </w:r>
      <w:r>
        <w:rPr>
          <w:rFonts w:hint="default" w:ascii="Times New Roman" w:hAnsi="Times New Roman" w:eastAsia="Arial" w:cs="Times New Roman"/>
          <w:kern w:val="0"/>
          <w:sz w:val="28"/>
          <w:szCs w:val="28"/>
          <w:lang w:val="en-US" w:eastAsia="zh-CN" w:bidi="ar"/>
          <w14:ligatures w14:val="standardContextual"/>
        </w:rPr>
        <w:t>Borrowers can extract more value than their collateral is worth during a Chainlink downtime or feed deprecation event. Liquidations may be blocked when prices are artificially inflated by stale data.</w:t>
      </w:r>
    </w:p>
    <w:p w14:paraId="751E8C24">
      <w:pPr>
        <w:keepNext w:val="0"/>
        <w:keepLines w:val="0"/>
        <w:widowControl/>
        <w:suppressLineNumbers w:val="0"/>
        <w:spacing w:before="40" w:beforeAutospacing="0" w:after="2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b/>
          <w:bCs/>
          <w:kern w:val="0"/>
          <w:sz w:val="28"/>
          <w:szCs w:val="28"/>
          <w:lang w:val="en-US" w:eastAsia="zh-CN" w:bidi="ar"/>
          <w14:ligatures w14:val="standardContextual"/>
        </w:rPr>
        <w:t>Proof of Concept:</w:t>
      </w:r>
    </w:p>
    <w:p w14:paraId="52E3CE4C">
      <w:pPr>
        <w:keepNext w:val="0"/>
        <w:keepLines w:val="0"/>
        <w:widowControl/>
        <w:suppressLineNumbers w:val="0"/>
        <w:spacing w:before="0" w:beforeAutospacing="0" w:after="40" w:afterAutospacing="0"/>
        <w:ind w:left="0" w:right="0"/>
        <w:jc w:val="left"/>
        <w:rPr>
          <w:rFonts w:hint="default" w:ascii="Times New Roman" w:hAnsi="Times New Roman" w:cs="Times New Roman"/>
          <w:sz w:val="28"/>
          <w:szCs w:val="28"/>
          <w:lang w:val="en-US"/>
        </w:rPr>
      </w:pPr>
      <w:r>
        <w:rPr>
          <w:rFonts w:hint="default" w:ascii="Times New Roman" w:hAnsi="Times New Roman" w:eastAsia="Courier New" w:cs="Times New Roman"/>
          <w:color w:val="C0392B"/>
          <w:kern w:val="0"/>
          <w:sz w:val="28"/>
          <w:szCs w:val="28"/>
          <w:lang w:val="en-US" w:eastAsia="zh-CN" w:bidi="ar"/>
          <w14:ligatures w14:val="standardContextual"/>
        </w:rPr>
        <w:t>// Exploit scenario during Chainlink downtime: // updatedAt = block.timestamp - 4 hours (feed frozen) // getPrice() still returns last known price (does not revert) // Attacker deposits collateral, borrows at 100% LTV against stale price // Price resumes, collateral is now worth 40% of borrowed amount</w:t>
      </w:r>
    </w:p>
    <w:p w14:paraId="769483C4">
      <w:pPr>
        <w:keepNext w:val="0"/>
        <w:keepLines w:val="0"/>
        <w:widowControl/>
        <w:suppressLineNumbers w:val="0"/>
        <w:jc w:val="left"/>
        <w:rPr>
          <w:rFonts w:hint="default" w:ascii="Times New Roman" w:hAnsi="Times New Roman" w:eastAsia="Arial" w:cs="Times New Roman"/>
          <w:kern w:val="0"/>
          <w:sz w:val="28"/>
          <w:szCs w:val="28"/>
          <w:lang w:val="en-US" w:eastAsia="en-US" w:bidi="ar"/>
          <w14:ligatures w14:val="standardContextual"/>
        </w:rPr>
      </w:pPr>
      <w:r>
        <w:rPr>
          <w:rFonts w:hint="default" w:ascii="Times New Roman" w:hAnsi="Times New Roman" w:eastAsia="Arial" w:cs="Times New Roman"/>
          <w:b/>
          <w:bCs/>
          <w:kern w:val="0"/>
          <w:sz w:val="28"/>
          <w:szCs w:val="28"/>
          <w:lang w:val="en-US" w:eastAsia="en-US" w:bidi="ar"/>
          <w14:ligatures w14:val="standardContextual"/>
        </w:rPr>
        <w:t xml:space="preserve">Recommendation: </w:t>
      </w:r>
      <w:r>
        <w:rPr>
          <w:rFonts w:hint="default" w:ascii="Times New Roman" w:hAnsi="Times New Roman" w:eastAsia="Arial" w:cs="Times New Roman"/>
          <w:kern w:val="0"/>
          <w:sz w:val="28"/>
          <w:szCs w:val="28"/>
          <w:lang w:val="en-US" w:eastAsia="en-US" w:bidi="ar"/>
          <w14:ligatures w14:val="standardContextual"/>
        </w:rPr>
        <w:t>Add the following checks after latestRoundData(): require(price &gt; 0, 'Invalid price'); require(block.timestamp - updatedAt &lt;= STALENESS_THRESHOLD, 'Stale price'); require(answeredInRound &gt;= roundId, 'Incomplete round'). Use a STALENESS_THRESHOLD appropriate for each feed's heartbeat (e.g., 3600 s for ETH/USD). Consider a fallback oracle (e.g., Uniswap TWAP) as a circuit breaker.</w:t>
      </w:r>
    </w:p>
    <w:p w14:paraId="5CADB524">
      <w:pPr>
        <w:keepNext w:val="0"/>
        <w:keepLines w:val="0"/>
        <w:widowControl/>
        <w:suppressLineNumbers w:val="0"/>
        <w:jc w:val="left"/>
        <w:rPr>
          <w:rFonts w:hint="eastAsia" w:ascii="Arial" w:hAnsi="Arial" w:eastAsia="Arial" w:cs="Arial"/>
          <w:kern w:val="0"/>
          <w:sz w:val="22"/>
          <w:szCs w:val="22"/>
          <w:lang w:val="en-US" w:eastAsia="en-US" w:bidi="ar"/>
          <w14:ligatures w14:val="standardContextual"/>
        </w:rPr>
      </w:pPr>
    </w:p>
    <w:p w14:paraId="6C8E5145">
      <w:pPr>
        <w:keepNext w:val="0"/>
        <w:keepLines w:val="0"/>
        <w:widowControl/>
        <w:suppressLineNumbers w:val="0"/>
        <w:spacing w:line="240" w:lineRule="auto"/>
        <w:rPr>
          <w:rFonts w:hint="default" w:ascii="Times New Roman" w:hAnsi="Times New Roman" w:cs="Times New Roman"/>
          <w:sz w:val="28"/>
          <w:szCs w:val="28"/>
        </w:rPr>
      </w:pPr>
    </w:p>
    <w:p w14:paraId="2E5F174D">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Centralization analysis: who has what powers, what could go wrong if a role holder is malicious or compromised.</w:t>
      </w:r>
    </w:p>
    <w:p w14:paraId="4AD50CEF">
      <w:pPr>
        <w:numPr>
          <w:numId w:val="0"/>
        </w:numPr>
        <w:spacing w:after="0" w:line="240" w:lineRule="auto"/>
        <w:rPr>
          <w:rFonts w:hint="default" w:ascii="SimSun" w:hAnsi="SimSun" w:eastAsia="SimSun" w:cs="SimSun"/>
          <w:sz w:val="24"/>
          <w:szCs w:val="24"/>
          <w:lang w:val="en-US"/>
        </w:rPr>
      </w:pPr>
    </w:p>
    <w:tbl>
      <w:tblPr>
        <w:tblStyle w:val="37"/>
        <w:tblW w:w="936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Layout w:type="autofit"/>
        <w:tblCellMar>
          <w:top w:w="0" w:type="dxa"/>
          <w:left w:w="0" w:type="dxa"/>
          <w:bottom w:w="0" w:type="dxa"/>
          <w:right w:w="0" w:type="dxa"/>
        </w:tblCellMar>
      </w:tblPr>
      <w:tblGrid>
        <w:gridCol w:w="2710"/>
        <w:gridCol w:w="2381"/>
        <w:gridCol w:w="2106"/>
        <w:gridCol w:w="2163"/>
      </w:tblGrid>
      <w:tr w14:paraId="58CC56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rPr>
          <w:tblHeader/>
        </w:trPr>
        <w:tc>
          <w:tcPr>
            <w:tcW w:w="180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3042F1D4">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Role</w:t>
            </w:r>
          </w:p>
        </w:tc>
        <w:tc>
          <w:tcPr>
            <w:tcW w:w="216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19A8C38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Controlled Functions</w:t>
            </w:r>
          </w:p>
        </w:tc>
        <w:tc>
          <w:tcPr>
            <w:tcW w:w="270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2AC019A5">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Holder (at deployment)</w:t>
            </w:r>
          </w:p>
        </w:tc>
        <w:tc>
          <w:tcPr>
            <w:tcW w:w="270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78AA63CC">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Compromise Impact</w:t>
            </w:r>
          </w:p>
        </w:tc>
      </w:tr>
      <w:tr w14:paraId="6AA499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6568B62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DEFAULT_ADMIN</w:t>
            </w:r>
          </w:p>
        </w:tc>
        <w:tc>
          <w:tcPr>
            <w:tcW w:w="21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A8A341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Grant/revoke all roles</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B5A3B71">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Deployer EOA</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4950084">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CRITICAL — can assign any role to any address, including MINTER_ROLE or GUARDIAN_ROLE</w:t>
            </w:r>
          </w:p>
        </w:tc>
      </w:tr>
      <w:tr w14:paraId="5B4DAF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15FE4EB7">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GUARDIAN_ROLE</w:t>
            </w:r>
          </w:p>
        </w:tc>
        <w:tc>
          <w:tcPr>
            <w:tcW w:w="21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A70108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executeEmergency(), pause()</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3C1FBE4">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Deployer EOA</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DD722B9">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HIGH — bypasses 48h timelock, can execute arbitrary governance calls immediately</w:t>
            </w:r>
          </w:p>
        </w:tc>
      </w:tr>
      <w:tr w14:paraId="34E85FF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AA13972">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MINTER_ROLE</w:t>
            </w:r>
          </w:p>
        </w:tc>
        <w:tc>
          <w:tcPr>
            <w:tcW w:w="21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B1E6F0F">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SuperToken.mintTo()</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70DED1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RewardDistributor, StakingVault</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1FF3942">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HIGH — unlimited token inflation if compromised contract or re-assigned</w:t>
            </w:r>
          </w:p>
        </w:tc>
      </w:tr>
      <w:tr w14:paraId="52B0B2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108F36B">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RISK_MANAGER_ROLE</w:t>
            </w:r>
          </w:p>
        </w:tc>
        <w:tc>
          <w:tcPr>
            <w:tcW w:w="21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072CC8FF">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setCollateralFactor(), addSupportedToken()</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9120AC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Governance Timelock</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4708E3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HIGH — can drain lending pool via manipulated collateral factors</w:t>
            </w:r>
          </w:p>
        </w:tc>
      </w:tr>
      <w:tr w14:paraId="7500276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D654CD7">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FEE_SETTER_ROLE</w:t>
            </w:r>
          </w:p>
        </w:tc>
        <w:tc>
          <w:tcPr>
            <w:tcW w:w="21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A77D4C8">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setSwapFee(), setProtocolFee()</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CA5219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Governance Timelock</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B0BEB45">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MEDIUM — can set fees to 100%, extracting all swap value</w:t>
            </w:r>
          </w:p>
        </w:tc>
      </w:tr>
      <w:tr w14:paraId="3EBA9E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46E421E">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UPGRADER_ROLE</w:t>
            </w:r>
          </w:p>
        </w:tc>
        <w:tc>
          <w:tcPr>
            <w:tcW w:w="216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39EF0F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upgradeTo() (if proxy)</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2E75F6C6">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Deployer EOA</w:t>
            </w:r>
          </w:p>
        </w:tc>
        <w:tc>
          <w:tcPr>
            <w:tcW w:w="270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6ADE2C60">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CRITICAL — if transparent proxy is used, deployer can upgrade to malicious implementation</w:t>
            </w:r>
          </w:p>
        </w:tc>
      </w:tr>
      <w:tr w14:paraId="54882A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A9E6BBD">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PAUSER_ROLE</w:t>
            </w:r>
          </w:p>
        </w:tc>
        <w:tc>
          <w:tcPr>
            <w:tcW w:w="216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A4E603A">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pause(), unpause()</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F5111E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Governance Timelock + Guardian</w:t>
            </w:r>
          </w:p>
        </w:tc>
        <w:tc>
          <w:tcPr>
            <w:tcW w:w="27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3C595A73">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color w:val="auto"/>
                <w:kern w:val="0"/>
                <w:sz w:val="22"/>
                <w:szCs w:val="22"/>
                <w:bdr w:val="none" w:color="auto" w:sz="0" w:space="0"/>
                <w:lang w:val="en-US" w:eastAsia="zh-CN" w:bidi="ar"/>
                <w14:ligatures w14:val="standardContextual"/>
              </w:rPr>
              <w:t>MEDIUM — can freeze protocol indefinitely; funds cannot be withdrawn while paused</w:t>
            </w:r>
          </w:p>
        </w:tc>
      </w:tr>
    </w:tbl>
    <w:p w14:paraId="432F3783">
      <w:pPr>
        <w:numPr>
          <w:numId w:val="0"/>
        </w:numPr>
        <w:spacing w:after="0" w:line="240" w:lineRule="auto"/>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3C7E7B4">
      <w:pPr>
        <w:numPr>
          <w:numId w:val="0"/>
        </w:num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Key risks:</w:t>
      </w:r>
    </w:p>
    <w:p w14:paraId="7B979FAE">
      <w:pPr>
        <w:pStyle w:val="4"/>
        <w:widowControl/>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Deployer EOA as DEFAULT_ADMIN</w:t>
      </w:r>
    </w:p>
    <w:p w14:paraId="6ADCAE78">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The most significant centralisation risk is that the deployer's externally owned account (EOA) retains DEFAULT_ADMIN_ROLE and UPGRADER_ROLE after deployment. A private key compromise or a malicious deployer could assign MINTER_ROLE or GUARDIAN_ROLE to an attacker address. Recommendation: transfer DEFAULT_ADMIN_ROLE to the governance Timelock immediately post-deployment, using a 72-hour timelock minimum delay. Renounce the deployer's admin role in the same transaction.</w:t>
      </w:r>
    </w:p>
    <w:p w14:paraId="04CF7EC1">
      <w:pPr>
        <w:pStyle w:val="4"/>
        <w:widowControl/>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Single-Signer Guardian</w:t>
      </w:r>
    </w:p>
    <w:p w14:paraId="340C34F2">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GUARDIAN_ROLE is currently assigned to a single EOA. The emergency execution path it controls represents a complete bypass of the governance system. Recommendation: migrate GUARDIAN_ROLE to a 4-of-7 Gnosis Safe multisig, and restrict executeEmergency() to pause-only actions rather than arbitrary execution.</w:t>
      </w:r>
    </w:p>
    <w:p w14:paraId="6C6E5412">
      <w:pPr>
        <w:pStyle w:val="4"/>
        <w:widowControl/>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Proxy Upgradeability</w:t>
      </w:r>
    </w:p>
    <w:p w14:paraId="3A932652">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If transparent or UUPS proxies are deployed (the current codebase includes UPGRADER_ROLE but no proxy implementation is in scope), the upgrade path must be exclusively controlled by the governance Timelock after the 48-hour delay. The deployer's UPGRADER_ROLE must be renounced post-launch.</w:t>
      </w:r>
    </w:p>
    <w:p w14:paraId="51850A4E">
      <w:pPr>
        <w:numPr>
          <w:numId w:val="0"/>
        </w:numPr>
        <w:spacing w:after="0" w:line="240" w:lineRule="auto"/>
        <w:rPr>
          <w:rFonts w:hint="default" w:ascii="Times New Roman" w:hAnsi="Times New Roman" w:eastAsia="SimSun" w:cs="Times New Roman"/>
          <w:sz w:val="24"/>
          <w:szCs w:val="24"/>
          <w:lang w:val="en-US"/>
        </w:rPr>
      </w:pPr>
    </w:p>
    <w:p w14:paraId="66EECE54">
      <w:pPr>
        <w:numPr>
          <w:numId w:val="0"/>
        </w:numPr>
        <w:spacing w:after="0" w:line="240" w:lineRule="auto"/>
        <w:rPr>
          <w:rFonts w:hint="default" w:ascii="SimSun" w:hAnsi="SimSun" w:eastAsia="SimSun" w:cs="SimSun"/>
          <w:sz w:val="24"/>
          <w:szCs w:val="24"/>
          <w:lang w:val="en-US"/>
        </w:rPr>
      </w:pPr>
    </w:p>
    <w:p w14:paraId="6EF56611">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Governance attack analysis: flash-loan governance attacks, whale attacks, proposal spam, timelock bypass — explain how the design defends against each.</w:t>
      </w:r>
    </w:p>
    <w:p w14:paraId="790C931C">
      <w:pPr>
        <w:numPr>
          <w:numId w:val="0"/>
        </w:numPr>
        <w:spacing w:after="0" w:line="240" w:lineRule="auto"/>
        <w:rPr>
          <w:rFonts w:hint="default" w:ascii="Times New Roman" w:hAnsi="Times New Roman" w:eastAsia="SimSun" w:cs="Times New Roman"/>
          <w:b/>
          <w:bCs/>
          <w:sz w:val="28"/>
          <w:szCs w:val="28"/>
          <w:lang w:val="en-US"/>
        </w:rPr>
      </w:pPr>
    </w:p>
    <w:p w14:paraId="3594BB43">
      <w:pPr>
        <w:pStyle w:val="3"/>
        <w:widowControl/>
        <w:jc w:val="center"/>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Flash-Loan Governance Attacks</w:t>
      </w:r>
    </w:p>
    <w:p w14:paraId="2705A0CB">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Attack Vector: An adversary borrows a large quantity of SDAO governance tokens via a flash loan within a single transaction, uses the borrowed tokens to meet the quorum threshold for a malicious proposal, and repays the loan before the transaction ends.</w:t>
      </w:r>
    </w:p>
    <w:p w14:paraId="45AA4A16">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Current Design: The protocol uses block-level vote snapshots (block.number at proposal creation). This partially mitigates same-transaction flash loans because the token balance must be held at the snapshot block, not the voting block. However, as documented in C-02, there is no minimum token holding period, meaning tokens acquired in the block immediately before proposal creation are eligible to vote.</w:t>
      </w:r>
    </w:p>
    <w:p w14:paraId="636A33C4">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Defence Adequacy: PARTIAL. The snapshot mechanism blocks within-transaction attacks, but one-block (12-second) flash loans remain feasible on Ethereum mainnet. Recommendation: enforce a minimum delegation lock period (e.g., 50,400 blocks = ~7 days) before newly delegated tokens are eligible to vote.</w:t>
      </w:r>
    </w:p>
    <w:p w14:paraId="2A3EDF95">
      <w:pPr>
        <w:pStyle w:val="3"/>
        <w:widowControl/>
        <w:jc w:val="center"/>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Whale Attack</w:t>
      </w:r>
    </w:p>
    <w:p w14:paraId="059BA901">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Attack Vector: A single large token holder (whale) accumulates more than the quorum threshold and passes proposals unilaterally without broader community participation.</w:t>
      </w:r>
    </w:p>
    <w:p w14:paraId="535FABCC">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Current Design: Quorum is set at 4% of total supply, which is achievable by a single holder on the current token distribution. Voting is single-choice with no quadratic or conviction-weighted mechanism.</w:t>
      </w:r>
    </w:p>
    <w:p w14:paraId="570930A1">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Defence Adequacy: WEAK. The team is advised to either increase quorum to 10% or implement a time-weighted voting power mechanism (e.g., Curve-style vote locking / veSDDAO) where voting power is proportional to lock duration, not just balance. This naturally reduces whale influence by rewarding long-term holders.</w:t>
      </w:r>
    </w:p>
    <w:p w14:paraId="6FBB18F9">
      <w:pPr>
        <w:pStyle w:val="3"/>
        <w:widowControl/>
        <w:jc w:val="center"/>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Proposal Spam</w:t>
      </w:r>
    </w:p>
    <w:p w14:paraId="0289AFE4">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Attack Vector: An attacker submits a large volume of proposals to overwhelm governance infrastructure, delay legitimate proposals, or confuse voters.</w:t>
      </w:r>
    </w:p>
    <w:p w14:paraId="6CF0A9FC">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Current Design: The Governor contract requires a proposalThreshold of 0.1% of supply to submit a proposal. Given the current supply distribution, this is a very low bar. There is no cool-down between proposals from the same address.</w:t>
      </w:r>
    </w:p>
    <w:p w14:paraId="36DD6C38">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Defence Adequacy: MODERATE. The 0.1% threshold filters out most spam from address-zero attackers, but a moderately funded attacker could spam proposals. Recommendation: increase proposalThreshold to 1%, add a per-address proposal cool-down of 7 days, and implement a proposal deposit that is slashed if the proposal does not reach quorum.</w:t>
      </w:r>
    </w:p>
    <w:p w14:paraId="0F264C86">
      <w:pPr>
        <w:pStyle w:val="3"/>
        <w:widowControl/>
        <w:jc w:val="center"/>
        <w:rPr>
          <w:rFonts w:hint="default" w:ascii="Times New Roman" w:hAnsi="Times New Roman" w:cs="Times New Roman"/>
          <w:i/>
          <w:iCs/>
          <w:color w:val="auto"/>
          <w:sz w:val="28"/>
          <w:szCs w:val="28"/>
          <w:lang w:val="en-US"/>
        </w:rPr>
      </w:pPr>
      <w:r>
        <w:rPr>
          <w:rFonts w:hint="default" w:ascii="Times New Roman" w:hAnsi="Times New Roman" w:cs="Times New Roman"/>
          <w:i/>
          <w:iCs/>
          <w:color w:val="auto"/>
          <w:sz w:val="28"/>
          <w:szCs w:val="28"/>
          <w:lang w:val="en-US"/>
        </w:rPr>
        <w:t>Timelock Bypass</w:t>
      </w:r>
    </w:p>
    <w:p w14:paraId="6484886B">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Attack Vector: As documented in H-04, the GUARDIAN_ROLE holder can execute any governance action with zero delay via executeEmergency(). Even if the standard timelock is respected, a compromised guardian is equivalent to a compromised admin.</w:t>
      </w:r>
    </w:p>
    <w:p w14:paraId="25AF67A2">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Current Design: The 48-hour timelock is implemented correctly for standard proposals. The bypass vector exists only through executeEmergency().</w:t>
      </w:r>
    </w:p>
    <w:p w14:paraId="06BE7242">
      <w:pPr>
        <w:keepNext w:val="0"/>
        <w:keepLines w:val="0"/>
        <w:widowControl/>
        <w:suppressLineNumbers w:val="0"/>
        <w:spacing w:before="80" w:beforeAutospacing="0" w:after="80" w:afterAutospacing="0"/>
        <w:ind w:left="0" w:right="0"/>
        <w:jc w:val="left"/>
        <w:rPr>
          <w:rFonts w:hint="default" w:ascii="Times New Roman" w:hAnsi="Times New Roman" w:cs="Times New Roman"/>
          <w:sz w:val="28"/>
          <w:szCs w:val="28"/>
          <w:lang w:val="en-US"/>
        </w:rPr>
      </w:pPr>
      <w:r>
        <w:rPr>
          <w:rFonts w:hint="default" w:ascii="Times New Roman" w:hAnsi="Times New Roman" w:eastAsia="Arial" w:cs="Times New Roman"/>
          <w:kern w:val="0"/>
          <w:sz w:val="28"/>
          <w:szCs w:val="28"/>
          <w:lang w:val="en-US" w:eastAsia="zh-CN" w:bidi="ar"/>
          <w14:ligatures w14:val="standardContextual"/>
        </w:rPr>
        <w:t>Defence Adequacy: POOR for the emergency path. The team should remove or severely restrict executeEmergency(). If emergency powers are retained, they must be limited to pause/unpause and require a multi-sig with at least 4 independent signers.</w:t>
      </w:r>
    </w:p>
    <w:p w14:paraId="54E9C232">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Oracle attack analysis: price manipulation, stale price, feed depeg. </w:t>
      </w:r>
    </w:p>
    <w:p w14:paraId="02CE574C">
      <w:pPr>
        <w:pStyle w:val="3"/>
        <w:widowControl/>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Price Manipulation</w:t>
      </w:r>
    </w:p>
    <w:p w14:paraId="1846A248">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Attack Vector: An attacker manipulates the on-chain spot price of an asset (e.g., via large AMM swap) to trick the oracle into reporting a false price, enabling undercollateralised borrowing or incorrect liquidations.</w:t>
      </w:r>
    </w:p>
    <w:p w14:paraId="705ABD4F">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Current Design: OracleAdapter reads exclusively from Chainlink, which is a time-weighted, manipulation-resistant decentralised feed. The AMM's spot price is not used as a primary oracle input.</w:t>
      </w:r>
    </w:p>
    <w:p w14:paraId="59A3B80F">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Defence Adequacy: STRONG for Chainlink-covered assets. However, any new token listing that falls back to a TWAP or AMM-based price source (e.g., for long-tail tokens) inherits the full AMM price manipulation risk. Recommendation: document explicitly which tokens use Chainlink vs. TWAP. For TWAP sources, enforce a minimum observation window of 30 minutes and a maximum deviation check against Chainlink where available.</w:t>
      </w:r>
    </w:p>
    <w:p w14:paraId="131721DD">
      <w:pPr>
        <w:pStyle w:val="3"/>
        <w:widowControl/>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Stale Price</w:t>
      </w:r>
    </w:p>
    <w:p w14:paraId="34C538D1">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Attack Vector: A Chainlink oracle feed stops updating (e.g., node operator downtime, Chainlink deprecation, or a network congestion event). The last reported price becomes stale. If the protocol accepts it, borrowers can exploit incorrect collateral valuations.</w:t>
      </w:r>
    </w:p>
    <w:p w14:paraId="71D84FE2">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Current Design: As documented in C-03, OracleAdapter did not validate updatedAt against a staleness threshold. This finding has been marked as Fixed in the current review cycle.</w:t>
      </w:r>
    </w:p>
    <w:p w14:paraId="62766ED2">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Defence Adequacy: ADEQUATE after the fix, provided the staleness threshold is set appropriately per feed. The team must document and test the threshold for each feed. For ETH/USD (1-hour heartbeat), a 2-hour threshold is appropriate. For less frequent feeds, adjust accordingly. A circuit breaker that pauses borrowing if any price feed is stale is a strongly recommended additional layer.</w:t>
      </w:r>
    </w:p>
    <w:p w14:paraId="2DA70CF0">
      <w:pPr>
        <w:pStyle w:val="3"/>
        <w:widowControl/>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Feed Depeg</w:t>
      </w:r>
    </w:p>
    <w:p w14:paraId="3588DDA5">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Attack Vector: A stablecoin price feed depegs from its intended $1.00 peg (e.g., USDC during a banking crisis, UST-style collapse). Positions collateralised by the depegging stablecoin become undercollateralised faster than liquidators can act.</w:t>
      </w:r>
    </w:p>
    <w:p w14:paraId="76D65326">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Current Design: The protocol uses Chainlink's USDC/USD and USDT/USD feeds. These feeds do update during depeg events (as seen during the March 2023 SVB-USDC depeg). However, if liquidators are not incentivised quickly enough or if the liquidation bonus is too small, bad debt can accumulate.</w:t>
      </w:r>
    </w:p>
    <w:p w14:paraId="1CCAB03B">
      <w:pPr>
        <w:keepNext w:val="0"/>
        <w:keepLines w:val="0"/>
        <w:widowControl/>
        <w:suppressLineNumbers w:val="0"/>
        <w:spacing w:before="80" w:beforeAutospacing="0" w:after="80" w:afterAutospacing="0"/>
        <w:ind w:left="0" w:right="0"/>
        <w:jc w:val="left"/>
        <w:rPr>
          <w:rFonts w:hint="default" w:ascii="Times New Roman" w:hAnsi="Times New Roman" w:cs="Times New Roman"/>
          <w:color w:val="auto"/>
          <w:sz w:val="28"/>
          <w:szCs w:val="28"/>
          <w:lang w:val="en-US"/>
        </w:rPr>
      </w:pPr>
      <w:r>
        <w:rPr>
          <w:rFonts w:hint="default" w:ascii="Times New Roman" w:hAnsi="Times New Roman" w:eastAsia="Arial" w:cs="Times New Roman"/>
          <w:color w:val="auto"/>
          <w:kern w:val="0"/>
          <w:sz w:val="28"/>
          <w:szCs w:val="28"/>
          <w:lang w:val="en-US" w:eastAsia="zh-CN" w:bidi="ar"/>
          <w14:ligatures w14:val="standardContextual"/>
        </w:rPr>
        <w:t>Defence Adequacy: MODERATE. The protocol should implement a depeg circuit breaker: if any stablecoin price feed deviates more than 3% from $1.00, automatically pause new borrowing against that asset. The liquidation bonus for stablecoin collateral should be set higher (e.g., 10%) than for volatile assets to incentivise rapid liquidation during depeg events. Additionally, a maximum protocol-wide stablecoin collateral concentration limit is recommended.</w:t>
      </w:r>
    </w:p>
    <w:p w14:paraId="49F9947D">
      <w:pPr>
        <w:numPr>
          <w:numId w:val="0"/>
        </w:numPr>
        <w:spacing w:after="0" w:line="240" w:lineRule="auto"/>
        <w:rPr>
          <w:rFonts w:hint="default" w:ascii="Times New Roman" w:hAnsi="Times New Roman" w:eastAsia="SimSun" w:cs="Times New Roman"/>
          <w:b/>
          <w:bCs/>
          <w:sz w:val="28"/>
          <w:szCs w:val="28"/>
        </w:rPr>
      </w:pPr>
    </w:p>
    <w:p w14:paraId="39532EC2">
      <w:pPr>
        <w:numPr>
          <w:numId w:val="0"/>
        </w:numPr>
        <w:spacing w:after="0" w:line="24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Slither output attached as an appendix.</w:t>
      </w:r>
    </w:p>
    <w:p w14:paraId="10EA7CCB">
      <w:pPr>
        <w:numPr>
          <w:numId w:val="0"/>
        </w:numPr>
        <w:spacing w:after="0" w:line="240" w:lineRule="auto"/>
        <w:rPr>
          <w:rFonts w:hint="default" w:ascii="Times New Roman" w:hAnsi="Times New Roman" w:eastAsia="SimSun" w:cs="Times New Roman"/>
          <w:b/>
          <w:bCs/>
          <w:sz w:val="28"/>
          <w:szCs w:val="28"/>
        </w:rPr>
      </w:pPr>
    </w:p>
    <w:p w14:paraId="53489690">
      <w:pPr>
        <w:keepNext w:val="0"/>
        <w:keepLines w:val="0"/>
        <w:widowControl/>
        <w:suppressLineNumbers w:val="0"/>
        <w:spacing w:before="40" w:beforeAutospacing="0" w:after="20" w:afterAutospacing="0"/>
        <w:ind w:left="0" w:right="0"/>
        <w:jc w:val="left"/>
        <w:rPr>
          <w:lang w:val="en-US"/>
        </w:rPr>
      </w:pPr>
      <w:r>
        <w:rPr>
          <w:rFonts w:hint="eastAsia" w:ascii="Courier New" w:hAnsi="Courier New" w:eastAsia="Courier New" w:cs="Courier New"/>
          <w:color w:val="4EC9B0"/>
          <w:kern w:val="0"/>
          <w:sz w:val="18"/>
          <w:szCs w:val="18"/>
          <w:lang w:val="en-US" w:eastAsia="zh-CN" w:bidi="ar"/>
          <w14:ligatures w14:val="standardContextual"/>
        </w:rPr>
        <w:t>$ slither . --solc-remaps '@openzeppelin=./node_modules/@openzeppelin' \</w:t>
      </w:r>
    </w:p>
    <w:p w14:paraId="7E03A04B">
      <w:pPr>
        <w:keepNext w:val="0"/>
        <w:keepLines w:val="0"/>
        <w:widowControl/>
        <w:suppressLineNumbers w:val="0"/>
        <w:jc w:val="left"/>
      </w:pPr>
      <w:r>
        <w:rPr>
          <w:rFonts w:hint="default" w:ascii="Courier New" w:hAnsi="Courier New" w:eastAsia="Courier New" w:cs="Courier New"/>
          <w:color w:val="4EC9B0"/>
          <w:kern w:val="0"/>
          <w:sz w:val="18"/>
          <w:szCs w:val="18"/>
          <w:lang w:val="en-US" w:eastAsia="en-US" w:bidi="ar"/>
          <w14:ligatures w14:val="standardContextual"/>
        </w:rPr>
        <w:t xml:space="preserve">    --exclude-dependencies --json slither-output.json 2&gt;&amp;1 | tee slither.log</w:t>
      </w:r>
    </w:p>
    <w:p w14:paraId="5C7D97D3">
      <w:pPr>
        <w:numPr>
          <w:numId w:val="0"/>
        </w:numPr>
        <w:spacing w:after="0" w:line="240" w:lineRule="auto"/>
        <w:rPr>
          <w:rFonts w:hint="default" w:ascii="Times New Roman" w:hAnsi="Times New Roman" w:eastAsia="SimSun" w:cs="Times New Roman"/>
          <w:b/>
          <w:bCs/>
          <w:sz w:val="28"/>
          <w:szCs w:val="28"/>
          <w:lang w:val="en-US"/>
        </w:rPr>
      </w:pPr>
    </w:p>
    <w:tbl>
      <w:tblPr>
        <w:tblStyle w:val="37"/>
        <w:tblW w:w="936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Layout w:type="autofit"/>
        <w:tblCellMar>
          <w:top w:w="0" w:type="dxa"/>
          <w:left w:w="0" w:type="dxa"/>
          <w:bottom w:w="0" w:type="dxa"/>
          <w:right w:w="0" w:type="dxa"/>
        </w:tblCellMar>
      </w:tblPr>
      <w:tblGrid>
        <w:gridCol w:w="3083"/>
        <w:gridCol w:w="1910"/>
        <w:gridCol w:w="4367"/>
      </w:tblGrid>
      <w:tr w14:paraId="587E19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rPr>
          <w:tblHeader/>
        </w:trPr>
        <w:tc>
          <w:tcPr>
            <w:tcW w:w="23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675ECC9B">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Detector</w:t>
            </w:r>
          </w:p>
        </w:tc>
        <w:tc>
          <w:tcPr>
            <w:tcW w:w="14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6B68543C">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Slither Impact</w:t>
            </w:r>
          </w:p>
        </w:tc>
        <w:tc>
          <w:tcPr>
            <w:tcW w:w="3240" w:type="dxa"/>
            <w:tcBorders>
              <w:top w:val="single" w:color="2E5B9E" w:sz="2" w:space="0"/>
              <w:left w:val="single" w:color="2E5B9E" w:sz="2" w:space="0"/>
              <w:bottom w:val="single" w:color="2E5B9E" w:sz="2" w:space="0"/>
              <w:right w:val="single" w:color="2E5B9E" w:sz="2" w:space="0"/>
            </w:tcBorders>
            <w:shd w:val="clear" w:color="auto" w:fill="1B2A4A"/>
            <w:tcMar>
              <w:top w:w="80" w:type="dxa"/>
              <w:left w:w="120" w:type="dxa"/>
              <w:bottom w:w="80" w:type="dxa"/>
              <w:right w:w="120" w:type="dxa"/>
            </w:tcMar>
            <w:vAlign w:val="center"/>
          </w:tcPr>
          <w:p w14:paraId="68ABAC8C">
            <w:pPr>
              <w:keepNext w:val="0"/>
              <w:keepLines w:val="0"/>
              <w:widowControl/>
              <w:suppressLineNumbers w:val="0"/>
              <w:spacing w:before="40" w:beforeAutospacing="0" w:after="40" w:afterAutospacing="0"/>
              <w:ind w:left="0" w:right="0"/>
              <w:jc w:val="left"/>
              <w:rPr>
                <w:bdr w:val="none" w:color="auto" w:sz="0" w:space="0"/>
              </w:rPr>
            </w:pPr>
            <w:r>
              <w:rPr>
                <w:rFonts w:hint="eastAsia" w:ascii="Arial" w:hAnsi="Arial" w:eastAsia="Arial" w:cs="Arial"/>
                <w:b/>
                <w:bCs/>
                <w:color w:val="FFFFFF"/>
                <w:kern w:val="0"/>
                <w:sz w:val="22"/>
                <w:szCs w:val="22"/>
                <w:bdr w:val="none" w:color="auto" w:sz="0" w:space="0"/>
                <w:lang w:val="en-US" w:eastAsia="zh-CN" w:bidi="ar"/>
                <w14:ligatures w14:val="standardContextual"/>
              </w:rPr>
              <w:t>Description</w:t>
            </w:r>
          </w:p>
        </w:tc>
      </w:tr>
      <w:tr w14:paraId="5AF728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A7C3B53">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reentrancy-eth</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761BD34">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High</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4736C1B">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LiquidityPool.withdraw() — Reentrancy after external call to msg.sender</w:t>
            </w:r>
          </w:p>
        </w:tc>
      </w:tr>
      <w:tr w14:paraId="6EA7A7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6F2DD82">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uninitialized-state</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11EDE9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High</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40B2F59">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CollateralManager._factors mapping accessed before assignment</w:t>
            </w:r>
          </w:p>
        </w:tc>
      </w:tr>
      <w:tr w14:paraId="65744D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64630B83">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unchecked-transfer</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317C369">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High</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1D27826">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StakingVault.unstake() — return value of transfer() not checked</w:t>
            </w:r>
          </w:p>
        </w:tc>
      </w:tr>
      <w:tr w14:paraId="208111C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6A51E23">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reentrancy-benign</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A165857">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Low</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D7E972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RewardDistributor.claim() — benign reentrancy (no state change after call)</w:t>
            </w:r>
          </w:p>
        </w:tc>
      </w:tr>
      <w:tr w14:paraId="68778C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3909DC4">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incorrect-equality</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C0DD15F">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Medium</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4C5E9819">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InterestRateModel — strict equality on timestamp comparison</w:t>
            </w:r>
          </w:p>
        </w:tc>
      </w:tr>
      <w:tr w14:paraId="104B2D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AA90215">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tautology</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025B076E">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Informational</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AB89458">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SuperToken.mintTo() — require(amount &gt; 0 || amount == 0) tautology (was require(amount &gt;= 0))</w:t>
            </w:r>
          </w:p>
        </w:tc>
      </w:tr>
      <w:tr w14:paraId="640D78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08339FB">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missing-zero-check</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677F52E">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Low</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52946D15">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OracleAdapter.registerFeed() — feed parameter not checked for zero address</w:t>
            </w:r>
          </w:p>
        </w:tc>
      </w:tr>
      <w:tr w14:paraId="2A3AF1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14993C8E">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events-maths</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B15C4E9">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Low</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05714534">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ProtocolACL.grantRole() — no events emitted for critical state change</w:t>
            </w:r>
          </w:p>
        </w:tc>
      </w:tr>
      <w:tr w14:paraId="34F895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3B897345">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divide-before-multiply</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3F7E3A7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Medium</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316A686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LendingPool._accrueInterest() — division before multiplication in interest rate</w:t>
            </w:r>
          </w:p>
        </w:tc>
      </w:tr>
      <w:tr w14:paraId="30B106C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D8E67C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costly-loop</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599959EE">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Optimization</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33973194">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RewardDistributor._distributeAll() — storage read inside loop (totalStaked)</w:t>
            </w:r>
          </w:p>
        </w:tc>
      </w:tr>
      <w:tr w14:paraId="321059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CB59A80">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timestamp</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8C096EF">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Low</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3962BE1">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SuperRouter.execute() — deadline checked with &lt;= but block.timestamp is miner-manipulable</w:t>
            </w:r>
          </w:p>
        </w:tc>
      </w:tr>
      <w:tr w14:paraId="751D30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168732A">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tx-origin</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4D8E99A3">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Medium</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502ED93">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Governor.propose() — tx.origin used in authz check (should be msg.sender)</w:t>
            </w:r>
          </w:p>
        </w:tc>
      </w:tr>
      <w:tr w14:paraId="5532EF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120DD11F">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shadowing-local</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7FC276D7">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Low</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D07163A">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LendingPool.borrow() — local variable 'amount' shadows state var</w:t>
            </w:r>
          </w:p>
        </w:tc>
      </w:tr>
      <w:tr w14:paraId="6F01C3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1DEC6607">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unused-return</w:t>
            </w:r>
          </w:p>
        </w:tc>
        <w:tc>
          <w:tcPr>
            <w:tcW w:w="14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71CC58AC">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Medium</w:t>
            </w:r>
          </w:p>
        </w:tc>
        <w:tc>
          <w:tcPr>
            <w:tcW w:w="3240" w:type="dxa"/>
            <w:tcBorders>
              <w:top w:val="single" w:color="CCCCCC" w:sz="2" w:space="0"/>
              <w:left w:val="single" w:color="CCCCCC" w:sz="2" w:space="0"/>
              <w:bottom w:val="single" w:color="CCCCCC" w:sz="2" w:space="0"/>
              <w:right w:val="single" w:color="CCCCCC" w:sz="2" w:space="0"/>
            </w:tcBorders>
            <w:shd w:val="clear" w:color="auto" w:fill="EEF4FB"/>
            <w:tcMar>
              <w:top w:w="80" w:type="dxa"/>
              <w:left w:w="120" w:type="dxa"/>
              <w:bottom w:w="80" w:type="dxa"/>
              <w:right w:w="120" w:type="dxa"/>
            </w:tcMar>
            <w:vAlign w:val="center"/>
          </w:tcPr>
          <w:p w14:paraId="0CF21D82">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OracleAdapter.getPrice() — answeredInRound return value ignored</w:t>
            </w:r>
          </w:p>
        </w:tc>
      </w:tr>
      <w:tr w14:paraId="1D6BBD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tblCellMar>
            <w:top w:w="0" w:type="dxa"/>
            <w:left w:w="0" w:type="dxa"/>
            <w:bottom w:w="0" w:type="dxa"/>
            <w:right w:w="0" w:type="dxa"/>
          </w:tblCellMar>
        </w:tblPrEx>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455A214">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suicidal</w:t>
            </w:r>
          </w:p>
        </w:tc>
        <w:tc>
          <w:tcPr>
            <w:tcW w:w="14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038A7A95">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High</w:t>
            </w:r>
          </w:p>
        </w:tc>
        <w:tc>
          <w:tcPr>
            <w:tcW w:w="32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center"/>
          </w:tcPr>
          <w:p w14:paraId="2EDD972B">
            <w:pPr>
              <w:keepNext w:val="0"/>
              <w:keepLines w:val="0"/>
              <w:widowControl/>
              <w:suppressLineNumbers w:val="0"/>
              <w:spacing w:before="40" w:beforeAutospacing="0" w:after="40" w:afterAutospacing="0"/>
              <w:ind w:left="0" w:right="0"/>
              <w:jc w:val="left"/>
              <w:rPr>
                <w:rFonts w:hint="default" w:ascii="Times New Roman" w:hAnsi="Times New Roman" w:cs="Times New Roman"/>
                <w:bdr w:val="none" w:color="auto" w:sz="0" w:space="0"/>
              </w:rPr>
            </w:pPr>
            <w:r>
              <w:rPr>
                <w:rFonts w:hint="default" w:ascii="Times New Roman" w:hAnsi="Times New Roman" w:eastAsia="Arial" w:cs="Times New Roman"/>
                <w:color w:val="auto"/>
                <w:kern w:val="0"/>
                <w:sz w:val="22"/>
                <w:szCs w:val="22"/>
                <w:bdr w:val="none" w:color="auto" w:sz="0" w:space="0"/>
                <w:lang w:val="en-US" w:eastAsia="zh-CN" w:bidi="ar"/>
                <w14:ligatures w14:val="standardContextual"/>
              </w:rPr>
              <w:t>No selfdestruct calls detected — PASS</w:t>
            </w:r>
          </w:p>
        </w:tc>
      </w:tr>
    </w:tbl>
    <w:p w14:paraId="2F2F0BB5">
      <w:pPr>
        <w:numPr>
          <w:numId w:val="0"/>
        </w:numPr>
        <w:spacing w:after="0" w:line="240" w:lineRule="auto"/>
        <w:rPr>
          <w:rFonts w:hint="default" w:ascii="Times New Roman" w:hAnsi="Times New Roman" w:eastAsia="SimSun" w:cs="Times New Roman"/>
          <w:b/>
          <w:bCs/>
          <w:sz w:val="28"/>
          <w:szCs w:val="28"/>
          <w:lang w:val="en-US"/>
        </w:rPr>
      </w:pPr>
    </w:p>
    <w:p w14:paraId="2FDF3021">
      <w:pPr>
        <w:numPr>
          <w:numId w:val="0"/>
        </w:numPr>
        <w:spacing w:after="0" w:line="240" w:lineRule="auto"/>
        <w:rPr>
          <w:rFonts w:hint="default" w:ascii="Times New Roman" w:hAnsi="Times New Roman" w:eastAsia="SimSun" w:cs="Times New Roman"/>
          <w:b/>
          <w:bCs/>
          <w:sz w:val="28"/>
          <w:szCs w:val="28"/>
          <w:lang w:val="en-US"/>
        </w:rPr>
      </w:pPr>
      <w:bookmarkStart w:id="0" w:name="_GoBack"/>
      <w:bookmarkEnd w:id="0"/>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 w:name="Arial">
    <w:panose1 w:val="020B0604020202020204"/>
    <w:charset w:val="86"/>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464E4"/>
    <w:multiLevelType w:val="multilevel"/>
    <w:tmpl w:val="881464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F37568"/>
    <w:multiLevelType w:val="multilevel"/>
    <w:tmpl w:val="C2F37568"/>
    <w:lvl w:ilvl="0" w:tentative="0">
      <w:start w:val="1"/>
      <w:numFmt w:val="decimal"/>
      <w:lvlText w:val="%1."/>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
    <w:nsid w:val="C4952F41"/>
    <w:multiLevelType w:val="singleLevel"/>
    <w:tmpl w:val="C4952F41"/>
    <w:lvl w:ilvl="0" w:tentative="0">
      <w:start w:val="2"/>
      <w:numFmt w:val="decimal"/>
      <w:suff w:val="space"/>
      <w:lvlText w:val="%1."/>
      <w:lvlJc w:val="left"/>
    </w:lvl>
  </w:abstractNum>
  <w:abstractNum w:abstractNumId="3">
    <w:nsid w:val="E499E678"/>
    <w:multiLevelType w:val="singleLevel"/>
    <w:tmpl w:val="E499E678"/>
    <w:lvl w:ilvl="0" w:tentative="0">
      <w:start w:val="2"/>
      <w:numFmt w:val="decimal"/>
      <w:suff w:val="space"/>
      <w:lvlText w:val="%1)"/>
      <w:lvlJc w:val="left"/>
    </w:lvl>
  </w:abstractNum>
  <w:abstractNum w:abstractNumId="4">
    <w:nsid w:val="4136011C"/>
    <w:multiLevelType w:val="multilevel"/>
    <w:tmpl w:val="413601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3471443"/>
    <w:multiLevelType w:val="multilevel"/>
    <w:tmpl w:val="53471443"/>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302"/>
    <w:rsid w:val="000C40CA"/>
    <w:rsid w:val="001E6192"/>
    <w:rsid w:val="001F3D6E"/>
    <w:rsid w:val="005B0C0F"/>
    <w:rsid w:val="008D3CDF"/>
    <w:rsid w:val="00A36D70"/>
    <w:rsid w:val="00B947CF"/>
    <w:rsid w:val="00C31302"/>
    <w:rsid w:val="00EA4C1C"/>
    <w:rsid w:val="00EF4BD9"/>
    <w:rsid w:val="4748283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iPriority w:val="0"/>
    <w:rPr>
      <w:color w:val="0000FF"/>
      <w:u w:val="single"/>
    </w:rPr>
  </w:style>
  <w:style w:type="character" w:styleId="14">
    <w:name w:val="Strong"/>
    <w:basedOn w:val="11"/>
    <w:qFormat/>
    <w:uiPriority w:val="0"/>
    <w:rPr>
      <w:b/>
      <w:bCs/>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Заголовок 1 Знак"/>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Заголовок 2 Знак"/>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Заголовок 3 Знак"/>
    <w:basedOn w:val="11"/>
    <w:link w:val="4"/>
    <w:semiHidden/>
    <w:uiPriority w:val="9"/>
    <w:rPr>
      <w:rFonts w:eastAsiaTheme="majorEastAsia" w:cstheme="majorBidi"/>
      <w:color w:val="104862" w:themeColor="accent1" w:themeShade="BF"/>
      <w:sz w:val="28"/>
      <w:szCs w:val="28"/>
    </w:rPr>
  </w:style>
  <w:style w:type="character" w:customStyle="1" w:styleId="22">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3">
    <w:name w:val="Заголовок 5 Знак"/>
    <w:basedOn w:val="11"/>
    <w:link w:val="6"/>
    <w:semiHidden/>
    <w:qFormat/>
    <w:uiPriority w:val="9"/>
    <w:rPr>
      <w:rFonts w:eastAsiaTheme="majorEastAsia" w:cstheme="majorBidi"/>
      <w:color w:val="104862" w:themeColor="accent1" w:themeShade="BF"/>
    </w:rPr>
  </w:style>
  <w:style w:type="character" w:customStyle="1" w:styleId="24">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Заголовок Знак"/>
    <w:basedOn w:val="11"/>
    <w:link w:val="15"/>
    <w:qFormat/>
    <w:uiPriority w:val="10"/>
    <w:rPr>
      <w:rFonts w:asciiTheme="majorHAnsi" w:hAnsiTheme="majorHAnsi" w:eastAsiaTheme="majorEastAsia" w:cstheme="majorBidi"/>
      <w:spacing w:val="-10"/>
      <w:kern w:val="28"/>
      <w:sz w:val="56"/>
      <w:szCs w:val="56"/>
    </w:rPr>
  </w:style>
  <w:style w:type="character" w:customStyle="1" w:styleId="29">
    <w:name w:val="Подзаголовок Знак"/>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Цитата 2 Знак"/>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Выделенная цитата Знак"/>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Table Normal"/>
    <w:semiHidden/>
    <w:uiPriority w:val="0"/>
    <w:pPr>
      <w:keepNext w:val="0"/>
      <w:keepLines w:val="0"/>
      <w:widowControl/>
      <w:suppressLineNumbers w:val="0"/>
      <w:spacing w:before="0" w:beforeAutospacing="0" w:after="0" w:afterAutospacing="0"/>
      <w:ind w:left="0" w:right="0"/>
    </w:pPr>
    <w:rPr>
      <w:rFonts w:hint="eastAsia" w:ascii="Arial" w:hAnsi="Arial" w:cs="Arial"/>
      <w:sz w:val="22"/>
      <w:szCs w:val="22"/>
    </w:rPr>
    <w:tblPr>
      <w:tblCellMar>
        <w:top w:w="0" w:type="dxa"/>
        <w:left w:w="100" w:type="dxa"/>
        <w:bottom w:w="0" w:type="dxa"/>
        <w:right w:w="100" w:type="dxa"/>
      </w:tblCellMar>
    </w:tblPr>
  </w:style>
  <w:style w:type="paragraph" w:customStyle="1" w:styleId="38">
    <w:name w:val="msolistparagraph"/>
    <w:uiPriority w:val="0"/>
    <w:pPr>
      <w:keepNext w:val="0"/>
      <w:keepLines w:val="0"/>
      <w:widowControl/>
      <w:suppressLineNumbers w:val="0"/>
      <w:spacing w:before="0" w:beforeAutospacing="0" w:after="0" w:afterAutospacing="0"/>
      <w:ind w:left="0" w:right="0"/>
      <w:jc w:val="left"/>
    </w:pPr>
    <w:rPr>
      <w:rFonts w:hint="eastAsia" w:ascii="Arial" w:hAnsi="Arial" w:eastAsia="Arial" w:cs="Arial"/>
      <w:kern w:val="0"/>
      <w:sz w:val="22"/>
      <w:szCs w:val="22"/>
      <w:lang w:val="en-US" w:eastAsia="zh-CN" w:bidi="ar"/>
    </w:rPr>
  </w:style>
  <w:style w:type="character" w:customStyle="1" w:styleId="39">
    <w:name w:val="Heading 2 Char"/>
    <w:uiPriority w:val="0"/>
    <w:rPr>
      <w:b/>
      <w:bCs/>
      <w:color w:val="2E5B9E"/>
      <w:sz w:val="26"/>
      <w:szCs w:val="26"/>
    </w:rPr>
  </w:style>
  <w:style w:type="character" w:customStyle="1" w:styleId="40">
    <w:name w:val="Heading 3 Char"/>
    <w:uiPriority w:val="0"/>
    <w:rPr>
      <w:b/>
      <w:bCs/>
      <w:color w:val="1B2A4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998</Words>
  <Characters>6734</Characters>
  <Lines>55</Lines>
  <Paragraphs>15</Paragraphs>
  <TotalTime>37</TotalTime>
  <ScaleCrop>false</ScaleCrop>
  <LinksUpToDate>false</LinksUpToDate>
  <CharactersWithSpaces>7545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2026-05-18T04:40:00Z</dcterms:created>
  <dc:creator>guest guest</dc:creator>
  <cp:lastModifiedBy>Gulnaz Duiseman</cp:lastModifiedBy>
  <dcterms:modified xsi:type="dcterms:W3CDTF">2026-05-18T06:34:51Z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eyJoZGlkIjoiZTJiNjU5ZmZlZWJhNmE5ZWMxM2U2ZWRlOTQ5YzJiNjMiLCJ1c2VySWQiOiI1MzYwMTIyNjk1MDcyIn0=</vt:lpwstr>
  </property>
  <property fmtid="{D5CDD505-2E9C-101B-9397-08002B2CF9AE}" pid="3" name="KSOProductBuildVer">
    <vt:lpwstr>1049-12.1.0.26372</vt:lpwstr>
  </property>
  <property fmtid="{D5CDD505-2E9C-101B-9397-08002B2CF9AE}" pid="4" name="ICV">
    <vt:lpwstr>235362918093476CB4AACD6350A39587_12</vt:lpwstr>
  </property>
</Properties>
</file>