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B9F" w:rsidRPr="007A50E8" w:rsidRDefault="007B7A55" w:rsidP="007B7A55">
      <w:pPr>
        <w:shd w:val="clear" w:color="auto" w:fill="B0CB1F"/>
        <w:tabs>
          <w:tab w:val="center" w:pos="4513"/>
        </w:tabs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ab/>
      </w:r>
      <w:r w:rsidR="00EA3B9F" w:rsidRPr="007A50E8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GENERAL PRODUCT DESCRIPTION</w:t>
      </w:r>
    </w:p>
    <w:p w:rsidR="00A221E3" w:rsidRPr="007A50E8" w:rsidRDefault="001529CE" w:rsidP="007A50E8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AIS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 FR </w:t>
      </w: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Acrylic Sealant - FP 505 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is designed to prevent the spread of fire, smoke and gases through openings in fire rated walls and floors, specifically linear joints and openings for building service penetrations. </w:t>
      </w:r>
    </w:p>
    <w:p w:rsidR="00A221E3" w:rsidRPr="007A50E8" w:rsidRDefault="001529CE" w:rsidP="007A50E8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FP 505 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should be applied over suitable backing materials to ensure correct width to depth ratio and to reduce shrinkage of the joint during hardening. </w:t>
      </w:r>
    </w:p>
    <w:p w:rsidR="00A221E3" w:rsidRPr="007A50E8" w:rsidRDefault="001529CE" w:rsidP="007A50E8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FP 505 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is a 2 hour rated intumescent sealant formulated with fillers that provide noise reduction.</w:t>
      </w:r>
    </w:p>
    <w:p w:rsidR="00A221E3" w:rsidRPr="007A50E8" w:rsidRDefault="001529CE" w:rsidP="007A50E8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FP 505 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cures when it is subjected to atmospheric conditions, however it will retain a small degree of elasticity for joint movement. Under fire exposure, </w:t>
      </w: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FP 505 </w:t>
      </w:r>
      <w:r w:rsidR="00A221E3"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creates a robust fire seal by the formation of a durable intumescent char. </w:t>
      </w:r>
    </w:p>
    <w:p w:rsidR="00876F1F" w:rsidRPr="007A50E8" w:rsidRDefault="00A221E3" w:rsidP="007A50E8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 xml:space="preserve">The sealant has undergone tests to BS EN 1366-3 with additional guidelines from BS EN 1366-4 for fire protection joints and </w:t>
      </w:r>
      <w:r w:rsidR="00C076D7" w:rsidRPr="007A50E8">
        <w:rPr>
          <w:rFonts w:ascii="Malgun Gothic Semilight" w:eastAsia="Malgun Gothic Semilight" w:hAnsi="Malgun Gothic Semilight" w:cs="Malgun Gothic Semilight"/>
          <w:sz w:val="20"/>
          <w:szCs w:val="20"/>
        </w:rPr>
        <w:t>tested in accordance with BS EN ISO 8339: 2005 and BS EN ISO 9046: 2004 to demonstrate its suitability for use in internal conditions.</w:t>
      </w:r>
    </w:p>
    <w:p w:rsidR="00EA3B9F" w:rsidRPr="007A50E8" w:rsidRDefault="00EA3B9F" w:rsidP="001529CE">
      <w:pPr>
        <w:spacing w:after="0"/>
        <w:jc w:val="both"/>
        <w:rPr>
          <w:rFonts w:ascii="Malgun Gothic Semilight" w:eastAsia="Malgun Gothic Semilight" w:hAnsi="Malgun Gothic Semilight" w:cs="Malgun Gothic Semilight"/>
          <w:b/>
          <w:color w:val="000000"/>
          <w:sz w:val="20"/>
          <w:szCs w:val="20"/>
        </w:rPr>
      </w:pPr>
    </w:p>
    <w:p w:rsidR="00EA3B9F" w:rsidRPr="007A50E8" w:rsidRDefault="00EA3B9F" w:rsidP="00D9637B">
      <w:pPr>
        <w:shd w:val="clear" w:color="auto" w:fill="B0CB1F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7A50E8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PROPERTIES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Fire rated in both horizontal &amp; vertical joints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No priming required for most construction substrates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Joint movement capability of 7.5%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For use in joints up to 50 mm wide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Excellent slump resistance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18 months shelf life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Fast cure - tack free within an hour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Easy to apply and tool off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Halogen free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Paintable</w:t>
      </w:r>
    </w:p>
    <w:p w:rsidR="00A221E3" w:rsidRPr="007A50E8" w:rsidRDefault="00A221E3" w:rsidP="00A221E3">
      <w:pPr>
        <w:pStyle w:val="ListParagraph"/>
        <w:numPr>
          <w:ilvl w:val="0"/>
          <w:numId w:val="1"/>
        </w:numPr>
        <w:spacing w:after="6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Excellent adhesion to most common building substrates</w:t>
      </w:r>
    </w:p>
    <w:p w:rsidR="00D9637B" w:rsidRPr="007A50E8" w:rsidRDefault="00A221E3" w:rsidP="00A221E3">
      <w:pPr>
        <w:pStyle w:val="ListParagraph"/>
        <w:numPr>
          <w:ilvl w:val="0"/>
          <w:numId w:val="1"/>
        </w:numPr>
        <w:spacing w:after="40" w:line="240" w:lineRule="auto"/>
        <w:contextualSpacing w:val="0"/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  <w:r w:rsidRPr="007A50E8"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  <w:t>Reduces sound transmission in joints</w:t>
      </w:r>
    </w:p>
    <w:p w:rsidR="00876F1F" w:rsidRPr="007A50E8" w:rsidRDefault="00876F1F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  <w:bookmarkStart w:id="0" w:name="_GoBack"/>
      <w:bookmarkEnd w:id="0"/>
    </w:p>
    <w:p w:rsidR="00EA3B9F" w:rsidRPr="007A50E8" w:rsidRDefault="00EA3B9F" w:rsidP="00D9637B">
      <w:pPr>
        <w:shd w:val="clear" w:color="auto" w:fill="B0CB1F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7A50E8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lastRenderedPageBreak/>
        <w:t>SOUND INSULATION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EA3B9F" w:rsidRPr="007A50E8" w:rsidTr="00F27068">
        <w:tc>
          <w:tcPr>
            <w:tcW w:w="4508" w:type="dxa"/>
            <w:shd w:val="clear" w:color="auto" w:fill="B0CB1F"/>
          </w:tcPr>
          <w:p w:rsidR="00EA3B9F" w:rsidRPr="007A50E8" w:rsidRDefault="00EA3B9F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Description</w:t>
            </w:r>
          </w:p>
        </w:tc>
        <w:tc>
          <w:tcPr>
            <w:tcW w:w="4509" w:type="dxa"/>
            <w:shd w:val="clear" w:color="auto" w:fill="B0CB1F"/>
          </w:tcPr>
          <w:p w:rsidR="00EA3B9F" w:rsidRPr="007A50E8" w:rsidRDefault="00EA3B9F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Sound Reduction</w:t>
            </w:r>
          </w:p>
        </w:tc>
      </w:tr>
      <w:tr w:rsidR="00EA3B9F" w:rsidRPr="007A50E8" w:rsidTr="00EA3B9F">
        <w:tc>
          <w:tcPr>
            <w:tcW w:w="4508" w:type="dxa"/>
          </w:tcPr>
          <w:p w:rsidR="00EA3B9F" w:rsidRPr="007A50E8" w:rsidRDefault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Double sided seal ≥ </w:t>
            </w:r>
            <w:r w:rsidR="00EA3B9F"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12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.5</w:t>
            </w:r>
            <w:r w:rsidR="00EA3B9F"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mm depth</w:t>
            </w:r>
          </w:p>
        </w:tc>
        <w:tc>
          <w:tcPr>
            <w:tcW w:w="4509" w:type="dxa"/>
          </w:tcPr>
          <w:p w:rsidR="00EA3B9F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proofErr w:type="spellStart"/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Rw</w:t>
            </w:r>
            <w:proofErr w:type="spellEnd"/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 40</w:t>
            </w:r>
            <w:r w:rsidR="00EA3B9F"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 dB</w:t>
            </w:r>
          </w:p>
        </w:tc>
      </w:tr>
    </w:tbl>
    <w:p w:rsidR="00EA3B9F" w:rsidRPr="007A50E8" w:rsidRDefault="001529CE">
      <w:pPr>
        <w:jc w:val="both"/>
        <w:rPr>
          <w:rFonts w:ascii="Malgun Gothic Semilight" w:eastAsia="Malgun Gothic Semilight" w:hAnsi="Malgun Gothic Semilight" w:cs="Malgun Gothic Semilight"/>
          <w:sz w:val="14"/>
          <w:szCs w:val="14"/>
        </w:rPr>
      </w:pPr>
      <w:r w:rsidRPr="007A50E8">
        <w:rPr>
          <w:rFonts w:ascii="Malgun Gothic Semilight" w:eastAsia="Malgun Gothic Semilight" w:hAnsi="Malgun Gothic Semilight" w:cs="Malgun Gothic Semilight"/>
          <w:sz w:val="14"/>
          <w:szCs w:val="14"/>
          <w:lang w:val="en-GB"/>
        </w:rPr>
        <w:t>A 20mm diameter polyethylene joint backer rod or similar is required.</w:t>
      </w:r>
    </w:p>
    <w:p w:rsidR="007B1B26" w:rsidRPr="007A50E8" w:rsidRDefault="007B1B26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</w:rPr>
      </w:pPr>
    </w:p>
    <w:p w:rsidR="007B1B26" w:rsidRPr="007A50E8" w:rsidRDefault="007B1B26" w:rsidP="00D9637B">
      <w:pPr>
        <w:shd w:val="clear" w:color="auto" w:fill="B0CB1F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7A50E8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EMISSION DATA (INDOOR AIR QUALITY)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60"/>
        <w:gridCol w:w="3172"/>
      </w:tblGrid>
      <w:tr w:rsidR="007B1B26" w:rsidRPr="007A50E8" w:rsidTr="00B72A47">
        <w:tc>
          <w:tcPr>
            <w:tcW w:w="2785" w:type="dxa"/>
            <w:shd w:val="clear" w:color="auto" w:fill="B0CB1F"/>
          </w:tcPr>
          <w:p w:rsidR="007B1B26" w:rsidRPr="007A50E8" w:rsidRDefault="007B1B26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COMPOUND</w:t>
            </w:r>
          </w:p>
        </w:tc>
        <w:tc>
          <w:tcPr>
            <w:tcW w:w="3060" w:type="dxa"/>
            <w:shd w:val="clear" w:color="auto" w:fill="B0CB1F"/>
          </w:tcPr>
          <w:p w:rsidR="007B1B26" w:rsidRPr="007A50E8" w:rsidRDefault="007B1B26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EMISSION RATE AFTER 3 DAYS</w:t>
            </w:r>
          </w:p>
        </w:tc>
        <w:tc>
          <w:tcPr>
            <w:tcW w:w="3172" w:type="dxa"/>
            <w:shd w:val="clear" w:color="auto" w:fill="B0CB1F"/>
          </w:tcPr>
          <w:p w:rsidR="007B1B26" w:rsidRPr="007A50E8" w:rsidRDefault="007B1B26" w:rsidP="007B1B26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EMISSION RATE AFTER 4 WEEKS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TVOC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14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5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TSVOC 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5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5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VOC w/o NIK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7.4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5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R Value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0.0091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0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Formaldehyde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3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3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Acetaldehyde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3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3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 xml:space="preserve">Sum </w:t>
            </w:r>
            <w:proofErr w:type="spellStart"/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for+ace</w:t>
            </w:r>
            <w:proofErr w:type="spellEnd"/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5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proofErr w:type="spellStart"/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n.d.</w:t>
            </w:r>
            <w:proofErr w:type="spellEnd"/>
          </w:p>
        </w:tc>
      </w:tr>
      <w:tr w:rsidR="001529CE" w:rsidRPr="007A50E8" w:rsidTr="00D00ACE">
        <w:tc>
          <w:tcPr>
            <w:tcW w:w="2785" w:type="dxa"/>
          </w:tcPr>
          <w:p w:rsidR="001529CE" w:rsidRPr="007A50E8" w:rsidRDefault="001529CE" w:rsidP="001529CE">
            <w:pPr>
              <w:jc w:val="both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Carcinogenic</w:t>
            </w:r>
          </w:p>
        </w:tc>
        <w:tc>
          <w:tcPr>
            <w:tcW w:w="3060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1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  <w:tc>
          <w:tcPr>
            <w:tcW w:w="3172" w:type="dxa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&lt; 1 µg/m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3</w:t>
            </w:r>
          </w:p>
        </w:tc>
      </w:tr>
    </w:tbl>
    <w:p w:rsidR="004729B1" w:rsidRPr="007A50E8" w:rsidRDefault="004729B1" w:rsidP="001529CE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</w:p>
    <w:p w:rsidR="001529CE" w:rsidRPr="007A50E8" w:rsidRDefault="001529CE" w:rsidP="001529CE">
      <w:pPr>
        <w:shd w:val="clear" w:color="auto" w:fill="B0CB1F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7A50E8"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  <w:t>TECHNICAL SPECIFICATION</w:t>
      </w:r>
    </w:p>
    <w:tbl>
      <w:tblPr>
        <w:tblStyle w:val="TableGrid"/>
        <w:tblW w:w="5001" w:type="pct"/>
        <w:tblInd w:w="-5" w:type="dxa"/>
        <w:tblLook w:val="04A0" w:firstRow="1" w:lastRow="0" w:firstColumn="1" w:lastColumn="0" w:noHBand="0" w:noVBand="1"/>
      </w:tblPr>
      <w:tblGrid>
        <w:gridCol w:w="2623"/>
        <w:gridCol w:w="6396"/>
      </w:tblGrid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Form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Ready to use thixotropic paste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Specific gravity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  <w:t>1.60 – 1.64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Flash point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  <w:t>None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Tack free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  <w:t>Max. 60 minutes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Skin forming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  <w:t>Max. 20 minutes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Flexibility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7.5% according to ISO 11600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Durability/service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Class Z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bscript"/>
                <w:lang w:val="en-GB"/>
                <w14:numSpacing w14:val="proportional"/>
              </w:rPr>
              <w:t>2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Storage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18 months stored in unopened cartridges. To be stored in temperatures between 10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0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C and 30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vertAlign w:val="superscript"/>
                <w:lang w:val="en-GB"/>
                <w14:numSpacing w14:val="proportional"/>
              </w:rPr>
              <w:t>0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C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Working life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25 years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Compatibility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Suitable for use with most materials, but should not be used In direct contact with bituminous materials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lastRenderedPageBreak/>
              <w:t>Limitations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Should not be used in permanently damp areas or in joints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</w:rPr>
              <w:t xml:space="preserve"> 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with movement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Classification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Sealant for fire rated joints and penetrations class EI 120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Standard colours</w:t>
            </w:r>
          </w:p>
        </w:tc>
        <w:tc>
          <w:tcPr>
            <w:tcW w:w="3546" w:type="pct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White</w:t>
            </w:r>
          </w:p>
        </w:tc>
      </w:tr>
      <w:tr w:rsidR="001529CE" w:rsidRPr="007A50E8" w:rsidTr="001529CE">
        <w:trPr>
          <w:cantSplit/>
          <w:trHeight w:val="227"/>
        </w:trPr>
        <w:tc>
          <w:tcPr>
            <w:tcW w:w="1454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ind w:left="-80"/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b/>
                <w:sz w:val="20"/>
                <w:szCs w:val="20"/>
                <w:lang w:val="en-GB"/>
                <w14:numSpacing w14:val="proportional"/>
              </w:rPr>
              <w:t>Packaging</w:t>
            </w:r>
          </w:p>
        </w:tc>
        <w:tc>
          <w:tcPr>
            <w:tcW w:w="3546" w:type="pct"/>
          </w:tcPr>
          <w:p w:rsidR="001529CE" w:rsidRPr="007A50E8" w:rsidRDefault="001529CE" w:rsidP="008C5C1B">
            <w:pPr>
              <w:ind w:left="-80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Box containing 25 cartridges each 310 ml</w:t>
            </w:r>
          </w:p>
        </w:tc>
      </w:tr>
    </w:tbl>
    <w:p w:rsidR="001529CE" w:rsidRPr="007A50E8" w:rsidRDefault="001529CE" w:rsidP="001529CE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</w:p>
    <w:p w:rsidR="00F27068" w:rsidRPr="007A50E8" w:rsidRDefault="001529CE" w:rsidP="00D9637B">
      <w:pPr>
        <w:shd w:val="clear" w:color="auto" w:fill="B0CB1F"/>
        <w:jc w:val="center"/>
        <w:rPr>
          <w:rFonts w:ascii="Malgun Gothic Semilight" w:eastAsia="Malgun Gothic Semilight" w:hAnsi="Malgun Gothic Semilight" w:cs="Malgun Gothic Semilight"/>
          <w:b/>
          <w:color w:val="FFFFFF" w:themeColor="background1"/>
          <w:sz w:val="20"/>
          <w:szCs w:val="20"/>
        </w:rPr>
      </w:pPr>
      <w:r w:rsidRPr="007A50E8">
        <w:rPr>
          <w:rFonts w:ascii="Malgun Gothic Semilight" w:eastAsia="Malgun Gothic Semilight" w:hAnsi="Malgun Gothic Semilight" w:cs="Malgun Gothic Semilight"/>
          <w:b/>
          <w:color w:val="FFFFFF"/>
          <w:sz w:val="20"/>
          <w:szCs w:val="20"/>
        </w:rPr>
        <w:t>RESISTANCE TO FIRE – LINEAR SEALS</w:t>
      </w:r>
    </w:p>
    <w:tbl>
      <w:tblPr>
        <w:tblStyle w:val="TableGrid"/>
        <w:tblW w:w="499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801"/>
        <w:gridCol w:w="1351"/>
        <w:gridCol w:w="1072"/>
        <w:gridCol w:w="2077"/>
        <w:gridCol w:w="1260"/>
        <w:gridCol w:w="1440"/>
      </w:tblGrid>
      <w:tr w:rsidR="001529CE" w:rsidRPr="007A50E8" w:rsidTr="001529CE">
        <w:trPr>
          <w:cantSplit/>
          <w:trHeight w:val="20"/>
        </w:trPr>
        <w:tc>
          <w:tcPr>
            <w:tcW w:w="1000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CONSTRUCTION</w:t>
            </w:r>
          </w:p>
        </w:tc>
        <w:tc>
          <w:tcPr>
            <w:tcW w:w="750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SEAL POSITION</w:t>
            </w:r>
          </w:p>
        </w:tc>
        <w:tc>
          <w:tcPr>
            <w:tcW w:w="595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MINIMUM SEAL DEPTH</w:t>
            </w:r>
          </w:p>
        </w:tc>
        <w:tc>
          <w:tcPr>
            <w:tcW w:w="1153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BACKING MATERIAL</w:t>
            </w:r>
          </w:p>
        </w:tc>
        <w:tc>
          <w:tcPr>
            <w:tcW w:w="700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MAXIMUM SEAL WIDTH</w:t>
            </w:r>
          </w:p>
        </w:tc>
        <w:tc>
          <w:tcPr>
            <w:tcW w:w="800" w:type="pct"/>
            <w:shd w:val="clear" w:color="auto" w:fill="B0CB1F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</w:rPr>
              <w:t>FIRE RESISTANCE</w:t>
            </w:r>
          </w:p>
        </w:tc>
      </w:tr>
      <w:tr w:rsidR="001529CE" w:rsidRPr="007A50E8" w:rsidTr="001529CE">
        <w:trPr>
          <w:cantSplit/>
          <w:trHeight w:val="20"/>
        </w:trPr>
        <w:tc>
          <w:tcPr>
            <w:tcW w:w="1000" w:type="pct"/>
            <w:vMerge w:val="restar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Drywalls, masonry, aerated concrete or concrete walls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br/>
              <w:t>(≥ 100 mm thick)</w:t>
            </w:r>
          </w:p>
        </w:tc>
        <w:tc>
          <w:tcPr>
            <w:tcW w:w="75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Both sides in horizontal seals</w:t>
            </w: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20.0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None necessary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120 (E 120)</w:t>
            </w:r>
          </w:p>
        </w:tc>
      </w:tr>
      <w:tr w:rsidR="001529CE" w:rsidRPr="007A50E8" w:rsidTr="001529CE">
        <w:trPr>
          <w:cantSplit/>
          <w:trHeight w:val="20"/>
        </w:trPr>
        <w:tc>
          <w:tcPr>
            <w:tcW w:w="1000" w:type="pct"/>
            <w:vMerge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</w:p>
        </w:tc>
        <w:tc>
          <w:tcPr>
            <w:tcW w:w="75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Both sides in vertical seals</w:t>
            </w: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9.0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Mineral stone wool minimum 20mm deep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90 (E 90)</w:t>
            </w:r>
          </w:p>
        </w:tc>
      </w:tr>
      <w:tr w:rsidR="001529CE" w:rsidRPr="007A50E8" w:rsidTr="001529CE">
        <w:trPr>
          <w:cantSplit/>
          <w:trHeight w:val="20"/>
        </w:trPr>
        <w:tc>
          <w:tcPr>
            <w:tcW w:w="1000" w:type="pct"/>
            <w:vMerge w:val="restar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Drywalls, masonry, aerated concrete or concrete walls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br/>
              <w:t xml:space="preserve"> (≥ 130 mm thick)</w:t>
            </w:r>
          </w:p>
        </w:tc>
        <w:tc>
          <w:tcPr>
            <w:tcW w:w="750" w:type="pct"/>
            <w:vMerge w:val="restar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Both sides in vertical seals</w:t>
            </w: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15.0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None necessary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90 (E 120)</w:t>
            </w:r>
          </w:p>
        </w:tc>
      </w:tr>
      <w:tr w:rsidR="001529CE" w:rsidRPr="007A50E8" w:rsidTr="001529CE">
        <w:trPr>
          <w:cantSplit/>
          <w:trHeight w:val="20"/>
        </w:trPr>
        <w:tc>
          <w:tcPr>
            <w:tcW w:w="1000" w:type="pct"/>
            <w:vMerge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</w:p>
        </w:tc>
        <w:tc>
          <w:tcPr>
            <w:tcW w:w="750" w:type="pct"/>
            <w:vMerge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15.0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Mineral stone wool minimum 15mm deep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120 (E 120)</w:t>
            </w:r>
          </w:p>
        </w:tc>
      </w:tr>
      <w:tr w:rsidR="001529CE" w:rsidRPr="007A50E8" w:rsidTr="001529CE">
        <w:trPr>
          <w:cantSplit/>
          <w:trHeight w:val="20"/>
        </w:trPr>
        <w:tc>
          <w:tcPr>
            <w:tcW w:w="1000" w:type="pct"/>
            <w:vMerge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</w:p>
        </w:tc>
        <w:tc>
          <w:tcPr>
            <w:tcW w:w="750" w:type="pct"/>
            <w:vMerge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14:numSpacing w14:val="proportional"/>
              </w:rPr>
            </w:pP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None necessary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30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120 (E 120)</w:t>
            </w:r>
          </w:p>
        </w:tc>
      </w:tr>
      <w:tr w:rsidR="001529CE" w:rsidRPr="007A50E8" w:rsidTr="001529CE">
        <w:trPr>
          <w:cantSplit/>
          <w:trHeight w:val="2288"/>
        </w:trPr>
        <w:tc>
          <w:tcPr>
            <w:tcW w:w="1000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 xml:space="preserve">Rigid floors comprise aerated concrete or concrete within floors or between floors and walls </w:t>
            </w: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br/>
              <w:t>(≥ 150 mm thick)</w:t>
            </w:r>
          </w:p>
        </w:tc>
        <w:tc>
          <w:tcPr>
            <w:tcW w:w="75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Single sided top face</w:t>
            </w:r>
          </w:p>
        </w:tc>
        <w:tc>
          <w:tcPr>
            <w:tcW w:w="595" w:type="pct"/>
            <w:vAlign w:val="center"/>
          </w:tcPr>
          <w:p w:rsidR="001529CE" w:rsidRPr="007A50E8" w:rsidRDefault="001529CE" w:rsidP="001529CE">
            <w:pPr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25.0 mm</w:t>
            </w:r>
          </w:p>
        </w:tc>
        <w:tc>
          <w:tcPr>
            <w:tcW w:w="1153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Mineral stone wool minimum 25mm deep</w:t>
            </w:r>
          </w:p>
        </w:tc>
        <w:tc>
          <w:tcPr>
            <w:tcW w:w="7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100 mm</w:t>
            </w:r>
          </w:p>
        </w:tc>
        <w:tc>
          <w:tcPr>
            <w:tcW w:w="800" w:type="pct"/>
            <w:vAlign w:val="center"/>
          </w:tcPr>
          <w:p w:rsidR="001529CE" w:rsidRPr="007A50E8" w:rsidRDefault="001529CE" w:rsidP="001529CE">
            <w:pPr>
              <w:jc w:val="center"/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</w:pPr>
            <w:r w:rsidRPr="007A50E8">
              <w:rPr>
                <w:rFonts w:ascii="Malgun Gothic Semilight" w:eastAsia="Malgun Gothic Semilight" w:hAnsi="Malgun Gothic Semilight" w:cs="Malgun Gothic Semilight"/>
                <w:sz w:val="20"/>
                <w:szCs w:val="20"/>
                <w:lang w:val="en-GB"/>
                <w14:numSpacing w14:val="proportional"/>
              </w:rPr>
              <w:t>EI 120 (E 120)</w:t>
            </w:r>
          </w:p>
        </w:tc>
      </w:tr>
    </w:tbl>
    <w:p w:rsidR="00CA3F22" w:rsidRPr="007A50E8" w:rsidRDefault="00CA3F22" w:rsidP="001529CE">
      <w:pPr>
        <w:jc w:val="both"/>
        <w:rPr>
          <w:rFonts w:ascii="Malgun Gothic Semilight" w:eastAsia="Malgun Gothic Semilight" w:hAnsi="Malgun Gothic Semilight" w:cs="Malgun Gothic Semilight"/>
          <w:sz w:val="20"/>
          <w:szCs w:val="20"/>
          <w:lang w:val="en-GB"/>
        </w:rPr>
      </w:pPr>
    </w:p>
    <w:sectPr w:rsidR="00CA3F22" w:rsidRPr="007A50E8" w:rsidSect="004A53B8">
      <w:headerReference w:type="default" r:id="rId7"/>
      <w:footerReference w:type="default" r:id="rId8"/>
      <w:pgSz w:w="11907" w:h="16839" w:code="9"/>
      <w:pgMar w:top="2970" w:right="1440" w:bottom="18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26" w:rsidRDefault="00475A26" w:rsidP="008B4A3F">
      <w:pPr>
        <w:spacing w:after="0" w:line="240" w:lineRule="auto"/>
      </w:pPr>
      <w:r>
        <w:separator/>
      </w:r>
    </w:p>
  </w:endnote>
  <w:endnote w:type="continuationSeparator" w:id="0">
    <w:p w:rsidR="00475A26" w:rsidRDefault="00475A26" w:rsidP="008B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2240757"/>
      <w:docPartObj>
        <w:docPartGallery w:val="Page Numbers (Bottom of Page)"/>
        <w:docPartUnique/>
      </w:docPartObj>
    </w:sdtPr>
    <w:sdtEndPr/>
    <w:sdtContent>
      <w:sdt>
        <w:sdtPr>
          <w:id w:val="-1387030020"/>
          <w:docPartObj>
            <w:docPartGallery w:val="Page Numbers (Top of Page)"/>
            <w:docPartUnique/>
          </w:docPartObj>
        </w:sdtPr>
        <w:sdtEndPr/>
        <w:sdtContent>
          <w:p w:rsidR="00300E9F" w:rsidRDefault="00300E9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0B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0B1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0E9F" w:rsidRDefault="00300E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26" w:rsidRDefault="00475A26" w:rsidP="008B4A3F">
      <w:pPr>
        <w:spacing w:after="0" w:line="240" w:lineRule="auto"/>
      </w:pPr>
      <w:r>
        <w:separator/>
      </w:r>
    </w:p>
  </w:footnote>
  <w:footnote w:type="continuationSeparator" w:id="0">
    <w:p w:rsidR="00475A26" w:rsidRDefault="00475A26" w:rsidP="008B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4A3F" w:rsidRDefault="00D9637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23CF31E" wp14:editId="474773FB">
              <wp:simplePos x="0" y="0"/>
              <wp:positionH relativeFrom="column">
                <wp:posOffset>1684020</wp:posOffset>
              </wp:positionH>
              <wp:positionV relativeFrom="paragraph">
                <wp:posOffset>563880</wp:posOffset>
              </wp:positionV>
              <wp:extent cx="4808220" cy="777240"/>
              <wp:effectExtent l="0" t="0" r="0" b="381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8220" cy="777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9637B" w:rsidRPr="00B62D2E" w:rsidRDefault="00D9637B" w:rsidP="00B62D2E">
                          <w:pPr>
                            <w:spacing w:after="0"/>
                            <w:jc w:val="right"/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B62D2E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AIS FR ACRYLIC SEALANT FP 50</w:t>
                          </w:r>
                          <w:r w:rsidR="00A221E3" w:rsidRPr="00B62D2E">
                            <w:rPr>
                              <w:rFonts w:ascii="Bookman Old Style" w:hAnsi="Bookman Old Style" w:cstheme="minorHAnsi"/>
                              <w:b/>
                              <w:color w:val="B0CB1F"/>
                              <w:sz w:val="40"/>
                              <w:szCs w:val="4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5</w:t>
                          </w:r>
                        </w:p>
                        <w:p w:rsidR="00D9637B" w:rsidRPr="00D9637B" w:rsidRDefault="00D9637B" w:rsidP="00D9637B">
                          <w:pPr>
                            <w:spacing w:after="0"/>
                            <w:jc w:val="right"/>
                            <w:rPr>
                              <w:b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D9637B">
                            <w:rPr>
                              <w:rFonts w:ascii="Bookman Old Style" w:hAnsi="Bookman Old Style"/>
                              <w:b/>
                              <w:sz w:val="30"/>
                              <w:szCs w:val="30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TECHNICAL DATA SHEET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ACDF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2.6pt;margin-top:44.4pt;width:378.6pt;height:61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" filled="f" stroked="f">
              <v:textbox>
                <w:txbxContent>
                  <w:p w:rsidR="00D9637B" w:rsidRPr="00B62D2E" w:rsidRDefault="00D9637B" w:rsidP="00B62D2E">
                    <w:pPr>
                      <w:spacing w:after="0"/>
                      <w:jc w:val="right"/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bookmarkStart w:id="1" w:name="_GoBack"/>
                    <w:r w:rsidRPr="00B62D2E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AIS FR ACRYLIC SEALANT FP 50</w:t>
                    </w:r>
                    <w:r w:rsidR="00A221E3" w:rsidRPr="00B62D2E">
                      <w:rPr>
                        <w:rFonts w:ascii="Bookman Old Style" w:hAnsi="Bookman Old Style" w:cstheme="minorHAnsi"/>
                        <w:b/>
                        <w:color w:val="B0CB1F"/>
                        <w:sz w:val="40"/>
                        <w:szCs w:val="4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5</w:t>
                    </w:r>
                  </w:p>
                  <w:p w:rsidR="00D9637B" w:rsidRPr="00D9637B" w:rsidRDefault="00D9637B" w:rsidP="00D9637B">
                    <w:pPr>
                      <w:spacing w:after="0"/>
                      <w:jc w:val="right"/>
                      <w:rPr>
                        <w:b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D9637B">
                      <w:rPr>
                        <w:rFonts w:ascii="Bookman Old Style" w:hAnsi="Bookman Old Style"/>
                        <w:b/>
                        <w:sz w:val="30"/>
                        <w:szCs w:val="30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TECHNICAL DATA SHEET</w:t>
                    </w:r>
                    <w:bookmarkEnd w:id="1"/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A7D58"/>
    <w:multiLevelType w:val="hybridMultilevel"/>
    <w:tmpl w:val="FE28FA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4649A"/>
    <w:multiLevelType w:val="hybridMultilevel"/>
    <w:tmpl w:val="7662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D0C25"/>
    <w:multiLevelType w:val="hybridMultilevel"/>
    <w:tmpl w:val="2DD23B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3F"/>
    <w:rsid w:val="00116EFC"/>
    <w:rsid w:val="001529CE"/>
    <w:rsid w:val="00153CC0"/>
    <w:rsid w:val="001A6D9C"/>
    <w:rsid w:val="00294A57"/>
    <w:rsid w:val="00300E9F"/>
    <w:rsid w:val="00321EC1"/>
    <w:rsid w:val="003F70D7"/>
    <w:rsid w:val="004729B1"/>
    <w:rsid w:val="00475A26"/>
    <w:rsid w:val="00482120"/>
    <w:rsid w:val="004A53B8"/>
    <w:rsid w:val="005E765B"/>
    <w:rsid w:val="005F7272"/>
    <w:rsid w:val="00627D58"/>
    <w:rsid w:val="007A50E8"/>
    <w:rsid w:val="007B1B26"/>
    <w:rsid w:val="007B7A55"/>
    <w:rsid w:val="008005DC"/>
    <w:rsid w:val="00842DF3"/>
    <w:rsid w:val="008564E4"/>
    <w:rsid w:val="00876F1F"/>
    <w:rsid w:val="008B4A3F"/>
    <w:rsid w:val="008C5C1B"/>
    <w:rsid w:val="008D6FE0"/>
    <w:rsid w:val="00943E7D"/>
    <w:rsid w:val="00961435"/>
    <w:rsid w:val="009834F0"/>
    <w:rsid w:val="00A10403"/>
    <w:rsid w:val="00A221E3"/>
    <w:rsid w:val="00A93F18"/>
    <w:rsid w:val="00AB371B"/>
    <w:rsid w:val="00AC7EC7"/>
    <w:rsid w:val="00AE0CB3"/>
    <w:rsid w:val="00B62D2E"/>
    <w:rsid w:val="00B72A47"/>
    <w:rsid w:val="00B756E5"/>
    <w:rsid w:val="00BE3039"/>
    <w:rsid w:val="00C076D7"/>
    <w:rsid w:val="00C71377"/>
    <w:rsid w:val="00C7484B"/>
    <w:rsid w:val="00C80B18"/>
    <w:rsid w:val="00CA3F22"/>
    <w:rsid w:val="00CD5DD4"/>
    <w:rsid w:val="00D65BB6"/>
    <w:rsid w:val="00D92E1B"/>
    <w:rsid w:val="00D9637B"/>
    <w:rsid w:val="00EA3B9F"/>
    <w:rsid w:val="00F2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4E4962-B8E1-4441-BD4F-3A2FDC73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3F"/>
  </w:style>
  <w:style w:type="paragraph" w:styleId="Footer">
    <w:name w:val="footer"/>
    <w:basedOn w:val="Normal"/>
    <w:link w:val="FooterChar"/>
    <w:uiPriority w:val="99"/>
    <w:unhideWhenUsed/>
    <w:rsid w:val="008B4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3F"/>
  </w:style>
  <w:style w:type="paragraph" w:styleId="ListParagraph">
    <w:name w:val="List Paragraph"/>
    <w:basedOn w:val="Normal"/>
    <w:uiPriority w:val="34"/>
    <w:qFormat/>
    <w:rsid w:val="00EA3B9F"/>
    <w:pPr>
      <w:ind w:left="720"/>
      <w:contextualSpacing/>
    </w:pPr>
  </w:style>
  <w:style w:type="table" w:styleId="TableGrid">
    <w:name w:val="Table Grid"/>
    <w:basedOn w:val="TableNormal"/>
    <w:uiPriority w:val="99"/>
    <w:rsid w:val="00EA3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A221E3"/>
    <w:pPr>
      <w:spacing w:after="0" w:line="240" w:lineRule="auto"/>
    </w:pPr>
    <w:rPr>
      <w:rFonts w:ascii="Tahoma" w:eastAsia="Times New Roman" w:hAnsi="Tahoma" w:cs="Tahoma"/>
      <w:sz w:val="16"/>
      <w:szCs w:val="16"/>
      <w:lang w:val="nb-NO"/>
    </w:rPr>
  </w:style>
  <w:style w:type="character" w:customStyle="1" w:styleId="BalloonTextChar">
    <w:name w:val="Balloon Text Char"/>
    <w:basedOn w:val="DefaultParagraphFont"/>
    <w:link w:val="BalloonText"/>
    <w:semiHidden/>
    <w:rsid w:val="00A221E3"/>
    <w:rPr>
      <w:rFonts w:ascii="Tahoma" w:eastAsia="Times New Roman" w:hAnsi="Tahoma" w:cs="Tahoma"/>
      <w:sz w:val="16"/>
      <w:szCs w:val="1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Nasir</dc:creator>
  <cp:keywords/>
  <dc:description/>
  <cp:lastModifiedBy>Roshan Nasir</cp:lastModifiedBy>
  <cp:revision>12</cp:revision>
  <cp:lastPrinted>2023-01-06T12:11:00Z</cp:lastPrinted>
  <dcterms:created xsi:type="dcterms:W3CDTF">2022-06-01T14:35:00Z</dcterms:created>
  <dcterms:modified xsi:type="dcterms:W3CDTF">2023-11-20T04:03:00Z</dcterms:modified>
</cp:coreProperties>
</file>