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righ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June 23, 2026</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Protecting Open Science &amp; Collaborative Software Development </w:t>
        <w:br w:type="textWrapping"/>
        <w:t xml:space="preserve">in the California AI Transparency Act (SB 942 via Amendment in SB 1000)</w:t>
      </w:r>
    </w:p>
    <w:p w:rsidR="00000000" w:rsidDel="00000000" w:rsidP="00000000" w:rsidRDefault="00000000" w:rsidRPr="00000000" w14:paraId="00000004">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Dear Senator Becker,</w:t>
      </w:r>
    </w:p>
    <w:p w:rsidR="00000000" w:rsidDel="00000000" w:rsidP="00000000" w:rsidRDefault="00000000" w:rsidRPr="00000000" w14:paraId="00000007">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the undersigned </w:t>
      </w:r>
      <w:r w:rsidDel="00000000" w:rsidR="00000000" w:rsidRPr="00000000">
        <w:rPr>
          <w:rFonts w:ascii="Times New Roman" w:cs="Times New Roman" w:eastAsia="Times New Roman" w:hAnsi="Times New Roman"/>
          <w:sz w:val="23"/>
          <w:szCs w:val="23"/>
          <w:rtl w:val="0"/>
        </w:rPr>
        <w:t xml:space="preserve">organizations,</w:t>
      </w:r>
      <w:r w:rsidDel="00000000" w:rsidR="00000000" w:rsidRPr="00000000">
        <w:rPr>
          <w:rFonts w:ascii="Times New Roman" w:cs="Times New Roman" w:eastAsia="Times New Roman" w:hAnsi="Times New Roman"/>
          <w:sz w:val="23"/>
          <w:szCs w:val="23"/>
          <w:rtl w:val="0"/>
        </w:rPr>
        <w:t xml:space="preserve"> write to propose targeted amendments to the California AI Transparency Act that are vital to ensure compatibility with core tenets of open science and collaborative software development. These amendments will both ensure California remains home to open science and collaborative software development, and align the Act with emerging best practice internationally.</w:t>
      </w:r>
    </w:p>
    <w:p w:rsidR="00000000" w:rsidDel="00000000" w:rsidP="00000000" w:rsidRDefault="00000000" w:rsidRPr="00000000" w14:paraId="00000009">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Open source software licenses are essential to open science and collaborative software development. They provide users with the freedom to build on and reuse complex software, in turn lowering barriers to competition, collaboration, and innovation. Today, open source software contributes more than </w:t>
      </w:r>
      <w:hyperlink r:id="rId6">
        <w:r w:rsidDel="00000000" w:rsidR="00000000" w:rsidRPr="00000000">
          <w:rPr>
            <w:rFonts w:ascii="Times New Roman" w:cs="Times New Roman" w:eastAsia="Times New Roman" w:hAnsi="Times New Roman"/>
            <w:color w:val="1155cc"/>
            <w:sz w:val="23"/>
            <w:szCs w:val="23"/>
            <w:u w:val="single"/>
            <w:rtl w:val="0"/>
          </w:rPr>
          <w:t xml:space="preserve">$8 trillion in value to the economy</w:t>
        </w:r>
      </w:hyperlink>
      <w:r w:rsidDel="00000000" w:rsidR="00000000" w:rsidRPr="00000000">
        <w:rPr>
          <w:rFonts w:ascii="Times New Roman" w:cs="Times New Roman" w:eastAsia="Times New Roman" w:hAnsi="Times New Roman"/>
          <w:sz w:val="23"/>
          <w:szCs w:val="23"/>
          <w:rtl w:val="0"/>
        </w:rPr>
        <w:t xml:space="preserve"> and is used in </w:t>
      </w:r>
      <w:hyperlink r:id="rId7">
        <w:r w:rsidDel="00000000" w:rsidR="00000000" w:rsidRPr="00000000">
          <w:rPr>
            <w:rFonts w:ascii="Times New Roman" w:cs="Times New Roman" w:eastAsia="Times New Roman" w:hAnsi="Times New Roman"/>
            <w:color w:val="1155cc"/>
            <w:sz w:val="23"/>
            <w:szCs w:val="23"/>
            <w:u w:val="single"/>
            <w:rtl w:val="0"/>
          </w:rPr>
          <w:t xml:space="preserve">96% of commercial software</w:t>
        </w:r>
      </w:hyperlink>
      <w:r w:rsidDel="00000000" w:rsidR="00000000" w:rsidRPr="00000000">
        <w:rPr>
          <w:rFonts w:ascii="Times New Roman" w:cs="Times New Roman" w:eastAsia="Times New Roman" w:hAnsi="Times New Roman"/>
          <w:sz w:val="23"/>
          <w:szCs w:val="23"/>
          <w:rtl w:val="0"/>
        </w:rPr>
        <w:t xml:space="preserve">. Further, open source software promotes transparency, enabling developers and researchers to more easily study and test software for safety, cybersecurity, bias, and other risks before deployment. Most advancements and notable AI systems in use today are based on open science and open source. Open innovation through open source AI fosters competition and collaboration. </w:t>
      </w:r>
    </w:p>
    <w:p w:rsidR="00000000" w:rsidDel="00000000" w:rsidP="00000000" w:rsidRDefault="00000000" w:rsidRPr="00000000" w14:paraId="0000000B">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Unfortunately,</w:t>
      </w:r>
      <w:r w:rsidDel="00000000" w:rsidR="00000000" w:rsidRPr="00000000">
        <w:rPr>
          <w:rFonts w:ascii="Times New Roman" w:cs="Times New Roman" w:eastAsia="Times New Roman" w:hAnsi="Times New Roman"/>
          <w:b w:val="1"/>
          <w:bCs w:val="1"/>
          <w:sz w:val="23"/>
          <w:szCs w:val="23"/>
          <w:rtl w:val="0"/>
        </w:rPr>
        <w:t xml:space="preserve"> as drafted, the bill’s license revocation requirements (Section 22757.3(b)) conflict with the core principles of open source licenses as defined by the </w:t>
      </w:r>
      <w:hyperlink r:id="rId8">
        <w:r w:rsidDel="00000000" w:rsidR="00000000" w:rsidRPr="00000000">
          <w:rPr>
            <w:rFonts w:ascii="Times New Roman" w:cs="Times New Roman" w:eastAsia="Times New Roman" w:hAnsi="Times New Roman"/>
            <w:b w:val="1"/>
            <w:bCs w:val="1"/>
            <w:color w:val="1155cc"/>
            <w:sz w:val="23"/>
            <w:szCs w:val="23"/>
            <w:u w:val="single"/>
            <w:rtl w:val="0"/>
          </w:rPr>
          <w:t xml:space="preserve">Open Source Definition</w:t>
        </w:r>
      </w:hyperlink>
      <w:r w:rsidDel="00000000" w:rsidR="00000000" w:rsidRPr="00000000">
        <w:rPr>
          <w:rFonts w:ascii="Times New Roman" w:cs="Times New Roman" w:eastAsia="Times New Roman" w:hAnsi="Times New Roman"/>
          <w:b w:val="1"/>
          <w:bCs w:val="1"/>
          <w:sz w:val="23"/>
          <w:szCs w:val="23"/>
          <w:rtl w:val="0"/>
        </w:rPr>
        <w:t xml:space="preserve"> and practiced by developers globally.</w:t>
      </w:r>
    </w:p>
    <w:p w:rsidR="00000000" w:rsidDel="00000000" w:rsidP="00000000" w:rsidRDefault="00000000" w:rsidRPr="00000000" w14:paraId="0000000D">
      <w:pPr>
        <w:spacing w:line="276"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appreciate Senator Becker’s willingness to engage with the open source community. However, by continuing to mandate license revocability, Section 22757.3(b) threatens key aspects of the open source software ecosystem that underpin California’s leadership in technology. </w:t>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are confident that there is a path forward that </w:t>
      </w:r>
      <w:r w:rsidDel="00000000" w:rsidR="00000000" w:rsidRPr="00000000">
        <w:rPr>
          <w:rFonts w:ascii="Times New Roman" w:cs="Times New Roman" w:eastAsia="Times New Roman" w:hAnsi="Times New Roman"/>
          <w:sz w:val="23"/>
          <w:szCs w:val="23"/>
          <w:rtl w:val="0"/>
        </w:rPr>
        <w:t xml:space="preserve">still meets the objectives of this legislation without compromising open source licenses. At the recent Committee on Privacy and Consumer Protection hearing, Sen. Becker expressed his intent to align this law with the </w:t>
      </w:r>
      <w:hyperlink r:id="rId9">
        <w:r w:rsidDel="00000000" w:rsidR="00000000" w:rsidRPr="00000000">
          <w:rPr>
            <w:rFonts w:ascii="Times New Roman" w:cs="Times New Roman" w:eastAsia="Times New Roman" w:hAnsi="Times New Roman"/>
            <w:color w:val="1155cc"/>
            <w:sz w:val="23"/>
            <w:szCs w:val="23"/>
            <w:u w:val="single"/>
            <w:rtl w:val="0"/>
          </w:rPr>
          <w:t xml:space="preserve">EU Code of Practice on Transparency of AI-Generated Content</w:t>
        </w:r>
      </w:hyperlink>
      <w:r w:rsidDel="00000000" w:rsidR="00000000" w:rsidRPr="00000000">
        <w:rPr>
          <w:rFonts w:ascii="Times New Roman" w:cs="Times New Roman" w:eastAsia="Times New Roman" w:hAnsi="Times New Roman"/>
          <w:sz w:val="23"/>
          <w:szCs w:val="23"/>
          <w:rtl w:val="0"/>
        </w:rPr>
        <w:t xml:space="preserve">. We agree that the Code is a helpful blueprint; notably, it was adapted in response to feedback from the open source community and now reflects a balanced approach that differs in key respects from Section 22757.3(b). In partic</w:t>
      </w:r>
      <w:r w:rsidDel="00000000" w:rsidR="00000000" w:rsidRPr="00000000">
        <w:rPr>
          <w:rFonts w:ascii="Times New Roman" w:cs="Times New Roman" w:eastAsia="Times New Roman" w:hAnsi="Times New Roman"/>
          <w:sz w:val="23"/>
          <w:szCs w:val="23"/>
          <w:rtl w:val="0"/>
        </w:rPr>
        <w:t xml:space="preserve">ular, it expressly avoids</w:t>
      </w:r>
      <w:r w:rsidDel="00000000" w:rsidR="00000000" w:rsidRPr="00000000">
        <w:rPr>
          <w:rFonts w:ascii="Times New Roman" w:cs="Times New Roman" w:eastAsia="Times New Roman" w:hAnsi="Times New Roman"/>
          <w:sz w:val="23"/>
          <w:szCs w:val="23"/>
          <w:rtl w:val="0"/>
        </w:rPr>
        <w:t xml:space="preserve"> impacts on open source licensing.</w:t>
      </w:r>
    </w:p>
    <w:p w:rsidR="00000000" w:rsidDel="00000000" w:rsidP="00000000" w:rsidRDefault="00000000" w:rsidRPr="00000000" w14:paraId="00000011">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Below, we briefly explain this issue and proposed amendments. We look forward to working with you to resolve this issue.</w:t>
      </w:r>
    </w:p>
    <w:p w:rsidR="00000000" w:rsidDel="00000000" w:rsidP="00000000" w:rsidRDefault="00000000" w:rsidRPr="00000000" w14:paraId="00000013">
      <w:pPr>
        <w:spacing w:line="276" w:lineRule="auto"/>
        <w:rPr>
          <w:rFonts w:ascii="Times New Roman" w:cs="Times New Roman" w:eastAsia="Times New Roman" w:hAnsi="Times New Roman"/>
          <w:b w:val="1"/>
          <w:bCs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The Section is Incompatible with Open Source Licensing and Offers Negligible Benefit</w:t>
      </w:r>
    </w:p>
    <w:p w:rsidR="00000000" w:rsidDel="00000000" w:rsidP="00000000" w:rsidRDefault="00000000" w:rsidRPr="00000000" w14:paraId="00000015">
      <w:pPr>
        <w:spacing w:line="276"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As written, the bill requires that licenses can be revoked at the discretion of the original developer. However, o</w:t>
      </w:r>
      <w:r w:rsidDel="00000000" w:rsidR="00000000" w:rsidRPr="00000000">
        <w:rPr>
          <w:rFonts w:ascii="Times New Roman" w:cs="Times New Roman" w:eastAsia="Times New Roman" w:hAnsi="Times New Roman"/>
          <w:sz w:val="23"/>
          <w:szCs w:val="23"/>
          <w:rtl w:val="0"/>
        </w:rPr>
        <w:t xml:space="preserve">pen source licenses are intentionally perpetual and irrevocable. Organizations that standardize open source licenses, such as the Free Software Foundation or the Open Source Initiative, insist on irrevocability to ensure long-term legal certainty and interoperability between software components. If licenses were revocable at the discretion of an upstream developer, that would destabilize or disrupt entire downstream systems. A statutory mandate requiring revocation or termination is flatly incompatible with open source licensing.  </w:t>
      </w:r>
    </w:p>
    <w:p w:rsidR="00000000" w:rsidDel="00000000" w:rsidP="00000000" w:rsidRDefault="00000000" w:rsidRPr="00000000" w14:paraId="00000017">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Further, while this law creates material harms to open source licensing, it does not appear to </w:t>
      </w:r>
      <w:r w:rsidDel="00000000" w:rsidR="00000000" w:rsidRPr="00000000">
        <w:rPr>
          <w:rFonts w:ascii="Times New Roman" w:cs="Times New Roman" w:eastAsia="Times New Roman" w:hAnsi="Times New Roman"/>
          <w:sz w:val="23"/>
          <w:szCs w:val="23"/>
          <w:rtl w:val="0"/>
        </w:rPr>
        <w:t xml:space="preserve">meaningfully</w:t>
      </w:r>
      <w:r w:rsidDel="00000000" w:rsidR="00000000" w:rsidRPr="00000000">
        <w:rPr>
          <w:rFonts w:ascii="Times New Roman" w:cs="Times New Roman" w:eastAsia="Times New Roman" w:hAnsi="Times New Roman"/>
          <w:sz w:val="23"/>
          <w:szCs w:val="23"/>
          <w:rtl w:val="0"/>
        </w:rPr>
        <w:t xml:space="preserve"> improve compliance with the underlying obligations in SB 942. The Attorney General gains no additional enforcement authority to pursue noncompliance by a bad actor. Notably, to the extent a third party has integrated an AI system into a subsequent AI system, that actor would itself fall within the definition of a “covered provider” and be directly subject to the requirements of SB 942.</w:t>
      </w:r>
    </w:p>
    <w:p w:rsidR="00000000" w:rsidDel="00000000" w:rsidP="00000000" w:rsidRDefault="00000000" w:rsidRPr="00000000" w14:paraId="00000019">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Small Amendments Can Achieve the Original Intent in a Manner Consistent with Open Source Licensing</w:t>
      </w:r>
    </w:p>
    <w:p w:rsidR="00000000" w:rsidDel="00000000" w:rsidP="00000000" w:rsidRDefault="00000000" w:rsidRPr="00000000" w14:paraId="0000001B">
      <w:pPr>
        <w:spacing w:line="276"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appreciate recent efforts to account for differences in open source ecosystems. For instance, the insertion of “To the extent it is technically feasible” in Section 22757.3(a) </w:t>
      </w:r>
      <w:r w:rsidDel="00000000" w:rsidR="00000000" w:rsidRPr="00000000">
        <w:rPr>
          <w:rFonts w:ascii="Times New Roman" w:cs="Times New Roman" w:eastAsia="Times New Roman" w:hAnsi="Times New Roman"/>
          <w:sz w:val="23"/>
          <w:szCs w:val="23"/>
          <w:rtl w:val="0"/>
        </w:rPr>
        <w:t xml:space="preserve">appropriately recognizes</w:t>
      </w:r>
      <w:r w:rsidDel="00000000" w:rsidR="00000000" w:rsidRPr="00000000">
        <w:rPr>
          <w:rFonts w:ascii="Times New Roman" w:cs="Times New Roman" w:eastAsia="Times New Roman" w:hAnsi="Times New Roman"/>
          <w:sz w:val="23"/>
          <w:szCs w:val="23"/>
          <w:rtl w:val="0"/>
        </w:rPr>
        <w:t xml:space="preserve"> that covered providers may have different levels of technical control over downstream users, and what might be technically feasible for a closed source system might not be technically feasible for an open source system. We also appreciate the amendments in Section 22757.3(b)(4) that clarify providers have no duty to monitor downstream licensees. The bill must retain these amendments.</w:t>
      </w:r>
    </w:p>
    <w:p w:rsidR="00000000" w:rsidDel="00000000" w:rsidP="00000000" w:rsidRDefault="00000000" w:rsidRPr="00000000" w14:paraId="0000001D">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However, these changes do not resolve the fundamental incompatibility between the proposed license revocation requirements and open source licensing.</w:t>
      </w: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There is a better way </w:t>
      </w:r>
      <w:r w:rsidDel="00000000" w:rsidR="00000000" w:rsidRPr="00000000">
        <w:rPr>
          <w:rFonts w:ascii="Times New Roman" w:cs="Times New Roman" w:eastAsia="Times New Roman" w:hAnsi="Times New Roman"/>
          <w:sz w:val="23"/>
          <w:szCs w:val="23"/>
          <w:rtl w:val="0"/>
        </w:rPr>
        <w:t xml:space="preserve">forward that advances the bill’s objectives and maintains compatibility with open source development (see Annex A), as illustrated </w:t>
      </w:r>
      <w:r w:rsidDel="00000000" w:rsidR="00000000" w:rsidRPr="00000000">
        <w:rPr>
          <w:rFonts w:ascii="Times New Roman" w:cs="Times New Roman" w:eastAsia="Times New Roman" w:hAnsi="Times New Roman"/>
          <w:sz w:val="23"/>
          <w:szCs w:val="23"/>
          <w:rtl w:val="0"/>
        </w:rPr>
        <w:t xml:space="preserve">by the recent EU AI Act </w:t>
      </w:r>
      <w:hyperlink r:id="rId10">
        <w:r w:rsidDel="00000000" w:rsidR="00000000" w:rsidRPr="00000000">
          <w:rPr>
            <w:rFonts w:ascii="Times New Roman" w:cs="Times New Roman" w:eastAsia="Times New Roman" w:hAnsi="Times New Roman"/>
            <w:color w:val="1155cc"/>
            <w:sz w:val="23"/>
            <w:szCs w:val="23"/>
            <w:u w:val="single"/>
            <w:rtl w:val="0"/>
          </w:rPr>
          <w:t xml:space="preserve">Code of Practice on Transparency</w:t>
        </w:r>
      </w:hyperlink>
      <w:r w:rsidDel="00000000" w:rsidR="00000000" w:rsidRPr="00000000">
        <w:rPr>
          <w:rFonts w:ascii="Times New Roman" w:cs="Times New Roman" w:eastAsia="Times New Roman" w:hAnsi="Times New Roman"/>
          <w:sz w:val="23"/>
          <w:szCs w:val="23"/>
          <w:rtl w:val="0"/>
        </w:rPr>
        <w:t xml:space="preserve">. The Code, which was recently finalized, also requires that covered providers make “best efforts” to maintain the integrity of the provenance system (see Annex B). However, it explicitly stipulates that providers can meet this requirement by notifying downstream users of their legal obligations through documentation included with the AI system, rather than license revocation:</w:t>
        <w:br w:type="textWrapping"/>
      </w:r>
    </w:p>
    <w:p w:rsidR="00000000" w:rsidDel="00000000" w:rsidP="00000000" w:rsidRDefault="00000000" w:rsidRPr="00000000" w14:paraId="00000021">
      <w:pPr>
        <w:spacing w:line="276" w:lineRule="auto"/>
        <w:ind w:lef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iCs w:val="1"/>
          <w:sz w:val="23"/>
          <w:szCs w:val="23"/>
          <w:rtl w:val="0"/>
        </w:rPr>
        <w:t xml:space="preserve">For AI systems and models provided under free and open-source licenses, it is sufficient for Signatories to alert users to this best practice in the documentation accompanying the AI system or model, without prejudice to the free and open-source nature of the license—Measure 1.2(b)</w:t>
      </w: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appreciate the Legislature’s efforts to address serious concerns around information integrity and to ensure individuals have tools to understand when content has been generated or altered by AI. We also welcome your continued engagement with the open source community. California has long been a leader in AI innovation, and preserving a strong open source ecosystem is critical to maintaining that leadership—particularly for startups, researchers, and smaller developers who rely on open source software to compete and innovate. This issue turns on a core principle of open source licensing: its reliance on perpetual, irrevocable terms that do not impose downstream enforcement obligations. Aligning SB 1000 with the approach reflected in the EU Code of Practice would enable California to advance its transparency goals while preserving the open, collaborative model that underpins AI research and innovation.</w:t>
      </w: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Sincerely,</w:t>
      </w:r>
    </w:p>
    <w:p w:rsidR="00000000" w:rsidDel="00000000" w:rsidP="00000000" w:rsidRDefault="00000000" w:rsidRPr="00000000" w14:paraId="00000026">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Black Forest Labs</w:t>
      </w:r>
    </w:p>
    <w:p w:rsidR="00000000" w:rsidDel="00000000" w:rsidP="00000000" w:rsidRDefault="00000000" w:rsidRPr="00000000" w14:paraId="00000028">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GitHub</w:t>
      </w:r>
    </w:p>
    <w:p w:rsidR="00000000" w:rsidDel="00000000" w:rsidP="00000000" w:rsidRDefault="00000000" w:rsidRPr="00000000" w14:paraId="0000002A">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Hugging Face</w:t>
      </w:r>
    </w:p>
    <w:p w:rsidR="00000000" w:rsidDel="00000000" w:rsidP="00000000" w:rsidRDefault="00000000" w:rsidRPr="00000000" w14:paraId="0000002C">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Mozilla Corporation </w:t>
      </w:r>
    </w:p>
    <w:p w:rsidR="00000000" w:rsidDel="00000000" w:rsidP="00000000" w:rsidRDefault="00000000" w:rsidRPr="00000000" w14:paraId="0000002E">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Annex A: Proposed Amendments to Section 22757.3(b)</w:t>
      </w:r>
    </w:p>
    <w:p w:rsidR="00000000" w:rsidDel="00000000" w:rsidP="00000000" w:rsidRDefault="00000000" w:rsidRPr="00000000" w14:paraId="00000031">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2">
      <w:pPr>
        <w:shd w:fill="fefefe" w:val="clear"/>
        <w:spacing w:after="220" w:line="276" w:lineRule="auto"/>
        <w:rPr>
          <w:rFonts w:ascii="Times New Roman" w:cs="Times New Roman" w:eastAsia="Times New Roman" w:hAnsi="Times New Roman"/>
          <w:i w:val="1"/>
          <w:iCs w:val="1"/>
          <w:color w:val="ff0000"/>
          <w:sz w:val="23"/>
          <w:szCs w:val="23"/>
          <w:u w:val="single"/>
        </w:rPr>
      </w:pPr>
      <w:r w:rsidDel="00000000" w:rsidR="00000000" w:rsidRPr="00000000">
        <w:rPr>
          <w:rFonts w:ascii="Times New Roman" w:cs="Times New Roman" w:eastAsia="Times New Roman" w:hAnsi="Times New Roman"/>
          <w:sz w:val="23"/>
          <w:szCs w:val="23"/>
          <w:rtl w:val="0"/>
        </w:rPr>
        <w:t xml:space="preserve">(b) (1) If a covered provider licenses its GenAI system to a third party, the covered provider shall </w:t>
      </w:r>
      <w:r w:rsidDel="00000000" w:rsidR="00000000" w:rsidRPr="00000000">
        <w:rPr>
          <w:rFonts w:ascii="Times New Roman" w:cs="Times New Roman" w:eastAsia="Times New Roman" w:hAnsi="Times New Roman"/>
          <w:strike w:val="1"/>
          <w:color w:val="ff0000"/>
          <w:sz w:val="23"/>
          <w:szCs w:val="23"/>
          <w:rtl w:val="0"/>
        </w:rPr>
        <w:t xml:space="preserve">require</w:t>
      </w:r>
      <w:r w:rsidDel="00000000" w:rsidR="00000000" w:rsidRPr="00000000">
        <w:rPr>
          <w:rFonts w:ascii="Times New Roman" w:cs="Times New Roman" w:eastAsia="Times New Roman" w:hAnsi="Times New Roman"/>
          <w:color w:val="ff0000"/>
          <w:sz w:val="23"/>
          <w:szCs w:val="23"/>
          <w:rtl w:val="0"/>
        </w:rPr>
        <w:t xml:space="preserve"> </w:t>
      </w:r>
      <w:r w:rsidDel="00000000" w:rsidR="00000000" w:rsidRPr="00000000">
        <w:rPr>
          <w:rFonts w:ascii="Times New Roman" w:cs="Times New Roman" w:eastAsia="Times New Roman" w:hAnsi="Times New Roman"/>
          <w:i w:val="1"/>
          <w:iCs w:val="1"/>
          <w:color w:val="0000ff"/>
          <w:sz w:val="23"/>
          <w:szCs w:val="23"/>
          <w:rtl w:val="0"/>
        </w:rPr>
        <w:t xml:space="preserve">include </w:t>
      </w:r>
      <w:r w:rsidDel="00000000" w:rsidR="00000000" w:rsidRPr="00000000">
        <w:rPr>
          <w:rFonts w:ascii="Times New Roman" w:cs="Times New Roman" w:eastAsia="Times New Roman" w:hAnsi="Times New Roman"/>
          <w:i w:val="1"/>
          <w:iCs w:val="1"/>
          <w:color w:val="0000ff"/>
          <w:sz w:val="23"/>
          <w:szCs w:val="23"/>
          <w:rtl w:val="0"/>
        </w:rPr>
        <w:t xml:space="preserve">in the acceptable use policy, terms and conditions, or the documentation </w:t>
      </w:r>
      <w:r w:rsidDel="00000000" w:rsidR="00000000" w:rsidRPr="00000000">
        <w:rPr>
          <w:rFonts w:ascii="Times New Roman" w:cs="Times New Roman" w:eastAsia="Times New Roman" w:hAnsi="Times New Roman"/>
          <w:i w:val="1"/>
          <w:iCs w:val="1"/>
          <w:color w:val="0000ff"/>
          <w:sz w:val="23"/>
          <w:szCs w:val="23"/>
          <w:rtl w:val="0"/>
        </w:rPr>
        <w:t xml:space="preserve">accompanying their generative AI system a notification that </w:t>
      </w:r>
      <w:r w:rsidDel="00000000" w:rsidR="00000000" w:rsidRPr="00000000">
        <w:rPr>
          <w:rFonts w:ascii="Times New Roman" w:cs="Times New Roman" w:eastAsia="Times New Roman" w:hAnsi="Times New Roman"/>
          <w:color w:val="ff0000"/>
          <w:sz w:val="23"/>
          <w:szCs w:val="23"/>
          <w:rtl w:val="0"/>
        </w:rPr>
        <w:t xml:space="preserve">  </w:t>
      </w:r>
      <w:r w:rsidDel="00000000" w:rsidR="00000000" w:rsidRPr="00000000">
        <w:rPr>
          <w:rFonts w:ascii="Times New Roman" w:cs="Times New Roman" w:eastAsia="Times New Roman" w:hAnsi="Times New Roman"/>
          <w:i w:val="1"/>
          <w:iCs w:val="1"/>
          <w:strike w:val="1"/>
          <w:color w:val="ff0000"/>
          <w:sz w:val="23"/>
          <w:szCs w:val="23"/>
          <w:rtl w:val="0"/>
        </w:rPr>
        <w:t xml:space="preserve">both of the following</w:t>
      </w:r>
      <w:r w:rsidDel="00000000" w:rsidR="00000000" w:rsidRPr="00000000">
        <w:rPr>
          <w:rFonts w:ascii="Times New Roman" w:cs="Times New Roman" w:eastAsia="Times New Roman" w:hAnsi="Times New Roman"/>
          <w:i w:val="1"/>
          <w:iCs w:val="1"/>
          <w:strike w:val="1"/>
          <w:color w:val="ff0000"/>
          <w:sz w:val="23"/>
          <w:szCs w:val="23"/>
          <w:u w:val="single"/>
          <w:rtl w:val="0"/>
        </w:rPr>
        <w:t xml:space="preserve"> as terms of the license</w:t>
      </w:r>
      <w:r w:rsidDel="00000000" w:rsidR="00000000" w:rsidRPr="00000000">
        <w:rPr>
          <w:rFonts w:ascii="Times New Roman" w:cs="Times New Roman" w:eastAsia="Times New Roman" w:hAnsi="Times New Roman"/>
          <w:i w:val="1"/>
          <w:iCs w:val="1"/>
          <w:color w:val="ff0000"/>
          <w:sz w:val="23"/>
          <w:szCs w:val="23"/>
          <w:u w:val="single"/>
          <w:rtl w:val="0"/>
        </w:rPr>
        <w:t xml:space="preserve">:</w:t>
      </w:r>
    </w:p>
    <w:p w:rsidR="00000000" w:rsidDel="00000000" w:rsidP="00000000" w:rsidRDefault="00000000" w:rsidRPr="00000000" w14:paraId="00000033">
      <w:pPr>
        <w:shd w:fill="ffffff" w:val="clear"/>
        <w:spacing w:after="220" w:line="276" w:lineRule="auto"/>
        <w:ind w:left="520" w:firstLine="0"/>
        <w:rPr>
          <w:rFonts w:ascii="Times New Roman" w:cs="Times New Roman" w:eastAsia="Times New Roman" w:hAnsi="Times New Roman"/>
          <w:i w:val="1"/>
          <w:iCs w:val="1"/>
          <w:sz w:val="23"/>
          <w:szCs w:val="23"/>
          <w:shd w:fill="fefefe" w:val="clear"/>
        </w:rPr>
      </w:pPr>
      <w:r w:rsidDel="00000000" w:rsidR="00000000" w:rsidRPr="00000000">
        <w:rPr>
          <w:rFonts w:ascii="Times New Roman" w:cs="Times New Roman" w:eastAsia="Times New Roman" w:hAnsi="Times New Roman"/>
          <w:i w:val="1"/>
          <w:iCs w:val="1"/>
          <w:strike w:val="1"/>
          <w:color w:val="ff0000"/>
          <w:sz w:val="23"/>
          <w:szCs w:val="23"/>
          <w:shd w:fill="fefefe" w:val="clear"/>
          <w:rtl w:val="0"/>
        </w:rPr>
        <w:t xml:space="preserve">(A) That </w:t>
      </w:r>
      <w:r w:rsidDel="00000000" w:rsidR="00000000" w:rsidRPr="00000000">
        <w:rPr>
          <w:rFonts w:ascii="Times New Roman" w:cs="Times New Roman" w:eastAsia="Times New Roman" w:hAnsi="Times New Roman"/>
          <w:i w:val="1"/>
          <w:iCs w:val="1"/>
          <w:sz w:val="23"/>
          <w:szCs w:val="23"/>
          <w:shd w:fill="fefefe" w:val="clear"/>
          <w:rtl w:val="0"/>
        </w:rPr>
        <w:t xml:space="preserve">the system</w:t>
      </w:r>
      <w:r w:rsidDel="00000000" w:rsidR="00000000" w:rsidRPr="00000000">
        <w:rPr>
          <w:rFonts w:ascii="Times New Roman" w:cs="Times New Roman" w:eastAsia="Times New Roman" w:hAnsi="Times New Roman"/>
          <w:i w:val="1"/>
          <w:iCs w:val="1"/>
          <w:color w:val="0000ff"/>
          <w:sz w:val="23"/>
          <w:szCs w:val="23"/>
          <w:shd w:fill="fefefe" w:val="clear"/>
          <w:rtl w:val="0"/>
        </w:rPr>
        <w:t xml:space="preserve">, and if applicable, modifications to the system,</w:t>
      </w:r>
      <w:r w:rsidDel="00000000" w:rsidR="00000000" w:rsidRPr="00000000">
        <w:rPr>
          <w:rFonts w:ascii="Times New Roman" w:cs="Times New Roman" w:eastAsia="Times New Roman" w:hAnsi="Times New Roman"/>
          <w:i w:val="1"/>
          <w:iCs w:val="1"/>
          <w:sz w:val="23"/>
          <w:szCs w:val="23"/>
          <w:shd w:fill="fefefe" w:val="clear"/>
          <w:rtl w:val="0"/>
        </w:rPr>
        <w:t xml:space="preserve"> </w:t>
      </w:r>
      <w:r w:rsidDel="00000000" w:rsidR="00000000" w:rsidRPr="00000000">
        <w:rPr>
          <w:rFonts w:ascii="Times New Roman" w:cs="Times New Roman" w:eastAsia="Times New Roman" w:hAnsi="Times New Roman"/>
          <w:i w:val="1"/>
          <w:iCs w:val="1"/>
          <w:color w:val="0000ff"/>
          <w:sz w:val="23"/>
          <w:szCs w:val="23"/>
          <w:shd w:fill="fefefe" w:val="clear"/>
          <w:rtl w:val="0"/>
        </w:rPr>
        <w:t xml:space="preserve">must</w:t>
      </w:r>
      <w:r w:rsidDel="00000000" w:rsidR="00000000" w:rsidRPr="00000000">
        <w:rPr>
          <w:rFonts w:ascii="Times New Roman" w:cs="Times New Roman" w:eastAsia="Times New Roman" w:hAnsi="Times New Roman"/>
          <w:i w:val="1"/>
          <w:iCs w:val="1"/>
          <w:sz w:val="23"/>
          <w:szCs w:val="23"/>
          <w:shd w:fill="fefefe" w:val="clear"/>
          <w:rtl w:val="0"/>
        </w:rPr>
        <w:t xml:space="preserve"> remain in compliance with this chapter, to the extent it is technically feasible.</w:t>
      </w:r>
    </w:p>
    <w:p w:rsidR="00000000" w:rsidDel="00000000" w:rsidP="00000000" w:rsidRDefault="00000000" w:rsidRPr="00000000" w14:paraId="00000034">
      <w:pPr>
        <w:shd w:fill="ffffff" w:val="clear"/>
        <w:spacing w:after="220" w:line="276" w:lineRule="auto"/>
        <w:ind w:left="520" w:firstLine="0"/>
        <w:rPr>
          <w:rFonts w:ascii="Times New Roman" w:cs="Times New Roman" w:eastAsia="Times New Roman" w:hAnsi="Times New Roman"/>
          <w:i w:val="1"/>
          <w:iCs w:val="1"/>
          <w:strike w:val="1"/>
          <w:color w:val="ff0000"/>
          <w:sz w:val="23"/>
          <w:szCs w:val="23"/>
          <w:shd w:fill="fefefe" w:val="clear"/>
        </w:rPr>
      </w:pPr>
      <w:r w:rsidDel="00000000" w:rsidR="00000000" w:rsidRPr="00000000">
        <w:rPr>
          <w:rFonts w:ascii="Times New Roman" w:cs="Times New Roman" w:eastAsia="Times New Roman" w:hAnsi="Times New Roman"/>
          <w:i w:val="1"/>
          <w:iCs w:val="1"/>
          <w:strike w:val="1"/>
          <w:color w:val="ff0000"/>
          <w:sz w:val="23"/>
          <w:szCs w:val="23"/>
          <w:shd w:fill="fefefe" w:val="clear"/>
          <w:rtl w:val="0"/>
        </w:rPr>
        <w:t xml:space="preserve">(B) That the covered provider may revoke, suspend, or terminate the licensee’s authorization to use the GenAI system if the licensee modifies the GenAI system such that it no longer complies with this chapter.</w:t>
      </w:r>
    </w:p>
    <w:p w:rsidR="00000000" w:rsidDel="00000000" w:rsidP="00000000" w:rsidRDefault="00000000" w:rsidRPr="00000000" w14:paraId="00000035">
      <w:pPr>
        <w:pBdr>
          <w:top w:color="auto" w:space="0" w:sz="0" w:val="none"/>
          <w:left w:color="auto" w:space="0" w:sz="0" w:val="none"/>
          <w:bottom w:color="auto" w:space="11" w:sz="0" w:val="none"/>
          <w:right w:color="auto" w:space="0" w:sz="0" w:val="none"/>
        </w:pBdr>
        <w:shd w:fill="fefefe" w:val="clear"/>
        <w:spacing w:line="276" w:lineRule="auto"/>
        <w:ind w:left="2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If a covered provider </w:t>
      </w:r>
      <w:r w:rsidDel="00000000" w:rsidR="00000000" w:rsidRPr="00000000">
        <w:rPr>
          <w:rFonts w:ascii="Times New Roman" w:cs="Times New Roman" w:eastAsia="Times New Roman" w:hAnsi="Times New Roman"/>
          <w:color w:val="0000ff"/>
          <w:sz w:val="23"/>
          <w:szCs w:val="23"/>
          <w:rtl w:val="0"/>
        </w:rPr>
        <w:t xml:space="preserve">has actual</w:t>
      </w:r>
      <w:r w:rsidDel="00000000" w:rsidR="00000000" w:rsidRPr="00000000">
        <w:rPr>
          <w:rFonts w:ascii="Times New Roman" w:cs="Times New Roman" w:eastAsia="Times New Roman" w:hAnsi="Times New Roman"/>
          <w:color w:val="ff0000"/>
          <w:sz w:val="23"/>
          <w:szCs w:val="23"/>
          <w:rtl w:val="0"/>
        </w:rPr>
        <w:t xml:space="preserve"> </w:t>
      </w:r>
      <w:r w:rsidDel="00000000" w:rsidR="00000000" w:rsidRPr="00000000">
        <w:rPr>
          <w:rFonts w:ascii="Times New Roman" w:cs="Times New Roman" w:eastAsia="Times New Roman" w:hAnsi="Times New Roman"/>
          <w:sz w:val="23"/>
          <w:szCs w:val="23"/>
          <w:rtl w:val="0"/>
        </w:rPr>
        <w:t xml:space="preserve">know</w:t>
      </w:r>
      <w:r w:rsidDel="00000000" w:rsidR="00000000" w:rsidRPr="00000000">
        <w:rPr>
          <w:rFonts w:ascii="Times New Roman" w:cs="Times New Roman" w:eastAsia="Times New Roman" w:hAnsi="Times New Roman"/>
          <w:color w:val="0000ff"/>
          <w:sz w:val="23"/>
          <w:szCs w:val="23"/>
          <w:rtl w:val="0"/>
        </w:rPr>
        <w:t xml:space="preserve">ledge</w:t>
      </w:r>
      <w:r w:rsidDel="00000000" w:rsidR="00000000" w:rsidRPr="00000000">
        <w:rPr>
          <w:rFonts w:ascii="Times New Roman" w:cs="Times New Roman" w:eastAsia="Times New Roman" w:hAnsi="Times New Roman"/>
          <w:strike w:val="1"/>
          <w:color w:val="ff0000"/>
          <w:sz w:val="23"/>
          <w:szCs w:val="23"/>
          <w:rtl w:val="0"/>
        </w:rPr>
        <w:t xml:space="preserve">s</w:t>
      </w:r>
      <w:r w:rsidDel="00000000" w:rsidR="00000000" w:rsidRPr="00000000">
        <w:rPr>
          <w:rFonts w:ascii="Times New Roman" w:cs="Times New Roman" w:eastAsia="Times New Roman" w:hAnsi="Times New Roman"/>
          <w:sz w:val="23"/>
          <w:szCs w:val="23"/>
          <w:rtl w:val="0"/>
        </w:rPr>
        <w:t xml:space="preserve"> that</w:t>
      </w:r>
      <w:r w:rsidDel="00000000" w:rsidR="00000000" w:rsidRPr="00000000">
        <w:rPr>
          <w:rFonts w:ascii="Times New Roman" w:cs="Times New Roman" w:eastAsia="Times New Roman" w:hAnsi="Times New Roman"/>
          <w:i w:val="1"/>
          <w:iCs w:val="1"/>
          <w:color w:val="0000ff"/>
          <w:sz w:val="23"/>
          <w:szCs w:val="23"/>
          <w:rtl w:val="0"/>
        </w:rPr>
        <w:t xml:space="preserve"> </w:t>
      </w:r>
      <w:r w:rsidDel="00000000" w:rsidR="00000000" w:rsidRPr="00000000">
        <w:rPr>
          <w:rFonts w:ascii="Times New Roman" w:cs="Times New Roman" w:eastAsia="Times New Roman" w:hAnsi="Times New Roman"/>
          <w:sz w:val="23"/>
          <w:szCs w:val="23"/>
          <w:rtl w:val="0"/>
        </w:rPr>
        <w:t xml:space="preserve">an identifiable third-party licensee modified a licensed GenAI system such that it no longer</w:t>
      </w:r>
      <w:r w:rsidDel="00000000" w:rsidR="00000000" w:rsidRPr="00000000">
        <w:rPr>
          <w:rFonts w:ascii="Times New Roman" w:cs="Times New Roman" w:eastAsia="Times New Roman" w:hAnsi="Times New Roman"/>
          <w:strike w:val="1"/>
          <w:color w:val="ff0000"/>
          <w:sz w:val="23"/>
          <w:szCs w:val="23"/>
          <w:rtl w:val="0"/>
        </w:rPr>
        <w:t xml:space="preserve"> </w:t>
      </w:r>
      <w:r w:rsidDel="00000000" w:rsidR="00000000" w:rsidRPr="00000000">
        <w:rPr>
          <w:rFonts w:ascii="Times New Roman" w:cs="Times New Roman" w:eastAsia="Times New Roman" w:hAnsi="Times New Roman"/>
          <w:sz w:val="23"/>
          <w:szCs w:val="23"/>
          <w:rtl w:val="0"/>
        </w:rPr>
        <w:t xml:space="preserve">complies with this chapter, the covered provider </w:t>
      </w:r>
      <w:r w:rsidDel="00000000" w:rsidR="00000000" w:rsidRPr="00000000">
        <w:rPr>
          <w:rFonts w:ascii="Times New Roman" w:cs="Times New Roman" w:eastAsia="Times New Roman" w:hAnsi="Times New Roman"/>
          <w:i w:val="1"/>
          <w:iCs w:val="1"/>
          <w:color w:val="ff0000"/>
          <w:sz w:val="23"/>
          <w:szCs w:val="23"/>
          <w:rtl w:val="0"/>
        </w:rPr>
        <w:t xml:space="preserve">shall advise the licensee of its noncompliance</w:t>
      </w:r>
      <w:r w:rsidDel="00000000" w:rsidR="00000000" w:rsidRPr="00000000">
        <w:rPr>
          <w:rFonts w:ascii="Times New Roman" w:cs="Times New Roman" w:eastAsia="Times New Roman" w:hAnsi="Times New Roman"/>
          <w:strike w:val="1"/>
          <w:color w:val="ff0000"/>
          <w:sz w:val="23"/>
          <w:szCs w:val="23"/>
          <w:rtl w:val="0"/>
        </w:rPr>
        <w:t xml:space="preserve"> </w:t>
      </w:r>
      <w:r w:rsidDel="00000000" w:rsidR="00000000" w:rsidRPr="00000000">
        <w:rPr>
          <w:rFonts w:ascii="Times New Roman" w:cs="Times New Roman" w:eastAsia="Times New Roman" w:hAnsi="Times New Roman"/>
          <w:i w:val="1"/>
          <w:iCs w:val="1"/>
          <w:strike w:val="1"/>
          <w:color w:val="ff0000"/>
          <w:sz w:val="23"/>
          <w:szCs w:val="23"/>
          <w:rtl w:val="0"/>
        </w:rPr>
        <w:t xml:space="preserve">revoke terminate the license licensee’s authorization to use the GenAI system </w:t>
      </w:r>
      <w:r w:rsidDel="00000000" w:rsidR="00000000" w:rsidRPr="00000000">
        <w:rPr>
          <w:rFonts w:ascii="Times New Roman" w:cs="Times New Roman" w:eastAsia="Times New Roman" w:hAnsi="Times New Roman"/>
          <w:sz w:val="23"/>
          <w:szCs w:val="23"/>
          <w:rtl w:val="0"/>
        </w:rPr>
        <w:t xml:space="preserve">within 72 hours of discovering the licensee’s </w:t>
      </w:r>
      <w:r w:rsidDel="00000000" w:rsidR="00000000" w:rsidRPr="00000000">
        <w:rPr>
          <w:rFonts w:ascii="Times New Roman" w:cs="Times New Roman" w:eastAsia="Times New Roman" w:hAnsi="Times New Roman"/>
          <w:strike w:val="1"/>
          <w:color w:val="ff0000"/>
          <w:sz w:val="23"/>
          <w:szCs w:val="23"/>
          <w:rtl w:val="0"/>
        </w:rPr>
        <w:t xml:space="preserve">action</w:t>
      </w:r>
      <w:r w:rsidDel="00000000" w:rsidR="00000000" w:rsidRPr="00000000">
        <w:rPr>
          <w:rFonts w:ascii="Times New Roman" w:cs="Times New Roman" w:eastAsia="Times New Roman" w:hAnsi="Times New Roman"/>
          <w:color w:val="ff0000"/>
          <w:sz w:val="23"/>
          <w:szCs w:val="23"/>
          <w:rtl w:val="0"/>
        </w:rPr>
        <w:t xml:space="preserve"> </w:t>
      </w:r>
      <w:r w:rsidDel="00000000" w:rsidR="00000000" w:rsidRPr="00000000">
        <w:rPr>
          <w:rFonts w:ascii="Times New Roman" w:cs="Times New Roman" w:eastAsia="Times New Roman" w:hAnsi="Times New Roman"/>
          <w:color w:val="0000ff"/>
          <w:sz w:val="23"/>
          <w:szCs w:val="23"/>
          <w:rtl w:val="0"/>
        </w:rPr>
        <w:t xml:space="preserve">noncompliance</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36">
      <w:pPr>
        <w:shd w:fill="fefefe" w:val="clear"/>
        <w:spacing w:after="220" w:line="276" w:lineRule="auto"/>
        <w:ind w:left="2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A third-party licensee shall cease using or making available a licensed GenAI</w:t>
      </w:r>
      <w:r w:rsidDel="00000000" w:rsidR="00000000" w:rsidRPr="00000000">
        <w:rPr>
          <w:rFonts w:ascii="Times New Roman" w:cs="Times New Roman" w:eastAsia="Times New Roman" w:hAnsi="Times New Roman"/>
          <w:strike w:val="1"/>
          <w:sz w:val="23"/>
          <w:szCs w:val="23"/>
          <w:rtl w:val="0"/>
        </w:rPr>
        <w:t xml:space="preserve"> </w:t>
      </w:r>
      <w:r w:rsidDel="00000000" w:rsidR="00000000" w:rsidRPr="00000000">
        <w:rPr>
          <w:rFonts w:ascii="Times New Roman" w:cs="Times New Roman" w:eastAsia="Times New Roman" w:hAnsi="Times New Roman"/>
          <w:sz w:val="23"/>
          <w:szCs w:val="23"/>
          <w:rtl w:val="0"/>
        </w:rPr>
        <w:t xml:space="preserve">system, including a copy or modified version of the GenAI system,</w:t>
      </w:r>
      <w:r w:rsidDel="00000000" w:rsidR="00000000" w:rsidRPr="00000000">
        <w:rPr>
          <w:rFonts w:ascii="Times New Roman" w:cs="Times New Roman" w:eastAsia="Times New Roman" w:hAnsi="Times New Roman"/>
          <w:color w:val="0000ff"/>
          <w:sz w:val="23"/>
          <w:szCs w:val="23"/>
          <w:rtl w:val="0"/>
        </w:rPr>
        <w:t xml:space="preserve"> </w:t>
      </w:r>
      <w:r w:rsidDel="00000000" w:rsidR="00000000" w:rsidRPr="00000000">
        <w:rPr>
          <w:rFonts w:ascii="Times New Roman" w:cs="Times New Roman" w:eastAsia="Times New Roman" w:hAnsi="Times New Roman"/>
          <w:i w:val="1"/>
          <w:iCs w:val="1"/>
          <w:color w:val="0000ff"/>
          <w:sz w:val="23"/>
          <w:szCs w:val="23"/>
          <w:rtl w:val="0"/>
        </w:rPr>
        <w:t xml:space="preserve">after being advised of its noncompliance</w:t>
      </w:r>
      <w:r w:rsidDel="00000000" w:rsidR="00000000" w:rsidRPr="00000000">
        <w:rPr>
          <w:rFonts w:ascii="Times New Roman" w:cs="Times New Roman" w:eastAsia="Times New Roman" w:hAnsi="Times New Roman"/>
          <w:i w:val="1"/>
          <w:iCs w:val="1"/>
          <w:color w:val="ff0000"/>
          <w:sz w:val="23"/>
          <w:szCs w:val="23"/>
          <w:rtl w:val="0"/>
        </w:rPr>
        <w:t xml:space="preserve"> </w:t>
      </w:r>
      <w:r w:rsidDel="00000000" w:rsidR="00000000" w:rsidRPr="00000000">
        <w:rPr>
          <w:rFonts w:ascii="Times New Roman" w:cs="Times New Roman" w:eastAsia="Times New Roman" w:hAnsi="Times New Roman"/>
          <w:i w:val="1"/>
          <w:iCs w:val="1"/>
          <w:color w:val="0000ff"/>
          <w:sz w:val="23"/>
          <w:szCs w:val="23"/>
          <w:shd w:fill="fefefe" w:val="clear"/>
          <w:rtl w:val="0"/>
        </w:rPr>
        <w:t xml:space="preserve"> </w:t>
      </w:r>
      <w:r w:rsidDel="00000000" w:rsidR="00000000" w:rsidRPr="00000000">
        <w:rPr>
          <w:rFonts w:ascii="Times New Roman" w:cs="Times New Roman" w:eastAsia="Times New Roman" w:hAnsi="Times New Roman"/>
          <w:i w:val="1"/>
          <w:iCs w:val="1"/>
          <w:strike w:val="1"/>
          <w:color w:val="ff0000"/>
          <w:sz w:val="23"/>
          <w:szCs w:val="23"/>
          <w:shd w:fill="fefefe" w:val="clear"/>
          <w:rtl w:val="0"/>
        </w:rPr>
        <w:t xml:space="preserve">licensee’s authorization to use</w:t>
      </w:r>
      <w:r w:rsidDel="00000000" w:rsidR="00000000" w:rsidRPr="00000000">
        <w:rPr>
          <w:rFonts w:ascii="Times New Roman" w:cs="Times New Roman" w:eastAsia="Times New Roman" w:hAnsi="Times New Roman"/>
          <w:strike w:val="1"/>
          <w:color w:val="ff0000"/>
          <w:sz w:val="23"/>
          <w:szCs w:val="23"/>
          <w:shd w:fill="fefefe" w:val="clear"/>
          <w:rtl w:val="0"/>
        </w:rPr>
        <w:t xml:space="preserve"> the</w:t>
      </w:r>
      <w:r w:rsidDel="00000000" w:rsidR="00000000" w:rsidRPr="00000000">
        <w:rPr>
          <w:rFonts w:ascii="Times New Roman" w:cs="Times New Roman" w:eastAsia="Times New Roman" w:hAnsi="Times New Roman"/>
          <w:i w:val="1"/>
          <w:iCs w:val="1"/>
          <w:strike w:val="1"/>
          <w:color w:val="ff0000"/>
          <w:sz w:val="23"/>
          <w:szCs w:val="23"/>
          <w:shd w:fill="fefefe" w:val="clear"/>
          <w:rtl w:val="0"/>
        </w:rPr>
        <w:t xml:space="preserve"> GenAI</w:t>
      </w:r>
      <w:r w:rsidDel="00000000" w:rsidR="00000000" w:rsidRPr="00000000">
        <w:rPr>
          <w:rFonts w:ascii="Times New Roman" w:cs="Times New Roman" w:eastAsia="Times New Roman" w:hAnsi="Times New Roman"/>
          <w:strike w:val="1"/>
          <w:color w:val="ff0000"/>
          <w:sz w:val="23"/>
          <w:szCs w:val="23"/>
          <w:shd w:fill="fefefe" w:val="clear"/>
          <w:rtl w:val="0"/>
        </w:rPr>
        <w:t xml:space="preserve"> system has been</w:t>
      </w:r>
      <w:r w:rsidDel="00000000" w:rsidR="00000000" w:rsidRPr="00000000">
        <w:rPr>
          <w:rFonts w:ascii="Times New Roman" w:cs="Times New Roman" w:eastAsia="Times New Roman" w:hAnsi="Times New Roman"/>
          <w:i w:val="1"/>
          <w:iCs w:val="1"/>
          <w:strike w:val="1"/>
          <w:color w:val="ff0000"/>
          <w:sz w:val="23"/>
          <w:szCs w:val="23"/>
          <w:shd w:fill="fefefe" w:val="clear"/>
          <w:rtl w:val="0"/>
        </w:rPr>
        <w:t xml:space="preserve"> terminated</w:t>
      </w:r>
      <w:r w:rsidDel="00000000" w:rsidR="00000000" w:rsidRPr="00000000">
        <w:rPr>
          <w:rFonts w:ascii="Times New Roman" w:cs="Times New Roman" w:eastAsia="Times New Roman" w:hAnsi="Times New Roman"/>
          <w:i w:val="1"/>
          <w:iCs w:val="1"/>
          <w:color w:val="ff0000"/>
          <w:sz w:val="23"/>
          <w:szCs w:val="23"/>
          <w:rtl w:val="0"/>
        </w:rPr>
        <w:t xml:space="preserve"> </w:t>
      </w:r>
      <w:r w:rsidDel="00000000" w:rsidR="00000000" w:rsidRPr="00000000">
        <w:rPr>
          <w:rFonts w:ascii="Times New Roman" w:cs="Times New Roman" w:eastAsia="Times New Roman" w:hAnsi="Times New Roman"/>
          <w:sz w:val="23"/>
          <w:szCs w:val="23"/>
          <w:rtl w:val="0"/>
        </w:rPr>
        <w:t xml:space="preserve">by the covered provider pursuant to paragraph subdivision (2).</w:t>
      </w:r>
      <w:r w:rsidDel="00000000" w:rsidR="00000000" w:rsidRPr="00000000">
        <w:rPr>
          <w:rFonts w:ascii="Times New Roman" w:cs="Times New Roman" w:eastAsia="Times New Roman" w:hAnsi="Times New Roman"/>
          <w:i w:val="1"/>
          <w:iCs w:val="1"/>
          <w:color w:val="ff0000"/>
          <w:sz w:val="23"/>
          <w:szCs w:val="23"/>
          <w:rtl w:val="0"/>
        </w:rPr>
        <w:t xml:space="preserve"> </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37">
      <w:pPr>
        <w:shd w:fill="fefefe" w:val="clear"/>
        <w:spacing w:after="220" w:line="276" w:lineRule="auto"/>
        <w:ind w:left="2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 This subdivision does not require a covered provider to monitor, investigate, or otherwise inquire into a third-party licensee’s use or modification of a licensed GenAI system.</w:t>
      </w:r>
    </w:p>
    <w:p w:rsidR="00000000" w:rsidDel="00000000" w:rsidP="00000000" w:rsidRDefault="00000000" w:rsidRPr="00000000" w14:paraId="00000038">
      <w:pPr>
        <w:shd w:fill="fefefe" w:val="clear"/>
        <w:spacing w:after="220" w:line="276" w:lineRule="auto"/>
        <w:ind w:left="2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9">
      <w:pPr>
        <w:shd w:fill="fefefe" w:val="clear"/>
        <w:spacing w:after="220" w:line="276"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Annex B: EU Code of Practice on Transparency in AI-Generated Content, Measure 1.2 </w:t>
      </w:r>
      <w:r w:rsidDel="00000000" w:rsidR="00000000" w:rsidRPr="00000000">
        <w:rPr>
          <w:rFonts w:ascii="Times New Roman" w:cs="Times New Roman" w:eastAsia="Times New Roman" w:hAnsi="Times New Roman"/>
          <w:sz w:val="23"/>
          <w:szCs w:val="23"/>
          <w:rtl w:val="0"/>
        </w:rPr>
        <w:t xml:space="preserve">(emphasis added)</w:t>
      </w:r>
    </w:p>
    <w:p w:rsidR="00000000" w:rsidDel="00000000" w:rsidP="00000000" w:rsidRDefault="00000000" w:rsidRPr="00000000" w14:paraId="0000003A">
      <w:pPr>
        <w:shd w:fill="fefefe" w:val="clear"/>
        <w:spacing w:after="220" w:line="276"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Measure 1.2: Non-removal of markings</w:t>
      </w:r>
    </w:p>
    <w:p w:rsidR="00000000" w:rsidDel="00000000" w:rsidP="00000000" w:rsidRDefault="00000000" w:rsidRPr="00000000" w14:paraId="0000003B">
      <w:pPr>
        <w:shd w:fill="fefefe" w:val="clear"/>
        <w:spacing w:after="220" w:line="276"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Without prejudice to the robustness requirement in Commitment 3, Signatories will make best efforts to preserve metadata markings on input data and content generated or manipulated by their AI system by applying the following cumulative measures:</w:t>
      </w:r>
    </w:p>
    <w:p w:rsidR="00000000" w:rsidDel="00000000" w:rsidP="00000000" w:rsidRDefault="00000000" w:rsidRPr="00000000" w14:paraId="0000003C">
      <w:pPr>
        <w:shd w:fill="fefefe" w:val="clear"/>
        <w:spacing w:after="220" w:line="276"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Signatories will, to the extent technically feasible and recognisable as per open standards, retain, and abstain from intentionally altering or removing, existing metadata markings, where such content is used as input and subsequently transformed by their AI system into an output. This does not affect good faith, legitimate processing where the modification, transformation or replacement of existing metadata is necessary to maintain accurate and functional information following downstream processing or specific legitimate processing, such as for security audits and research purposes.</w:t>
      </w:r>
    </w:p>
    <w:p w:rsidR="00000000" w:rsidDel="00000000" w:rsidP="00000000" w:rsidRDefault="00000000" w:rsidRPr="00000000" w14:paraId="0000003D">
      <w:pPr>
        <w:shd w:fill="fefefe" w:val="clear"/>
        <w:spacing w:after="220" w:line="276" w:lineRule="auto"/>
        <w:ind w:left="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b) While Signatories recognise that downstream compliance and enforcement cannot be guaranteed, they will nevertheless include in the acceptable use policy, terms and conditions or the documentation accompanying their generative AI system a prohibition of the intentional removal of or tampering with metadata markings by deployers or any other third party. Exceptions to such a prohibition are the legitimate purposes referred to in point a). For AI systems and models provided under free and open-source licenses, it is sufficient for Signatories to alert users to this best practice in the documentation accompanying the AI system or model, without prejudice to the free and open-source nature of the license.</w:t>
      </w:r>
    </w:p>
    <w:p w:rsidR="00000000" w:rsidDel="00000000" w:rsidP="00000000" w:rsidRDefault="00000000" w:rsidRPr="00000000" w14:paraId="0000003E">
      <w:pPr>
        <w:shd w:fill="fefefe" w:val="clear"/>
        <w:spacing w:after="220" w:line="276"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Measures specified in point a) above do not imply the responsibility of the Signatory for third party metadata markings, nor for compliance of third parties with the conditions specified in point b).</w:t>
      </w:r>
    </w:p>
    <w:p w:rsidR="00000000" w:rsidDel="00000000" w:rsidP="00000000" w:rsidRDefault="00000000" w:rsidRPr="00000000" w14:paraId="0000003F">
      <w:pPr>
        <w:shd w:fill="fefefe" w:val="clear"/>
        <w:spacing w:after="220" w:line="276"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Furthermore, Signatories will neither place or make available on the market, nor promote or advertise the use of tools whose purpose is to circumvent the machine-readable markings added to the AI-generated or manipulated content for transparency. </w:t>
      </w:r>
    </w:p>
    <w:p w:rsidR="00000000" w:rsidDel="00000000" w:rsidP="00000000" w:rsidRDefault="00000000" w:rsidRPr="00000000" w14:paraId="00000040">
      <w:pPr>
        <w:shd w:fill="fefefe" w:val="clear"/>
        <w:spacing w:after="220" w:line="276"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Signatories who operate an online platform or search engine, or who otherwise disseminate content to the public, are encouraged to ensure that the online platform or the search engine preserves metadata markings for AI-generated or manipulated content.</w:t>
      </w:r>
    </w:p>
    <w:p w:rsidR="00000000" w:rsidDel="00000000" w:rsidP="00000000" w:rsidRDefault="00000000" w:rsidRPr="00000000" w14:paraId="00000041">
      <w:pPr>
        <w:spacing w:line="276" w:lineRule="auto"/>
        <w:rPr>
          <w:rFonts w:ascii="Times New Roman" w:cs="Times New Roman" w:eastAsia="Times New Roman" w:hAnsi="Times New Roman"/>
          <w:sz w:val="23"/>
          <w:szCs w:val="2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c.europa.eu/newsroom/dae/redirection/document/129555" TargetMode="External"/><Relationship Id="rId9" Type="http://schemas.openxmlformats.org/officeDocument/2006/relationships/hyperlink" Target="https://digital-strategy.ec.europa.eu/en/policies/code-practice-ai-generated-content" TargetMode="External"/><Relationship Id="rId5" Type="http://schemas.openxmlformats.org/officeDocument/2006/relationships/styles" Target="styles.xml"/><Relationship Id="rId6" Type="http://schemas.openxmlformats.org/officeDocument/2006/relationships/hyperlink" Target="https://papers.ssrn.com/sol3/papers.cfm?abstract_id=4693148" TargetMode="External"/><Relationship Id="rId7" Type="http://schemas.openxmlformats.org/officeDocument/2006/relationships/hyperlink" Target="https://www.blackduck.com/resources/analyst-reports/open-source-security-risk-analysis.html" TargetMode="External"/><Relationship Id="rId8" Type="http://schemas.openxmlformats.org/officeDocument/2006/relationships/hyperlink" Target="https://opensource.org/o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