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和游戏平台通信，大的原则有两条，1、游戏平台和彩票平台维护各维护一份账号体系，但账号可以互通，2、金币的存储只有一份，彩票有任何结算金钱的相关请求，皆发送到游戏平台处理，收到通知后方做彩票后续的业务处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双方通信皆需作IP白名单考虑。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主要有下面四个交互过程：彩票账号同步接口（玩家注册时同步写入彩票库）， 彩票登陆接口（从游戏端点击进入彩票app），彩票下注接口（游戏方提供，扣钱），彩票中奖结果接口（游戏方提供，中奖加钱算流水，没中奖统计流水），分别描述如下：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彩票账号同步接口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描述：玩家在游戏端注册成功后同步请求写入到彩票账号库。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玩家注册密码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nickname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玩家注册昵称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spreader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玩家上级推广员ID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彩票登陆接口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描述：用户从游戏客户端进入彩票APP，彩票鉴权验证账户，完成用户自动登陆跳转。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彩票方提供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参数说明:</w:t>
      </w:r>
    </w:p>
    <w:tbl>
      <w:tblPr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7"/>
        <w:gridCol w:w="2277"/>
        <w:gridCol w:w="1729"/>
        <w:gridCol w:w="28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参数名称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默认值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范围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2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7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leftChars="0" w:right="0" w:righ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彩票下注接口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描述：玩家在彩票发起下注请求，彩票服务端请求游戏平台做下注结算。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5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1968"/>
        <w:gridCol w:w="1567"/>
        <w:gridCol w:w="362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金额，分为单位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6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Sign=upper(md5(account+money+key))</w:t>
            </w:r>
          </w:p>
        </w:tc>
      </w:tr>
    </w:tbl>
    <w:p>
      <w:pPr>
        <w:numPr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彩票中奖结果接口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描述：玩家在彩票开奖后，彩票结算后台通知游戏平台做结算。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URL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游戏平台提供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请求方式：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参数说明:</w:t>
      </w:r>
    </w:p>
    <w:tbl>
      <w:tblPr>
        <w:tblStyle w:val="7"/>
        <w:tblW w:w="966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7"/>
        <w:gridCol w:w="6"/>
        <w:gridCol w:w="1986"/>
        <w:gridCol w:w="6"/>
        <w:gridCol w:w="1535"/>
        <w:gridCol w:w="5"/>
        <w:gridCol w:w="36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参数名称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默认值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范围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备注说明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2513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玩家账号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money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Int64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输赢金额（中奖为正，否则为负）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5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1992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无</w:t>
            </w:r>
          </w:p>
        </w:tc>
        <w:tc>
          <w:tcPr>
            <w:tcW w:w="154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 </w:t>
            </w: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620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 w:eastAsiaTheme="minorEastAsia"/>
                <w:color w:val="4F4F4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4F4F4F"/>
                <w:sz w:val="21"/>
                <w:szCs w:val="21"/>
                <w:lang w:val="en-US" w:eastAsia="zh-CN"/>
              </w:rPr>
              <w:t>Sign=upper(md5(account+money+key))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返回：</w:t>
      </w:r>
    </w:p>
    <w:p>
      <w:pPr>
        <w:numPr>
          <w:ilvl w:val="0"/>
          <w:numId w:val="0"/>
        </w:numP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Json串{errcode:0, errmsg:</w:t>
      </w:r>
      <w:r>
        <w:rPr>
          <w:rStyle w:val="6"/>
          <w:rFonts w:hint="default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Style w:val="6"/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}，errcode为结果描述码0表示成功，其他失败，errmsg包含错误消息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FFDCF9"/>
    <w:multiLevelType w:val="singleLevel"/>
    <w:tmpl w:val="A5FFDC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41B3C"/>
    <w:rsid w:val="23B7797B"/>
    <w:rsid w:val="2FF57C1D"/>
    <w:rsid w:val="3258136C"/>
    <w:rsid w:val="35744B2A"/>
    <w:rsid w:val="37664D94"/>
    <w:rsid w:val="3FFF262A"/>
    <w:rsid w:val="43CD0AAA"/>
    <w:rsid w:val="483E5F88"/>
    <w:rsid w:val="4B007921"/>
    <w:rsid w:val="4D074EBC"/>
    <w:rsid w:val="604D5850"/>
    <w:rsid w:val="6241640B"/>
    <w:rsid w:val="6CB47723"/>
    <w:rsid w:val="729B34BC"/>
    <w:rsid w:val="737E4DC9"/>
    <w:rsid w:val="7A49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HAN</cp:lastModifiedBy>
  <dcterms:modified xsi:type="dcterms:W3CDTF">2018-12-13T02:31:41Z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