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b0a5d16fb8d506eb80daccc772f389258a452f3"/>
    <w:p>
      <w:pPr>
        <w:pStyle w:val="Heading1"/>
      </w:pPr>
      <w:r>
        <w:t xml:space="preserve">Leakage-Safe Cross-Cohort Alzheimer’s Blood Transcriptomic Prediction on Open Data: v5 with Consistent Permutation Nulls and AMP-AD Feature Ablations</w:t>
      </w:r>
    </w:p>
    <w:p>
      <w:pPr>
        <w:pStyle w:val="FirstParagraph"/>
      </w:pPr>
      <w:r>
        <w:rPr>
          <w:b/>
          <w:bCs/>
        </w:rPr>
        <w:t xml:space="preserve">Pranjal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Cross-cohort Alzheimer’s disease (AD) blood transcriptomic prediction is sensitive to cohort shift and vulnerable to over-interpretation when evaluation controls are inconsistent. We present a fully open v5 revision on GEO cohorts GSE63060 and GSE63061 that directly addresses reviewer blockers: (i) consistent null reporting based on permutation-AUROC distributions, (ii) explicit separation of leakage-safe primary analysis from transductive ComBat sensitivity analysis, and (iii) model-integrated AMP-AD feature ablations. We evaluate target_only, source_only, and pooled source+target raw training under leakage-safe target-holdout splits; ComBat on stacked train+test is retained as sensitivity only. Feature modes are variance, DE t-test, Agora-only, and DE-Agora intersection. Across all settings, mean permutation-null AUROC is near chance (0.4887-0.5132). In primary analyses, target_only outperforms permutation-null means in both directions and multiple feature settings after BH correction. Conservative conclusion: leakage-safe target-domain signal is reproducible, transfer gains are direction-dependent, and transductive harmonization outcomes should not be used as primary evidence.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Public AD transcriptomic benchmarks can appear strong while still failing key validity checks: leakage-safe boundaries, null calibration consistency, and explicit handling of cross-study harmonization assumptions. This revision focuses on evaluation correctness and claim discipline rather than model novelty.</w:t>
      </w:r>
    </w:p>
    <w:p>
      <w:pPr>
        <w:pStyle w:val="BodyText"/>
      </w:pPr>
      <w:r>
        <w:t xml:space="preserve">Primary goals:</w:t>
      </w:r>
      <w:r>
        <w:t xml:space="preserve"> </w:t>
      </w:r>
      <w:r>
        <w:t xml:space="preserve">1) verify leakage-safe target-domain signal against a consistent permutation null;</w:t>
      </w:r>
      <w:r>
        <w:t xml:space="preserve"> </w:t>
      </w:r>
      <w:r>
        <w:t xml:space="preserve">2) quantify directional transfer behavior under source_only and pooled source+target training;</w:t>
      </w:r>
      <w:r>
        <w:t xml:space="preserve"> </w:t>
      </w:r>
      <w:r>
        <w:t xml:space="preserve">3) test whether AMP-AD-informed feature restrictions change transfer patterns.</w:t>
      </w:r>
    </w:p>
    <w:bookmarkEnd w:id="10"/>
    <w:bookmarkStart w:id="13" w:name="data"/>
    <w:p>
      <w:pPr>
        <w:pStyle w:val="Heading2"/>
      </w:pPr>
      <w:r>
        <w:t xml:space="preserve">2. Data</w:t>
      </w:r>
    </w:p>
    <w:bookmarkStart w:id="11" w:name="predictive-cohorts"/>
    <w:p>
      <w:pPr>
        <w:pStyle w:val="Heading3"/>
      </w:pPr>
      <w:r>
        <w:t xml:space="preserve">2.1 Predictive cohorts</w:t>
      </w:r>
    </w:p>
    <w:p>
      <w:pPr>
        <w:pStyle w:val="Compact"/>
        <w:numPr>
          <w:ilvl w:val="0"/>
          <w:numId w:val="1001"/>
        </w:numPr>
      </w:pPr>
      <w:r>
        <w:t xml:space="preserve">GSE63060 (GPL6947) and GSE63061 (GPL10558) from NCBI GEO [1,2]</w:t>
      </w:r>
    </w:p>
    <w:p>
      <w:pPr>
        <w:pStyle w:val="Compact"/>
        <w:numPr>
          <w:ilvl w:val="0"/>
          <w:numId w:val="1001"/>
        </w:numPr>
      </w:pPr>
      <w:r>
        <w:t xml:space="preserve">AD vs CTL labels only; ambiguous statuses removed</w:t>
      </w:r>
    </w:p>
    <w:bookmarkEnd w:id="11"/>
    <w:bookmarkStart w:id="12" w:name="amp-ad-open-context-and-integration"/>
    <w:p>
      <w:pPr>
        <w:pStyle w:val="Heading3"/>
      </w:pPr>
      <w:r>
        <w:t xml:space="preserve">2.2 AMP-AD open context and integration</w:t>
      </w:r>
    </w:p>
    <w:p>
      <w:pPr>
        <w:pStyle w:val="FirstParagraph"/>
      </w:pPr>
      <w:r>
        <w:t xml:space="preserve">We ingest open Agora nominated targets [3,4]. In v5, Agora is integrated into modeling through two explicit feature modes:</w:t>
      </w:r>
      <w:r>
        <w:t xml:space="preserve"> </w:t>
      </w:r>
      <w:r>
        <w:t xml:space="preserve">- agora_only: probe set restricted to probes mapping to Agora symbols</w:t>
      </w:r>
      <w:r>
        <w:t xml:space="preserve"> </w:t>
      </w:r>
      <w:r>
        <w:t xml:space="preserve">- de_agora_intersection: DE-ranked probes restricted to Agora-mapped probes</w:t>
      </w:r>
    </w:p>
    <w:bookmarkEnd w:id="12"/>
    <w:bookmarkEnd w:id="13"/>
    <w:bookmarkStart w:id="19" w:name="methods"/>
    <w:p>
      <w:pPr>
        <w:pStyle w:val="Heading2"/>
      </w:pPr>
      <w:r>
        <w:t xml:space="preserve">3. Methods</w:t>
      </w:r>
    </w:p>
    <w:bookmarkStart w:id="14" w:name="leakage-safe-primary-arms"/>
    <w:p>
      <w:pPr>
        <w:pStyle w:val="Heading3"/>
      </w:pPr>
      <w:r>
        <w:t xml:space="preserve">3.1 Leakage-safe primary arms</w:t>
      </w:r>
    </w:p>
    <w:p>
      <w:pPr>
        <w:pStyle w:val="FirstParagraph"/>
      </w:pPr>
      <w:r>
        <w:t xml:space="preserve">For each direction (A-&gt;B and B-&gt;A), using target holdout split (stratified, random_state=42):</w:t>
      </w:r>
      <w:r>
        <w:t xml:space="preserve"> </w:t>
      </w:r>
      <w:r>
        <w:t xml:space="preserve">- target_only: train on target-train, test on target-test</w:t>
      </w:r>
      <w:r>
        <w:t xml:space="preserve"> </w:t>
      </w:r>
      <w:r>
        <w:t xml:space="preserve">- source_only: train on source, test on target-test</w:t>
      </w:r>
      <w:r>
        <w:t xml:space="preserve"> </w:t>
      </w:r>
      <w:r>
        <w:t xml:space="preserve">- source_plus_target_raw: train on source + target-train, test on target-test</w:t>
      </w:r>
    </w:p>
    <w:bookmarkEnd w:id="14"/>
    <w:bookmarkStart w:id="15" w:name="transductive-sensitivity-arm-not-primary"/>
    <w:p>
      <w:pPr>
        <w:pStyle w:val="Heading3"/>
      </w:pPr>
      <w:r>
        <w:t xml:space="preserve">3.2 Transductive sensitivity arm (not primary)</w:t>
      </w:r>
    </w:p>
    <w:p>
      <w:pPr>
        <w:pStyle w:val="Compact"/>
        <w:numPr>
          <w:ilvl w:val="0"/>
          <w:numId w:val="1002"/>
        </w:numPr>
      </w:pPr>
      <w:r>
        <w:t xml:space="preserve">source_plus_target_combat_transductive: ComBat on stacked train+test features (no labels), then model fit/eval.</w:t>
      </w:r>
      <w:r>
        <w:t xml:space="preserve"> </w:t>
      </w:r>
      <w:r>
        <w:t xml:space="preserve">This arm is reported as sensitivity only and excluded from leakage-safe primary claims.</w:t>
      </w:r>
    </w:p>
    <w:bookmarkEnd w:id="15"/>
    <w:bookmarkStart w:id="16" w:name="feature-modes"/>
    <w:p>
      <w:pPr>
        <w:pStyle w:val="Heading3"/>
      </w:pPr>
      <w:r>
        <w:t xml:space="preserve">3.3 Feature modes</w:t>
      </w:r>
    </w:p>
    <w:p>
      <w:pPr>
        <w:pStyle w:val="Compact"/>
        <w:numPr>
          <w:ilvl w:val="0"/>
          <w:numId w:val="1003"/>
        </w:numPr>
      </w:pPr>
      <w:r>
        <w:t xml:space="preserve">var: top-N variance probes</w:t>
      </w:r>
    </w:p>
    <w:p>
      <w:pPr>
        <w:pStyle w:val="Compact"/>
        <w:numPr>
          <w:ilvl w:val="0"/>
          <w:numId w:val="1003"/>
        </w:numPr>
      </w:pPr>
      <w:r>
        <w:t xml:space="preserve">de_ttest: top-N absolute t-statistic probes (AD vs CTL on target-train only)</w:t>
      </w:r>
    </w:p>
    <w:p>
      <w:pPr>
        <w:pStyle w:val="Compact"/>
        <w:numPr>
          <w:ilvl w:val="0"/>
          <w:numId w:val="1003"/>
        </w:numPr>
      </w:pPr>
      <w:r>
        <w:t xml:space="preserve">agora_only: top-N probes from Agora-mapped subset</w:t>
      </w:r>
    </w:p>
    <w:p>
      <w:pPr>
        <w:pStyle w:val="Compact"/>
        <w:numPr>
          <w:ilvl w:val="0"/>
          <w:numId w:val="1003"/>
        </w:numPr>
      </w:pPr>
      <w:r>
        <w:t xml:space="preserve">de_agora_intersection: top-N DE probes within the overlap of DE-ranked and Agora-mapped probes</w:t>
      </w:r>
    </w:p>
    <w:p>
      <w:pPr>
        <w:pStyle w:val="FirstParagraph"/>
      </w:pPr>
      <w:r>
        <w:t xml:space="preserve">N in {200, 1000}.</w:t>
      </w:r>
    </w:p>
    <w:bookmarkEnd w:id="16"/>
    <w:bookmarkStart w:id="17" w:name="null-policy-v5-consistency-fix"/>
    <w:p>
      <w:pPr>
        <w:pStyle w:val="Heading3"/>
      </w:pPr>
      <w:r>
        <w:t xml:space="preserve">3.4 Null policy (v5 consistency fix)</w:t>
      </w:r>
    </w:p>
    <w:p>
      <w:pPr>
        <w:pStyle w:val="FirstParagraph"/>
      </w:pPr>
      <w:r>
        <w:t xml:space="preserve">Primary null is the distribution of AUROC values from 100 label-permuted training runs per setting. Reported null in tables is the mean of that permutation-AUROC distribution (not AUROC of averaged probabilities).</w:t>
      </w:r>
    </w:p>
    <w:bookmarkEnd w:id="17"/>
    <w:bookmarkStart w:id="18" w:name="model-and-inference"/>
    <w:p>
      <w:pPr>
        <w:pStyle w:val="Heading3"/>
      </w:pPr>
      <w:r>
        <w:t xml:space="preserve">3.5 Model and inference</w:t>
      </w:r>
    </w:p>
    <w:p>
      <w:pPr>
        <w:pStyle w:val="FirstParagraph"/>
      </w:pPr>
      <w:r>
        <w:t xml:space="preserve">Class-balanced logistic regression (liblinear) with median imputation and scaling. We report AUROC as primary metric; paired bootstrap deltas for arm-vs-arm comparisons; BH correction for multiplicity [5,6].</w:t>
      </w:r>
    </w:p>
    <w:bookmarkEnd w:id="18"/>
    <w:bookmarkEnd w:id="19"/>
    <w:bookmarkStart w:id="24" w:name="results"/>
    <w:p>
      <w:pPr>
        <w:pStyle w:val="Heading2"/>
      </w:pPr>
      <w:r>
        <w:t xml:space="preserve">4. Results</w:t>
      </w:r>
    </w:p>
    <w:bookmarkStart w:id="20" w:name="de-feature-setting-top-2001000"/>
    <w:p>
      <w:pPr>
        <w:pStyle w:val="Heading3"/>
      </w:pPr>
      <w:r>
        <w:t xml:space="preserve">4.1 DE feature setting (top 200/1000)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genes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source+target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(perm mean AUROC)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0.4961</w:t>
            </w:r>
          </w:p>
        </w:tc>
      </w:tr>
    </w:tbl>
    <w:bookmarkEnd w:id="20"/>
    <w:bookmarkStart w:id="21" w:name="amp-ad-integration-settings"/>
    <w:p>
      <w:pPr>
        <w:pStyle w:val="Heading3"/>
      </w:pPr>
      <w:r>
        <w:t xml:space="preserve">4.2 AMP-AD integration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Feature 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 genes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(perm mean AUROC)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Delta (target-null)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</w:pPr>
            <w:r>
              <w:t xml:space="preserve">agora_only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GSE63060-&gt;GSE63061</w:t>
            </w:r>
          </w:p>
        </w:tc>
        <w:tc>
          <w:tcPr/>
          <w:p>
            <w:pPr>
              <w:pStyle w:val="Compact"/>
            </w:pPr>
            <w:r>
              <w:t xml:space="preserve">de_agora_intersection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</w:pPr>
            <w:r>
              <w:t xml:space="preserve">agora_only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GSE63061-&gt;GSE63060</w:t>
            </w:r>
          </w:p>
        </w:tc>
        <w:tc>
          <w:tcPr/>
          <w:p>
            <w:pPr>
              <w:pStyle w:val="Compact"/>
            </w:pPr>
            <w:r>
              <w:t xml:space="preserve">de_agora_intersection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+0.3981</w:t>
            </w:r>
          </w:p>
        </w:tc>
      </w:tr>
    </w:tbl>
    <w:bookmarkEnd w:id="21"/>
    <w:bookmarkStart w:id="22" w:name="statistical-highlights"/>
    <w:p>
      <w:pPr>
        <w:pStyle w:val="Heading3"/>
      </w:pPr>
      <w:r>
        <w:t xml:space="preserve">4.3 Statistical highlights</w:t>
      </w:r>
    </w:p>
    <w:p>
      <w:pPr>
        <w:pStyle w:val="Compact"/>
        <w:numPr>
          <w:ilvl w:val="0"/>
          <w:numId w:val="1004"/>
        </w:numPr>
      </w:pPr>
      <w:r>
        <w:t xml:space="preserve">target_only_vs_null_perm_mean remains significant (BH&lt;0.05) across multiple settings in both directions.</w:t>
      </w:r>
    </w:p>
    <w:p>
      <w:pPr>
        <w:pStyle w:val="Compact"/>
        <w:numPr>
          <w:ilvl w:val="0"/>
          <w:numId w:val="1004"/>
        </w:numPr>
      </w:pPr>
      <w:r>
        <w:t xml:space="preserve">In DE-1000, source_plus_target_raw_vs_target_only is positive and significant in GSE63060-&gt;GSE63061.</w:t>
      </w:r>
    </w:p>
    <w:p>
      <w:pPr>
        <w:pStyle w:val="Compact"/>
        <w:numPr>
          <w:ilvl w:val="0"/>
          <w:numId w:val="1004"/>
        </w:numPr>
      </w:pPr>
      <w:r>
        <w:t xml:space="preserve">Transductive ComBat sensitivity can improve some settings, but because it uses stacked train+test features, it is not used for leakage-safe primary claims.</w:t>
      </w:r>
    </w:p>
    <w:bookmarkEnd w:id="22"/>
    <w:bookmarkStart w:id="23" w:name="null-calibration-check"/>
    <w:p>
      <w:pPr>
        <w:pStyle w:val="Heading3"/>
      </w:pPr>
      <w:r>
        <w:t xml:space="preserve">4.4 Null calibration check</w:t>
      </w:r>
    </w:p>
    <w:p>
      <w:pPr>
        <w:pStyle w:val="FirstParagraph"/>
      </w:pPr>
      <w:r>
        <w:t xml:space="preserve">Across all analyzed settings, permutation-null AUROC means fall in 0.4887-0.5132, matching chance-level expectations and removing prior table/text inconsistency.</w:t>
      </w:r>
    </w:p>
    <w:bookmarkEnd w:id="23"/>
    <w:bookmarkEnd w:id="24"/>
    <w:bookmarkStart w:id="25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v5 resolves two central validity issues from prior review cycles:</w:t>
      </w:r>
      <w:r>
        <w:t xml:space="preserve"> </w:t>
      </w:r>
      <w:r>
        <w:t xml:space="preserve">1) null reporting is now internally consistent (single primary null definition);</w:t>
      </w:r>
      <w:r>
        <w:t xml:space="preserve"> </w:t>
      </w:r>
      <w:r>
        <w:t xml:space="preserve">2) ComBat outcomes are clearly separated into transductive sensitivity analysis rather than primary leakage-safe evidence.</w:t>
      </w:r>
    </w:p>
    <w:p>
      <w:pPr>
        <w:pStyle w:val="BodyText"/>
      </w:pPr>
      <w:r>
        <w:t xml:space="preserve">The core signal remains: target-domain AD prediction exceeds permutation null under strict split discipline. Transfer effects are directional and feature-mode dependent, so broad universal transfer claims remain unwarranted.</w:t>
      </w:r>
    </w:p>
    <w:bookmarkEnd w:id="25"/>
    <w:bookmarkStart w:id="26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This benchmark uses two cohorts and one baseline model family. Probe-to-symbol mapping for Agora integration depends on public platform annotations and may introduce mapping incompleteness. Non-transductive harmonization methods with guaranteed train-only parameterization should be evaluated in future versions.</w:t>
      </w:r>
    </w:p>
    <w:bookmarkEnd w:id="26"/>
    <w:bookmarkStart w:id="27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In this open v5 benchmark, leakage-safe target-domain signal is reproducibly above a consistent permutation-null baseline. AMP-AD-integrated feature modes are now part of the predictive experiment space, and transfer gains remain context-specific rather than universal. Transductive ComBat results are reported as sensitivity only.</w:t>
      </w:r>
    </w:p>
    <w:bookmarkEnd w:id="27"/>
    <w:bookmarkStart w:id="28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 and artifacts: https://github.com/githubbermoon/bio-paper-track-open-phasea</w:t>
      </w:r>
    </w:p>
    <w:p>
      <w:pPr>
        <w:pStyle w:val="BodyText"/>
      </w:pPr>
      <w:r>
        <w:t xml:space="preserve">Run sequence:</w:t>
      </w:r>
      <w:r>
        <w:t xml:space="preserve"> </w:t>
      </w:r>
      <w:r>
        <w:t xml:space="preserve">1)</w:t>
      </w:r>
      <w:r>
        <w:t xml:space="preserve"> </w:t>
      </w:r>
      <w:r>
        <w:rPr>
          <w:rStyle w:val="VerbatimChar"/>
        </w:rPr>
        <w:t xml:space="preserve">python src/train/run_open_phaseA_benchmark.py</w:t>
      </w:r>
      <w:r>
        <w:t xml:space="preserve"> </w:t>
      </w:r>
      <w:r>
        <w:t xml:space="preserve">2)</w:t>
      </w:r>
      <w:r>
        <w:t xml:space="preserve"> </w:t>
      </w:r>
      <w:r>
        <w:rPr>
          <w:rStyle w:val="VerbatimChar"/>
        </w:rPr>
        <w:t xml:space="preserve">python src/eval/compute_open_phaseA_bootstrap.py</w:t>
      </w:r>
      <w:r>
        <w:t xml:space="preserve"> </w:t>
      </w:r>
      <w:r>
        <w:t xml:space="preserve">3)</w:t>
      </w:r>
      <w:r>
        <w:t xml:space="preserve"> </w:t>
      </w:r>
      <w:r>
        <w:rPr>
          <w:rStyle w:val="VerbatimChar"/>
        </w:rPr>
        <w:t xml:space="preserve">python src/ingest/fetch_ampad_open_subset.py</w:t>
      </w:r>
    </w:p>
    <w:p>
      <w:pPr>
        <w:pStyle w:val="BodyText"/>
      </w:pPr>
      <w:r>
        <w:t xml:space="preserve">Core outputs: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outputs/metrics/open_phaseA_main_results.csv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outputs/metrics/open_phaseA_predictions.csv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outputs/stats/open_phaseA_null_distribution.csv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outputs/stats/open_phaseA_auroc_ci.csv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outputs/stats/open_phaseA_paired_tests.csv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outputs/stats/open_phaseA_stats.json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outputs/open_phaseA_data_manifest.json</w:t>
      </w:r>
    </w:p>
    <w:bookmarkEnd w:id="28"/>
    <w:bookmarkStart w:id="29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NCBI GEO, “GSE63060.” https://www.ncbi.nlm.nih.gov/geo/query/acc.cgi?acc=GSE63060</w:t>
      </w:r>
    </w:p>
    <w:p>
      <w:pPr>
        <w:pStyle w:val="BodyText"/>
      </w:pPr>
      <w:r>
        <w:t xml:space="preserve">[2] NCBI GEO, “GSE63061.” https://www.ncbi.nlm.nih.gov/geo/query/acc.cgi?acc=GSE63061</w:t>
      </w:r>
    </w:p>
    <w:p>
      <w:pPr>
        <w:pStyle w:val="BodyText"/>
      </w:pPr>
      <w:r>
        <w:t xml:space="preserve">[3] AD Knowledge Portal, “Agora.” https://agora.adknowledgeportal.org/</w:t>
      </w:r>
    </w:p>
    <w:p>
      <w:pPr>
        <w:pStyle w:val="BodyText"/>
      </w:pPr>
      <w:r>
        <w:t xml:space="preserve">[4] AD Knowledge Portal API, “Nominated genes endpoint.” https://agora.adknowledgeportal.org/api/v1/genes/nominated</w:t>
      </w:r>
    </w:p>
    <w:p>
      <w:pPr>
        <w:pStyle w:val="BodyText"/>
      </w:pPr>
      <w:r>
        <w:t xml:space="preserve">[5] B. Efron and R. J. Tibshirani, An Introduction to the Bootstrap. Chapman &amp; Hall/CRC, 1993.</w:t>
      </w:r>
    </w:p>
    <w:p>
      <w:pPr>
        <w:pStyle w:val="BodyText"/>
      </w:pPr>
      <w:r>
        <w:t xml:space="preserve">[6] Y. Benjamini and Y. Hochberg, “Controlling the false discovery rate: a practical and powerful approach to multiple testing,” JRSS-B, 57(1):289-300, 1995. doi:10.1111/j.2517-6161.1995.tb02031.x.</w:t>
      </w:r>
    </w:p>
    <w:p>
      <w:pPr>
        <w:pStyle w:val="BodyText"/>
      </w:pPr>
      <w:r>
        <w:t xml:space="preserve">[7] W. E. Johnson, C. Li, and A. Rabinovic, “Adjusting batch effects in microarray expression data using empirical Bayes methods,” Biostatistics, 8(1):118-127, 2007. doi:10.1093/biostatistics/kxj037.</w:t>
      </w:r>
    </w:p>
    <w:p>
      <w:pPr>
        <w:pStyle w:val="BodyText"/>
      </w:pPr>
      <w:r>
        <w:t xml:space="preserve">[8] G. K. Smyth, “Linear models and empirical bayes methods for assessing differential expression in microarray experiments,” Stat Appl Genet Mol Biol, 3:Article3, 2004. doi:10.2202/1544-6115.1027.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2026-04-05T06:17:45Z</dcterms:created>
  <dcterms:modified xsi:type="dcterms:W3CDTF">2026-04-05T06:17:45Z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