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5c3125e9f37fcd5a7a9b51e58c699029c4fe21"/>
    <w:p>
      <w:pPr>
        <w:pStyle w:val="Heading1"/>
      </w:pPr>
      <w:r>
        <w:t xml:space="preserve">Regularizing Cross-Cohort Transcriptomics: A Batch-Distortion Penalty Framework for Alzheimer’s Research</w:t>
      </w:r>
    </w:p>
    <w:p>
      <w:pPr>
        <w:pStyle w:val="FirstParagraph"/>
      </w:pPr>
      <w:r>
        <w:rPr>
          <w:b/>
          <w:bCs/>
        </w:rPr>
        <w:t xml:space="preserve">Pranjal</w:t>
      </w:r>
    </w:p>
    <w:bookmarkStart w:id="9" w:name="abstract"/>
    <w:p>
      <w:pPr>
        <w:pStyle w:val="Heading2"/>
      </w:pPr>
      <w:r>
        <w:t xml:space="preserve">Abstract</w:t>
      </w:r>
    </w:p>
    <w:p>
      <w:pPr>
        <w:pStyle w:val="FirstParagraph"/>
      </w:pPr>
      <w:r>
        <w:t xml:space="preserve">Cross-cohort Alzheimer’s disease (AD) blood transcriptomic prediction is sensitive to batch effects introduced during dataset harmonization. Standard pipelines treat batch correction and feature selection as independent steps, allowing features that required extreme mathematical rescuing during harmonization to dominate predictive models. We introduce</w:t>
      </w:r>
      <w:r>
        <w:t xml:space="preserve"> </w:t>
      </w:r>
      <w:r>
        <w:rPr>
          <w:b/>
          <w:bCs/>
        </w:rPr>
        <w:t xml:space="preserve">Batch-Distortion Penalized Feature Selection (BDP-FS)</w:t>
      </w:r>
      <w:r>
        <w:t xml:space="preserve">, a regularization framework that extracts empirical Bayes distortion parameters from harmonization and penalizes features exhibiting high technical noise. We propose an</w:t>
      </w:r>
      <w:r>
        <w:t xml:space="preserve"> </w:t>
      </w:r>
      <w:r>
        <w:rPr>
          <w:b/>
          <w:bCs/>
        </w:rPr>
        <w:t xml:space="preserve">adaptive GMM-regularized variant</w:t>
      </w:r>
      <w:r>
        <w:t xml:space="preserve">, which employs 2-component Gaussian Mixture Models to adaptively regularize feature weights. In bidirectional evaluation on AddNeuroMed sister-cohorts (GSE63060/GSE63061), BDP-FS achieves a positive predictive lift in compatible transfers. Crucially, in sparse feature settings (Top-200), the transition to GMM-anchored soft-weighting yields a measured lift and the preservation of</w:t>
      </w:r>
      <w:r>
        <w:t xml:space="preserve"> </w:t>
      </w:r>
      <w:r>
        <w:rPr>
          <w:b/>
          <w:bCs/>
        </w:rPr>
        <w:t xml:space="preserve">164 AMP-AD Agora nominated biological targets</w:t>
      </w:r>
      <w:r>
        <w:t xml:space="preserve"> </w:t>
      </w:r>
      <w:r>
        <w:t xml:space="preserve">that are otherwise lost to technical noise. Conversely, a secondary cross-platform evaluation on GSE97760 demonstrates that underpowered holdouts produce AUROCs indistinguishable from chance (</w:t>
      </w:r>
      <m:oMath>
        <m:r>
          <m:t>p</m:t>
        </m:r>
        <m:r>
          <m:rPr>
            <m:sty m:val="p"/>
          </m:rPr>
          <m:t>=</m:t>
        </m:r>
        <m:r>
          <m:t>0.26</m:t>
        </m:r>
      </m:oMath>
      <w:r>
        <w:t xml:space="preserve"> </w:t>
      </w:r>
      <w:r>
        <w:t xml:space="preserve">against 1,000 permutations), underscoring the necessity of adequately powered validation cohorts.</w:t>
      </w:r>
    </w:p>
    <w:bookmarkEnd w:id="9"/>
    <w:bookmarkStart w:id="10" w:name="introduction"/>
    <w:p>
      <w:pPr>
        <w:pStyle w:val="Heading2"/>
      </w:pPr>
      <w:r>
        <w:t xml:space="preserve">1. Introduction</w:t>
      </w:r>
    </w:p>
    <w:p>
      <w:pPr>
        <w:pStyle w:val="FirstParagraph"/>
      </w:pPr>
      <w:r>
        <w:t xml:space="preserve">Blood-based transcriptomic biomarkers offer a non-invasive, scalable alternative to cerebrospinal fluid (CSF) and amyloid PET imaging for Alzheimer’s disease (AD) screening [17], [18]. Recent advances in diagnostic criteria, such as the</w:t>
      </w:r>
      <w:r>
        <w:t xml:space="preserve"> </w:t>
      </w:r>
      <w:r>
        <w:rPr>
          <w:b/>
          <w:bCs/>
        </w:rPr>
        <w:t xml:space="preserve">NIA-AA Research Framework (ATN)</w:t>
      </w:r>
      <w:r>
        <w:t xml:space="preserve">—which classifies individuals based on Amyloid (A), Tau (T), and Neurodegeneration (N) biomarkers—have shifted the focus toward molecularly-defined disease states rather than purely clinical symptomatology [15]. However, the transition from brain-based pathology to blood-derived gene expression signatures is complicated by systemic technical noise, cross-platform variance, and the</w:t>
      </w:r>
      <w:r>
        <w:t xml:space="preserve"> </w:t>
      </w:r>
      <w:r>
        <w:t xml:space="preserve">“curse of dimensionality”</w:t>
      </w:r>
      <w:r>
        <w:t xml:space="preserve"> </w:t>
      </w:r>
      <w:r>
        <w:t xml:space="preserve">inherent in high-throughput transcriptomics [16].</w:t>
      </w:r>
    </w:p>
    <w:p>
      <w:pPr>
        <w:pStyle w:val="BodyText"/>
      </w:pPr>
      <w:r>
        <w:t xml:space="preserve">Public AD transcriptomic resources enable reproducible benchmarking, but cross-cohort evaluations frequently overstate transferability when harmonization assumptions (e.g., empirical Bayes via ComBat [7]) remain implicit. ComBat adjusts feature distributions to minimize batch divergence, but this process can artificially inflate the signal of genes whose alignment was achieved through extreme mathematical rescaling rather than shared biological variation. While recent</w:t>
      </w:r>
      <w:r>
        <w:t xml:space="preserve"> </w:t>
      </w:r>
      <w:r>
        <w:t xml:space="preserve">“Advanced Machine Learning”</w:t>
      </w:r>
      <w:r>
        <w:t xml:space="preserve"> </w:t>
      </w:r>
      <w:r>
        <w:t xml:space="preserve">approaches, including</w:t>
      </w:r>
      <w:r>
        <w:t xml:space="preserve"> </w:t>
      </w:r>
      <w:r>
        <w:rPr>
          <w:b/>
          <w:bCs/>
        </w:rPr>
        <w:t xml:space="preserve">Graph Neural Networks (GNNs)</w:t>
      </w:r>
      <w:r>
        <w:t xml:space="preserve"> </w:t>
      </w:r>
      <w:r>
        <w:t xml:space="preserve">[16] and</w:t>
      </w:r>
      <w:r>
        <w:t xml:space="preserve"> </w:t>
      </w:r>
      <w:r>
        <w:rPr>
          <w:b/>
          <w:bCs/>
        </w:rPr>
        <w:t xml:space="preserve">explainable AI (XAI)</w:t>
      </w:r>
      <w:r>
        <w:t xml:space="preserve"> </w:t>
      </w:r>
      <w:r>
        <w:t xml:space="preserve">frameworks [11], have improved predictive performance, the underlying problem of technical distortion in feature selection remains a critical bottleneck.</w:t>
      </w:r>
    </w:p>
    <w:p>
      <w:pPr>
        <w:pStyle w:val="Compact"/>
        <w:numPr>
          <w:ilvl w:val="0"/>
          <w:numId w:val="1001"/>
        </w:numPr>
      </w:pPr>
      <w:r>
        <w:t xml:space="preserve">We introduce</w:t>
      </w:r>
      <w:r>
        <w:t xml:space="preserve"> </w:t>
      </w:r>
      <w:r>
        <w:rPr>
          <w:b/>
          <w:bCs/>
        </w:rPr>
        <w:t xml:space="preserve">BDP-FS</w:t>
      </w:r>
      <w:r>
        <w:t xml:space="preserve">, a regularization algorithm that penalizes features proportional to the degree of technical distortion (</w:t>
      </w:r>
      <m:oMath>
        <m:sSub>
          <m:e>
            <m:r>
              <m:t>D</m:t>
            </m:r>
          </m:e>
          <m:sub>
            <m:r>
              <m:t>g</m:t>
            </m:r>
          </m:sub>
        </m:sSub>
      </m:oMath>
      <w:r>
        <w:t xml:space="preserve">) required during harmonization, retaining only features that are naturally resilient across platforms.</w:t>
      </w:r>
    </w:p>
    <w:p>
      <w:pPr>
        <w:pStyle w:val="Compact"/>
        <w:numPr>
          <w:ilvl w:val="0"/>
          <w:numId w:val="1001"/>
        </w:numPr>
      </w:pPr>
      <w:r>
        <w:t xml:space="preserve">We characterize how</w:t>
      </w:r>
      <w:r>
        <w:t xml:space="preserve"> </w:t>
      </w:r>
      <w:r>
        <w:rPr>
          <w:b/>
          <w:bCs/>
        </w:rPr>
        <w:t xml:space="preserve">adaptive GMM-anchored soft weighting</w:t>
      </w:r>
      <w:r>
        <w:t xml:space="preserve"> </w:t>
      </w:r>
      <w:r>
        <w:t xml:space="preserve">distinguishes technical noise from biological signal, thereby enhancing the stability of inter-cohort model transfer.</w:t>
      </w:r>
    </w:p>
    <w:bookmarkEnd w:id="10"/>
    <w:bookmarkStart w:id="14" w:name="data"/>
    <w:p>
      <w:pPr>
        <w:pStyle w:val="Heading2"/>
      </w:pPr>
      <w:r>
        <w:t xml:space="preserve">2. Data</w:t>
      </w:r>
    </w:p>
    <w:bookmarkStart w:id="11" w:name="X0c79adb62e6a7530cfc20d33614b94fa8a892b1"/>
    <w:p>
      <w:pPr>
        <w:pStyle w:val="Heading3"/>
      </w:pPr>
      <w:r>
        <w:t xml:space="preserve">2.1 Primary Evaluation: AddNeuroMed</w:t>
      </w:r>
      <w:r>
        <w:t xml:space="preserve"> </w:t>
      </w:r>
      <w:r>
        <w:t xml:space="preserve">“Sister-Cohorts”</w:t>
      </w:r>
    </w:p>
    <w:p>
      <w:pPr>
        <w:pStyle w:val="FirstParagraph"/>
      </w:pPr>
      <w:r>
        <w:t xml:space="preserve">The primary evaluation utilizes two cohorts from the AddNeuroMed consortium [1], [2]. These are notably</w:t>
      </w:r>
      <w:r>
        <w:t xml:space="preserve"> </w:t>
      </w:r>
      <w:r>
        <w:rPr>
          <w:b/>
          <w:bCs/>
        </w:rPr>
        <w:t xml:space="preserve">Sister-Cohorts</w:t>
      </w:r>
      <w:r>
        <w:t xml:space="preserve">, sharing identical study protocols, RNA extraction pipelines, and Illumina HumanHT-12 v4 platform architectures. This standardization ensures high platform-level compatibility but necessitates careful interpretation of predictive performance, as high AUROCs may reflect protocol-specific rather than general clinical biomarkers.</w:t>
      </w:r>
    </w:p>
    <w:p>
      <w:pPr>
        <w:pStyle w:val="Compact"/>
        <w:numPr>
          <w:ilvl w:val="0"/>
          <w:numId w:val="1002"/>
        </w:numPr>
      </w:pPr>
      <w:r>
        <w:rPr>
          <w:b/>
          <w:bCs/>
        </w:rPr>
        <w:t xml:space="preserve">GSE63060</w:t>
      </w:r>
      <w:r>
        <w:t xml:space="preserve">: 249 samples (145 AD, 104 CTL)</w:t>
      </w:r>
    </w:p>
    <w:p>
      <w:pPr>
        <w:pStyle w:val="Compact"/>
        <w:numPr>
          <w:ilvl w:val="0"/>
          <w:numId w:val="1002"/>
        </w:numPr>
      </w:pPr>
      <w:r>
        <w:rPr>
          <w:b/>
          <w:bCs/>
        </w:rPr>
        <w:t xml:space="preserve">GSE63061</w:t>
      </w:r>
      <w:r>
        <w:t xml:space="preserve">: 238 samples (139 AD, 99 CTL)</w:t>
      </w:r>
    </w:p>
    <w:p>
      <w:pPr>
        <w:pStyle w:val="Compact"/>
        <w:numPr>
          <w:ilvl w:val="0"/>
          <w:numId w:val="1002"/>
        </w:numPr>
      </w:pPr>
      <w:r>
        <w:t xml:space="preserve">Bidirectional evaluation: GSE63060</w:t>
      </w:r>
      <m:oMath>
        <m:r>
          <m:rPr>
            <m:sty m:val="p"/>
          </m:rPr>
          <m:t>→</m:t>
        </m:r>
      </m:oMath>
      <w:r>
        <w:t xml:space="preserve">GSE63061 and GSE63061</w:t>
      </w:r>
      <m:oMath>
        <m:r>
          <m:rPr>
            <m:sty m:val="p"/>
          </m:rPr>
          <m:t>→</m:t>
        </m:r>
      </m:oMath>
      <w:r>
        <w:t xml:space="preserve">GSE63060</w:t>
      </w:r>
    </w:p>
    <w:p>
      <w:pPr>
        <w:pStyle w:val="Compact"/>
        <w:numPr>
          <w:ilvl w:val="0"/>
          <w:numId w:val="1002"/>
        </w:numPr>
      </w:pPr>
      <w:r>
        <w:t xml:space="preserve">AD vs CTL labels only; MCI excluded</w:t>
      </w:r>
    </w:p>
    <w:bookmarkEnd w:id="11"/>
    <w:bookmarkStart w:id="12" w:name="X7288fa15486fb508e0971b383866daa822f1d01"/>
    <w:p>
      <w:pPr>
        <w:pStyle w:val="Heading3"/>
      </w:pPr>
      <w:r>
        <w:t xml:space="preserve">2.2 Secondary Cross-Platform Cohort (Underpowered)</w:t>
      </w:r>
    </w:p>
    <w:p>
      <w:pPr>
        <w:pStyle w:val="Compact"/>
        <w:numPr>
          <w:ilvl w:val="0"/>
          <w:numId w:val="1003"/>
        </w:numPr>
      </w:pPr>
      <w:r>
        <w:rPr>
          <w:b/>
          <w:bCs/>
        </w:rPr>
        <w:t xml:space="preserve">GSE97760</w:t>
      </w:r>
      <w:r>
        <w:t xml:space="preserve">: 19 samples (9 AD, 10 CTL), Agilent [14]</w:t>
      </w:r>
    </w:p>
    <w:p>
      <w:pPr>
        <w:pStyle w:val="Compact"/>
        <w:numPr>
          <w:ilvl w:val="0"/>
          <w:numId w:val="1003"/>
        </w:numPr>
      </w:pPr>
      <w:r>
        <w:t xml:space="preserve">Included as a cautionary case study on the limits of micro-cohort validation</w:t>
      </w:r>
    </w:p>
    <w:bookmarkEnd w:id="12"/>
    <w:bookmarkStart w:id="13" w:name="biological-feature-context"/>
    <w:p>
      <w:pPr>
        <w:pStyle w:val="Heading3"/>
      </w:pPr>
      <w:r>
        <w:t xml:space="preserve">2.3 Biological Feature Context</w:t>
      </w:r>
    </w:p>
    <w:p>
      <w:pPr>
        <w:pStyle w:val="FirstParagraph"/>
      </w:pPr>
      <w:r>
        <w:t xml:space="preserve">AMP-AD Agora nominated targets from AD Knowledge Portal [3], [4] are used for feature-space ablation experiments.</w:t>
      </w:r>
    </w:p>
    <w:bookmarkEnd w:id="13"/>
    <w:bookmarkEnd w:id="14"/>
    <w:bookmarkStart w:id="19" w:name="methods"/>
    <w:p>
      <w:pPr>
        <w:pStyle w:val="Heading2"/>
      </w:pPr>
      <w:r>
        <w:t xml:space="preserve">3. Methods</w:t>
      </w:r>
    </w:p>
    <w:bookmarkStart w:id="15" w:name="evaluation-protocol"/>
    <w:p>
      <w:pPr>
        <w:pStyle w:val="Heading3"/>
      </w:pPr>
      <w:r>
        <w:t xml:space="preserve">3.1 Evaluation Protocol</w:t>
      </w:r>
    </w:p>
    <w:p>
      <w:pPr>
        <w:pStyle w:val="FirstParagraph"/>
      </w:pPr>
      <w:r>
        <w:t xml:space="preserve">For each direction, target cohort is split into target-train/target-test (70/30 stratified, random_state=42). Source and target-train are pooled for harmonization and model fitting. Evaluation is performed strictly on target-test.</w:t>
      </w:r>
    </w:p>
    <w:p>
      <w:pPr>
        <w:pStyle w:val="BodyText"/>
      </w:pPr>
      <w:r>
        <w:t xml:space="preserve">Arms evaluated:</w:t>
      </w:r>
    </w:p>
    <w:p>
      <w:pPr>
        <w:pStyle w:val="Compact"/>
        <w:numPr>
          <w:ilvl w:val="0"/>
          <w:numId w:val="1004"/>
        </w:numPr>
      </w:pPr>
      <w:r>
        <w:rPr>
          <w:rStyle w:val="VerbatimChar"/>
          <w:b/>
          <w:bCs/>
        </w:rPr>
        <w:t xml:space="preserve">target_only</w:t>
      </w:r>
      <w:r>
        <w:t xml:space="preserve">: Train on target-train, evaluate on target-test</w:t>
      </w:r>
    </w:p>
    <w:p>
      <w:pPr>
        <w:pStyle w:val="Compact"/>
        <w:numPr>
          <w:ilvl w:val="0"/>
          <w:numId w:val="1004"/>
        </w:numPr>
      </w:pPr>
      <w:r>
        <w:rPr>
          <w:rStyle w:val="VerbatimChar"/>
          <w:b/>
          <w:bCs/>
        </w:rPr>
        <w:t xml:space="preserve">source_only</w:t>
      </w:r>
      <w:r>
        <w:t xml:space="preserve">: Train on source, evaluate on target-test (zero-shot)</w:t>
      </w:r>
    </w:p>
    <w:p>
      <w:pPr>
        <w:pStyle w:val="Compact"/>
        <w:numPr>
          <w:ilvl w:val="0"/>
          <w:numId w:val="1004"/>
        </w:numPr>
      </w:pPr>
      <w:r>
        <w:rPr>
          <w:rStyle w:val="VerbatimChar"/>
          <w:b/>
          <w:bCs/>
        </w:rPr>
        <w:t xml:space="preserve">source_plus_target_raw</w:t>
      </w:r>
      <w:r>
        <w:t xml:space="preserve">: Pooled training without harmonization</w:t>
      </w:r>
    </w:p>
    <w:p>
      <w:pPr>
        <w:pStyle w:val="Compact"/>
        <w:numPr>
          <w:ilvl w:val="0"/>
          <w:numId w:val="1004"/>
        </w:numPr>
      </w:pPr>
      <w:r>
        <w:rPr>
          <w:rStyle w:val="VerbatimChar"/>
          <w:b/>
          <w:bCs/>
        </w:rPr>
        <w:t xml:space="preserve">source_plus_target_combat_trainfit</w:t>
      </w:r>
      <w:r>
        <w:t xml:space="preserve">: Pooled training with leakage-safe ComBat. Location/scale parameters (</w:t>
      </w:r>
      <m:oMath>
        <m:r>
          <m:t>γ</m:t>
        </m:r>
        <m:r>
          <m:rPr>
            <m:sty m:val="p"/>
          </m:rPr>
          <m:t>,</m:t>
        </m:r>
        <m:r>
          <m:t>δ</m:t>
        </m:r>
      </m:oMath>
      <w:r>
        <w:t xml:space="preserve">) are estimated strictly from the source and target-train sets; these frozen estimates are then applied to the target-test features via linear transformation to ensure zero test-domain leakage during harmonization [7].</w:t>
      </w:r>
    </w:p>
    <w:bookmarkEnd w:id="15"/>
    <w:bookmarkStart w:id="16" w:name="X1970d2871d431228e01fee4dcc2025519e1ac87"/>
    <w:p>
      <w:pPr>
        <w:pStyle w:val="Heading3"/>
      </w:pPr>
      <w:r>
        <w:t xml:space="preserve">3.2 Adaptive BDP-FS: GMM-Anchored Soft Distortion Weighting</w:t>
      </w:r>
    </w:p>
    <w:p>
      <w:pPr>
        <w:pStyle w:val="FirstParagraph"/>
      </w:pPr>
      <w:r>
        <w:t xml:space="preserve">To resolve the biological signal loss inherent in binary hard-thresholding, Adaptive BDP-FS employs a continuous soft-weighting mechanism anchored by a 2-component Gaussian Mixture Model (GMM).</w:t>
      </w:r>
    </w:p>
    <w:p>
      <w:pPr>
        <w:pStyle w:val="BodyText"/>
      </w:pPr>
      <w:r>
        <w:rPr>
          <w:b/>
          <w:bCs/>
        </w:rPr>
        <w:t xml:space="preserve">Definition of Distortion Score (</w:t>
      </w:r>
      <m:oMath>
        <m:sSub>
          <m:e>
            <m:r>
              <m:t>D</m:t>
            </m:r>
          </m:e>
          <m:sub>
            <m:r>
              <m:t>g</m:t>
            </m:r>
          </m:sub>
        </m:sSub>
      </m:oMath>
      <w:r>
        <w:rPr>
          <w:b/>
          <w:bCs/>
        </w:rPr>
        <w:t xml:space="preserve">):</w:t>
      </w:r>
      <w:r>
        <w:t xml:space="preserve"> </w:t>
      </w:r>
      <w:r>
        <w:t xml:space="preserve">The raw distortion score for each gene</w:t>
      </w:r>
      <w:r>
        <w:t xml:space="preserve"> </w:t>
      </w:r>
      <m:oMath>
        <m:r>
          <m:t>g</m:t>
        </m:r>
      </m:oMath>
      <w:r>
        <w:t xml:space="preserve">, denoted as</w:t>
      </w:r>
      <w:r>
        <w:t xml:space="preserve"> </w:t>
      </w:r>
      <m:oMath>
        <m:sSub>
          <m:e>
            <m:r>
              <m:t>D</m:t>
            </m:r>
          </m:e>
          <m:sub>
            <m:r>
              <m:t>g</m:t>
            </m:r>
          </m:sub>
        </m:sSub>
      </m:oMath>
      <w:r>
        <w:t xml:space="preserve">, is defined as the sum of the absolute standardized deviations of the empirical Bayes location (</w:t>
      </w:r>
      <m:oMath>
        <m:r>
          <m:t>γ</m:t>
        </m:r>
      </m:oMath>
      <w:r>
        <w:t xml:space="preserve">) and scale (</w:t>
      </w:r>
      <m:oMath>
        <m:r>
          <m:t>δ</m:t>
        </m:r>
      </m:oMath>
      <w:r>
        <w:t xml:space="preserve">) parameters estimated during ComBat harmonization:</w:t>
      </w:r>
    </w:p>
    <w:p>
      <w:pPr>
        <w:pStyle w:val="BodyText"/>
      </w:pPr>
      <m:oMathPara>
        <m:oMathParaPr>
          <m:jc m:val="center"/>
        </m:oMathParaPr>
        <m:oMath>
          <m:sSub>
            <m:e>
              <m:r>
                <m:t>D</m:t>
              </m:r>
            </m:e>
            <m:sub>
              <m:r>
                <m:t>g</m:t>
              </m:r>
            </m:sub>
          </m:sSub>
          <m:r>
            <m:rPr>
              <m:sty m:val="p"/>
            </m:rPr>
            <m:t>=</m:t>
          </m:r>
          <m:d>
            <m:dPr>
              <m:begChr m:val="|"/>
              <m:sepChr m:val=""/>
              <m:endChr m:val="|"/>
              <m:grow/>
            </m:dPr>
            <m:e>
              <m:f>
                <m:fPr>
                  <m:type m:val="bar"/>
                </m:fPr>
                <m:num>
                  <m:sSub>
                    <m:e>
                      <m:r>
                        <m:t>γ</m:t>
                      </m:r>
                    </m:e>
                    <m:sub>
                      <m:r>
                        <m:t>g</m:t>
                      </m:r>
                    </m:sub>
                  </m:sSub>
                  <m:r>
                    <m:rPr>
                      <m:sty m:val="p"/>
                    </m:rPr>
                    <m:t>−</m:t>
                  </m:r>
                  <m:acc>
                    <m:accPr>
                      <m:chr m:val="‾"/>
                    </m:accPr>
                    <m:e>
                      <m:r>
                        <m:t>γ</m:t>
                      </m:r>
                    </m:e>
                  </m:acc>
                </m:num>
                <m:den>
                  <m:sSub>
                    <m:e>
                      <m:r>
                        <m:t>σ</m:t>
                      </m:r>
                    </m:e>
                    <m:sub>
                      <m:r>
                        <m:t>γ</m:t>
                      </m:r>
                    </m:sub>
                  </m:sSub>
                </m:den>
              </m:f>
            </m:e>
          </m:d>
          <m:r>
            <m:rPr>
              <m:sty m:val="p"/>
            </m:rPr>
            <m:t>+</m:t>
          </m:r>
          <m:d>
            <m:dPr>
              <m:begChr m:val="|"/>
              <m:sepChr m:val=""/>
              <m:endChr m:val="|"/>
              <m:grow/>
            </m:dPr>
            <m:e>
              <m:f>
                <m:fPr>
                  <m:type m:val="bar"/>
                </m:fPr>
                <m:num>
                  <m:sSub>
                    <m:e>
                      <m:r>
                        <m:t>δ</m:t>
                      </m:r>
                    </m:e>
                    <m:sub>
                      <m:r>
                        <m:t>g</m:t>
                      </m:r>
                    </m:sub>
                  </m:sSub>
                  <m:r>
                    <m:rPr>
                      <m:sty m:val="p"/>
                    </m:rPr>
                    <m:t>−</m:t>
                  </m:r>
                  <m:acc>
                    <m:accPr>
                      <m:chr m:val="‾"/>
                    </m:accPr>
                    <m:e>
                      <m:r>
                        <m:t>δ</m:t>
                      </m:r>
                    </m:e>
                  </m:acc>
                </m:num>
                <m:den>
                  <m:sSub>
                    <m:e>
                      <m:r>
                        <m:t>σ</m:t>
                      </m:r>
                    </m:e>
                    <m:sub>
                      <m:r>
                        <m:t>δ</m:t>
                      </m:r>
                    </m:sub>
                  </m:sSub>
                </m:den>
              </m:f>
            </m:e>
          </m:d>
        </m:oMath>
      </m:oMathPara>
    </w:p>
    <w:p>
      <w:pPr>
        <w:pStyle w:val="FirstParagraph"/>
      </w:pPr>
      <w:r>
        <w:t xml:space="preserve">where</w:t>
      </w:r>
      <w:r>
        <w:t xml:space="preserve"> </w:t>
      </w:r>
      <m:oMath>
        <m:acc>
          <m:accPr>
            <m:chr m:val="‾"/>
          </m:accPr>
          <m:e>
            <m:r>
              <m:t>γ</m:t>
            </m:r>
          </m:e>
        </m:acc>
      </m:oMath>
      <w:r>
        <w:t xml:space="preserve"> </w:t>
      </w:r>
      <w:r>
        <w:t xml:space="preserve">and</w:t>
      </w:r>
      <w:r>
        <w:t xml:space="preserve"> </w:t>
      </w:r>
      <m:oMath>
        <m:acc>
          <m:accPr>
            <m:chr m:val="‾"/>
          </m:accPr>
          <m:e>
            <m:r>
              <m:t>δ</m:t>
            </m:r>
          </m:e>
        </m:acc>
      </m:oMath>
      <w:r>
        <w:t xml:space="preserve"> </w:t>
      </w:r>
      <w:r>
        <w:t xml:space="preserve">represent the means, and</w:t>
      </w:r>
      <w:r>
        <w:t xml:space="preserve"> </w:t>
      </w:r>
      <m:oMath>
        <m:sSub>
          <m:e>
            <m:r>
              <m:t>σ</m:t>
            </m:r>
          </m:e>
          <m:sub>
            <m:r>
              <m:t>γ</m:t>
            </m:r>
          </m:sub>
        </m:sSub>
      </m:oMath>
      <w:r>
        <w:t xml:space="preserve"> </w:t>
      </w:r>
      <w:r>
        <w:t xml:space="preserve">and</w:t>
      </w:r>
      <w:r>
        <w:t xml:space="preserve"> </w:t>
      </w:r>
      <m:oMath>
        <m:sSub>
          <m:e>
            <m:r>
              <m:t>σ</m:t>
            </m:r>
          </m:e>
          <m:sub>
            <m:r>
              <m:t>δ</m:t>
            </m:r>
          </m:sub>
        </m:sSub>
      </m:oMath>
      <w:r>
        <w:t xml:space="preserve"> </w:t>
      </w:r>
      <w:r>
        <w:t xml:space="preserve">represent the standard deviations of the respective parameters across all features. For nominated biological targets, an adjusted score</w:t>
      </w:r>
      <w:r>
        <w:t xml:space="preserve"> </w:t>
      </w:r>
      <m:oMath>
        <m:sSubSup>
          <m:e>
            <m:r>
              <m:t>D</m:t>
            </m:r>
          </m:e>
          <m:sub>
            <m:r>
              <m:t>g</m:t>
            </m:r>
          </m:sub>
          <m:sup>
            <m:r>
              <m:t>a</m:t>
            </m:r>
            <m:r>
              <m:t>d</m:t>
            </m:r>
            <m:r>
              <m:t>j</m:t>
            </m:r>
          </m:sup>
        </m:sSubSup>
      </m:oMath>
      <w:r>
        <w:t xml:space="preserve"> </w:t>
      </w:r>
      <w:r>
        <w:t xml:space="preserve">is used, incorporating a prioritization weight to reduce the penalty.</w:t>
      </w:r>
    </w:p>
    <w:p>
      <w:pPr>
        <w:pStyle w:val="Compact"/>
        <w:numPr>
          <w:ilvl w:val="0"/>
          <w:numId w:val="1005"/>
        </w:numPr>
      </w:pPr>
      <w:r>
        <w:rPr>
          <w:b/>
          <w:bCs/>
        </w:rPr>
        <w:t xml:space="preserve">Adaptive Anchor Selection (</w:t>
      </w:r>
      <m:oMath>
        <m:sSub>
          <m:e>
            <m:r>
              <m:t>τ</m:t>
            </m:r>
          </m:e>
          <m:sub>
            <m:r>
              <m:t>0</m:t>
            </m:r>
          </m:sub>
        </m:sSub>
      </m:oMath>
      <w:r>
        <w:rPr>
          <w:b/>
          <w:bCs/>
        </w:rPr>
        <w:t xml:space="preserve">):</w:t>
      </w:r>
      <w:r>
        <w:t xml:space="preserve"> </w:t>
      </w:r>
      <w:r>
        <w:t xml:space="preserve">We fit a GMM to the composite distortion scores</w:t>
      </w:r>
      <w:r>
        <w:t xml:space="preserve"> </w:t>
      </w:r>
      <m:oMath>
        <m:sSubSup>
          <m:e>
            <m:r>
              <m:t>D</m:t>
            </m:r>
          </m:e>
          <m:sub>
            <m:r>
              <m:t>g</m:t>
            </m:r>
          </m:sub>
          <m:sup>
            <m:r>
              <m:t>a</m:t>
            </m:r>
            <m:r>
              <m:t>d</m:t>
            </m:r>
            <m:r>
              <m:t>j</m:t>
            </m:r>
          </m:sup>
        </m:sSubSup>
      </m:oMath>
      <w:r>
        <w:t xml:space="preserve">. We identify the</w:t>
      </w:r>
      <w:r>
        <w:t xml:space="preserve"> </w:t>
      </w:r>
      <w:r>
        <w:t xml:space="preserve">“Native”</w:t>
      </w:r>
      <w:r>
        <w:t xml:space="preserve"> </w:t>
      </w:r>
      <w:r>
        <w:t xml:space="preserve">component (representing genes with baseline inter-platform variance) and set the anchor</w:t>
      </w:r>
      <w:r>
        <w:t xml:space="preserve"> </w:t>
      </w:r>
      <m:oMath>
        <m:sSub>
          <m:e>
            <m:r>
              <m:t>τ</m:t>
            </m:r>
          </m:e>
          <m:sub>
            <m:r>
              <m:t>0</m:t>
            </m:r>
          </m:sub>
        </m:sSub>
      </m:oMath>
      <w:r>
        <w:t xml:space="preserve"> </w:t>
      </w:r>
      <w:r>
        <w:t xml:space="preserve">at the 95th percentile of this distribution:</w:t>
      </w:r>
    </w:p>
    <w:p>
      <w:pPr>
        <w:pStyle w:val="Compact"/>
      </w:pPr>
      <m:oMathPara>
        <m:oMathParaPr>
          <m:jc m:val="center"/>
        </m:oMathParaPr>
        <m:oMath>
          <m:sSub>
            <m:e>
              <m:r>
                <m:t>τ</m:t>
              </m:r>
            </m:e>
            <m:sub>
              <m:r>
                <m:t>0</m:t>
              </m:r>
            </m:sub>
          </m:sSub>
          <m:r>
            <m:rPr>
              <m:sty m:val="p"/>
            </m:rPr>
            <m:t>=</m:t>
          </m:r>
          <m:sSub>
            <m:e>
              <m:r>
                <m:t>μ</m:t>
              </m:r>
            </m:e>
            <m:sub>
              <m:r>
                <m:t>n</m:t>
              </m:r>
              <m:r>
                <m:t>a</m:t>
              </m:r>
              <m:r>
                <m:t>t</m:t>
              </m:r>
              <m:r>
                <m:t>i</m:t>
              </m:r>
              <m:r>
                <m:t>v</m:t>
              </m:r>
              <m:r>
                <m:t>e</m:t>
              </m:r>
            </m:sub>
          </m:sSub>
          <m:r>
            <m:rPr>
              <m:sty m:val="p"/>
            </m:rPr>
            <m:t>+</m:t>
          </m:r>
          <m:r>
            <m:t>1.645</m:t>
          </m:r>
          <m:r>
            <m:rPr>
              <m:sty m:val="p"/>
            </m:rPr>
            <m:t>⋅</m:t>
          </m:r>
          <m:sSub>
            <m:e>
              <m:r>
                <m:t>σ</m:t>
              </m:r>
            </m:e>
            <m:sub>
              <m:r>
                <m:t>n</m:t>
              </m:r>
              <m:r>
                <m:t>a</m:t>
              </m:r>
              <m:r>
                <m:t>t</m:t>
              </m:r>
              <m:r>
                <m:t>i</m:t>
              </m:r>
              <m:r>
                <m:t>v</m:t>
              </m:r>
              <m:r>
                <m:t>e</m:t>
              </m:r>
            </m:sub>
          </m:sSub>
        </m:oMath>
      </m:oMathPara>
    </w:p>
    <w:p>
      <w:pPr>
        <w:pStyle w:val="Compact"/>
        <w:numPr>
          <w:ilvl w:val="0"/>
          <w:numId w:val="1005"/>
        </w:numPr>
      </w:pPr>
      <w:r>
        <w:rPr>
          <w:b/>
          <w:bCs/>
        </w:rPr>
        <w:t xml:space="preserve">Continuous Exponential Decay (</w:t>
      </w:r>
      <m:oMath>
        <m:sSub>
          <m:e>
            <m:r>
              <m:t>w</m:t>
            </m:r>
          </m:e>
          <m:sub>
            <m:r>
              <m:t>g</m:t>
            </m:r>
          </m:sub>
        </m:sSub>
      </m:oMath>
      <w:r>
        <w:rPr>
          <w:b/>
          <w:bCs/>
        </w:rPr>
        <w:t xml:space="preserve">):</w:t>
      </w:r>
      <w:r>
        <w:t xml:space="preserve"> </w:t>
      </w:r>
      <w:r>
        <w:t xml:space="preserve">For each gene, we compute a distortion weight</w:t>
      </w:r>
      <w:r>
        <w:t xml:space="preserve"> </w:t>
      </w:r>
      <m:oMath>
        <m:sSub>
          <m:e>
            <m:r>
              <m:t>w</m:t>
            </m:r>
          </m:e>
          <m:sub>
            <m:r>
              <m:t>g</m:t>
            </m:r>
          </m:sub>
        </m:sSub>
      </m:oMath>
      <w:r>
        <w:t xml:space="preserve"> </w:t>
      </w:r>
      <w:r>
        <w:t xml:space="preserve">based on its distance from the anchor:</w:t>
      </w:r>
    </w:p>
    <w:p>
      <w:pPr>
        <w:pStyle w:val="Compact"/>
      </w:pPr>
      <m:oMathPara>
        <m:oMathParaPr>
          <m:jc m:val="center"/>
        </m:oMathParaPr>
        <m:oMath>
          <m:sSub>
            <m:e>
              <m:r>
                <m:t>w</m:t>
              </m:r>
            </m:e>
            <m:sub>
              <m:r>
                <m:t>g</m:t>
              </m:r>
            </m:sub>
          </m:sSub>
          <m:r>
            <m:rPr>
              <m:sty m:val="p"/>
            </m:rPr>
            <m:t>=</m:t>
          </m:r>
          <m:r>
            <m:rPr>
              <m:sty m:val="p"/>
            </m:rPr>
            <m:t>exp</m:t>
          </m:r>
          <m:d>
            <m:dPr>
              <m:begChr m:val="("/>
              <m:sepChr m:val=""/>
              <m:endChr m:val=")"/>
              <m:grow/>
            </m:dPr>
            <m:e>
              <m:r>
                <m:rPr>
                  <m:sty m:val="p"/>
                </m:rPr>
                <m:t>−</m:t>
              </m:r>
              <m:r>
                <m:t>α</m:t>
              </m:r>
              <m:r>
                <m:rPr>
                  <m:sty m:val="p"/>
                </m:rPr>
                <m:t>⋅</m:t>
              </m:r>
              <m:r>
                <m:rPr>
                  <m:sty m:val="p"/>
                </m:rPr>
                <m:t>max</m:t>
              </m:r>
              <m:r>
                <m:rPr>
                  <m:sty m:val="p"/>
                </m:rPr>
                <m:t>(</m:t>
              </m:r>
              <m:r>
                <m:t>0</m:t>
              </m:r>
              <m:r>
                <m:rPr>
                  <m:sty m:val="p"/>
                </m:rPr>
                <m:t>,</m:t>
              </m:r>
              <m:sSubSup>
                <m:e>
                  <m:r>
                    <m:t>D</m:t>
                  </m:r>
                </m:e>
                <m:sub>
                  <m:r>
                    <m:t>g</m:t>
                  </m:r>
                </m:sub>
                <m:sup>
                  <m:r>
                    <m:t>a</m:t>
                  </m:r>
                  <m:r>
                    <m:t>d</m:t>
                  </m:r>
                  <m:r>
                    <m:t>j</m:t>
                  </m:r>
                </m:sup>
              </m:sSubSup>
              <m:r>
                <m:rPr>
                  <m:sty m:val="p"/>
                </m:rPr>
                <m:t>−</m:t>
              </m:r>
              <m:sSub>
                <m:e>
                  <m:r>
                    <m:t>τ</m:t>
                  </m:r>
                </m:e>
                <m:sub>
                  <m:r>
                    <m:t>0</m:t>
                  </m:r>
                </m:sub>
              </m:sSub>
              <m:r>
                <m:rPr>
                  <m:sty m:val="p"/>
                </m:rPr>
                <m:t>)</m:t>
              </m:r>
            </m:e>
          </m:d>
        </m:oMath>
      </m:oMathPara>
    </w:p>
    <w:p>
      <w:pPr>
        <w:pStyle w:val="Compact"/>
        <w:numPr>
          <w:ilvl w:val="0"/>
          <w:numId w:val="1000"/>
        </w:numPr>
      </w:pPr>
      <w:r>
        <w:t xml:space="preserve">where</w:t>
      </w:r>
      <w:r>
        <w:t xml:space="preserve"> </w:t>
      </w:r>
      <m:oMath>
        <m:r>
          <m:t>α</m:t>
        </m:r>
        <m:r>
          <m:rPr>
            <m:sty m:val="p"/>
          </m:rPr>
          <m:t>=</m:t>
        </m:r>
        <m:r>
          <m:t>1.0</m:t>
        </m:r>
      </m:oMath>
      <w:r>
        <w:t xml:space="preserve"> </w:t>
      </w:r>
      <w:r>
        <w:t xml:space="preserve">serves as the regularization hyperparameter. This ensures that features below the safety threshold retain full weight (</w:t>
      </w:r>
      <m:oMath>
        <m:sSub>
          <m:e>
            <m:r>
              <m:t>w</m:t>
            </m:r>
          </m:e>
          <m:sub>
            <m:r>
              <m:t>g</m:t>
            </m:r>
          </m:sub>
        </m:sSub>
        <m:r>
          <m:rPr>
            <m:sty m:val="p"/>
          </m:rPr>
          <m:t>=</m:t>
        </m:r>
        <m:r>
          <m:t>1</m:t>
        </m:r>
      </m:oMath>
      <w:r>
        <w:t xml:space="preserve">), while those exceeding it are exponentially suppressed rather than eliminated.</w:t>
      </w:r>
    </w:p>
    <w:p>
      <w:pPr>
        <w:pStyle w:val="Compact"/>
        <w:numPr>
          <w:ilvl w:val="0"/>
          <w:numId w:val="1005"/>
        </w:numPr>
      </w:pPr>
      <w:r>
        <w:rPr>
          <w:b/>
          <w:bCs/>
        </w:rPr>
        <w:t xml:space="preserve">Adjusted Feature Ranking:</w:t>
      </w:r>
      <w:r>
        <w:t xml:space="preserve"> </w:t>
      </w:r>
      <w:r>
        <w:t xml:space="preserve">The final feature selection ranking is determined by a composite score:</w:t>
      </w:r>
    </w:p>
    <w:p>
      <w:pPr>
        <w:pStyle w:val="Compact"/>
      </w:pPr>
      <m:oMathPara>
        <m:oMathParaPr>
          <m:jc m:val="center"/>
        </m:oMathParaPr>
        <m:oMath>
          <m:sSub>
            <m:e>
              <m:r>
                <m:rPr>
                  <m:nor/>
                  <m:sty m:val="p"/>
                </m:rPr>
                <m:t>Score</m:t>
              </m:r>
            </m:e>
            <m:sub>
              <m:r>
                <m:t>g</m:t>
              </m:r>
            </m:sub>
          </m:sSub>
          <m:r>
            <m:rPr>
              <m:sty m:val="p"/>
            </m:rPr>
            <m:t>=</m:t>
          </m:r>
          <m:r>
            <m:rPr>
              <m:sty m:val="p"/>
            </m:rPr>
            <m:t>|</m:t>
          </m:r>
          <m:sSub>
            <m:e>
              <m:r>
                <m:t>t</m:t>
              </m:r>
            </m:e>
            <m:sub>
              <m:r>
                <m:t>g</m:t>
              </m:r>
            </m:sub>
          </m:sSub>
          <m:r>
            <m:rPr>
              <m:sty m:val="p"/>
            </m:rPr>
            <m:t>|</m:t>
          </m:r>
          <m:r>
            <m:rPr>
              <m:sty m:val="p"/>
            </m:rPr>
            <m:t>⋅</m:t>
          </m:r>
          <m:sSub>
            <m:e>
              <m:r>
                <m:t>w</m:t>
              </m:r>
            </m:e>
            <m:sub>
              <m:r>
                <m:t>g</m:t>
              </m:r>
            </m:sub>
          </m:sSub>
        </m:oMath>
      </m:oMathPara>
    </w:p>
    <w:p>
      <w:pPr>
        <w:pStyle w:val="Compact"/>
        <w:numPr>
          <w:ilvl w:val="0"/>
          <w:numId w:val="1000"/>
        </w:numPr>
      </w:pPr>
      <w:r>
        <w:t xml:space="preserve">This formulation ensures that features with high biological signal-to-noise ratios (characterized by high</w:t>
      </w:r>
      <w:r>
        <w:t xml:space="preserve"> </w:t>
      </w:r>
      <m:oMath>
        <m:r>
          <m:rPr>
            <m:sty m:val="p"/>
          </m:rPr>
          <m:t>|</m:t>
        </m:r>
        <m:sSub>
          <m:e>
            <m:r>
              <m:t>t</m:t>
            </m:r>
          </m:e>
          <m:sub>
            <m:r>
              <m:t>g</m:t>
            </m:r>
          </m:sub>
        </m:sSub>
        <m:r>
          <m:rPr>
            <m:sty m:val="p"/>
          </m:rPr>
          <m:t>|</m:t>
        </m:r>
      </m:oMath>
      <w:r>
        <w:t xml:space="preserve"> </w:t>
      </w:r>
      <w:r>
        <w:t xml:space="preserve">despite technical penalties) are prioritized, thereby stabilizing model generalizability across heterogeneous data sources.</w:t>
      </w:r>
    </w:p>
    <w:bookmarkEnd w:id="16"/>
    <w:bookmarkStart w:id="17" w:name="X6b00e203bc2340532bdff92224e223c33b756e2"/>
    <w:p>
      <w:pPr>
        <w:pStyle w:val="Heading3"/>
      </w:pPr>
      <w:r>
        <w:t xml:space="preserve">3.3 Evaluation Baseline and Statistical Power</w:t>
      </w:r>
    </w:p>
    <w:p>
      <w:pPr>
        <w:pStyle w:val="FirstParagraph"/>
      </w:pPr>
      <w:r>
        <w:t xml:space="preserve">Standard cross-cohort evaluation pipelines rely on transductive harmonization (e.g., empirical Bayes via ComBat) prior to feature selection. However, this ignores the degree of technical distortion required to align highly variant features. BDP-FS provides the necessary regularization to stabilize these pipelines.</w:t>
      </w:r>
    </w:p>
    <w:bookmarkEnd w:id="17"/>
    <w:bookmarkStart w:id="18" w:name="null-calibration"/>
    <w:p>
      <w:pPr>
        <w:pStyle w:val="Heading3"/>
      </w:pPr>
      <w:r>
        <w:t xml:space="preserve">3.3 Null Calibration</w:t>
      </w:r>
    </w:p>
    <w:p>
      <w:pPr>
        <w:pStyle w:val="FirstParagraph"/>
      </w:pPr>
      <w:r>
        <w:t xml:space="preserve">Permutation-null distributions are computed via 1,000 label permutations of the target-train set. This increases the statistical power and ensures the robustness of the AUROC exceedance probabilities in high-dimensional feature spaces.</w:t>
      </w:r>
    </w:p>
    <w:bookmarkEnd w:id="18"/>
    <w:bookmarkEnd w:id="19"/>
    <w:bookmarkStart w:id="26" w:name="results"/>
    <w:p>
      <w:pPr>
        <w:pStyle w:val="Heading2"/>
      </w:pPr>
      <w:r>
        <w:t xml:space="preserve">4. Results</w:t>
      </w:r>
    </w:p>
    <w:bookmarkStart w:id="20" w:name="X9111e4977e00616781900a33f05016d655f6def"/>
    <w:p>
      <w:pPr>
        <w:pStyle w:val="Heading3"/>
      </w:pPr>
      <w:r>
        <w:t xml:space="preserve">4.1 Primary Evaluation: Static BDP-FS</w:t>
      </w:r>
      <w:r>
        <w:t xml:space="preserve"> </w:t>
      </w:r>
      <m:oMath>
        <m:r>
          <m:t>τ</m:t>
        </m:r>
      </m:oMath>
      <w:r>
        <w:t xml:space="preserve"> </w:t>
      </w:r>
      <w:r>
        <w:t xml:space="preserve">Sweep on Large Cohorts</w:t>
      </w:r>
    </w:p>
    <w:p>
      <w:pPr>
        <w:pStyle w:val="FirstParagraph"/>
      </w:pPr>
      <w:r>
        <w:rPr>
          <w:b/>
          <w:bCs/>
        </w:rPr>
        <w:t xml:space="preserve">Direction: GSE63061</w:t>
      </w:r>
      <w:r>
        <w:rPr>
          <w:b/>
          <w:bCs/>
        </w:rPr>
        <w:t xml:space="preserve"> </w:t>
      </w:r>
      <m:oMath>
        <m:r>
          <m:rPr>
            <m:sty m:val="p"/>
          </m:rPr>
          <m:t>→</m:t>
        </m:r>
      </m:oMath>
      <w:r>
        <w:rPr>
          <w:b/>
          <w:bCs/>
        </w:rPr>
        <w:t xml:space="preserve"> </w:t>
      </w:r>
      <w:r>
        <w:rPr>
          <w:b/>
          <w:bCs/>
        </w:rPr>
        <w:t xml:space="preserve">GSE63060</w:t>
      </w:r>
      <w:r>
        <w:t xml:space="preserve"> </w:t>
      </w:r>
      <w:r>
        <w:t xml:space="preserve">(</w:t>
      </w:r>
      <m:oMath>
        <m:sSub>
          <m:e>
            <m:r>
              <m:t>N</m:t>
            </m:r>
          </m:e>
          <m:sub>
            <m:r>
              <m:t>t</m:t>
            </m:r>
            <m:r>
              <m:t>e</m:t>
            </m:r>
            <m:r>
              <m:t>s</m:t>
            </m:r>
            <m:r>
              <m:t>t</m:t>
            </m:r>
          </m:sub>
        </m:sSub>
        <m:r>
          <m:rPr>
            <m:sty m:val="p"/>
          </m:rPr>
          <m:t>=</m:t>
        </m:r>
        <m:r>
          <m:t>75</m:t>
        </m:r>
      </m:oMath>
      <w:r>
        <w:t xml:space="preserve">)</w:t>
      </w:r>
    </w:p>
    <w:tbl>
      <w:tblPr>
        <w:tblStyle w:val="Table"/>
        <w:tblW w:type="pct" w:w="5000"/>
        <w:tblLayout w:type="fixed"/>
        <w:tblLook w:firstRow="1" w:lastRow="0" w:firstColumn="0" w:lastColumn="0" w:noHBand="0" w:noVBand="0" w:val="0020"/>
      </w:tblPr>
      <w:tblGrid>
        <w:gridCol w:w="3053"/>
        <w:gridCol w:w="1335"/>
        <w:gridCol w:w="763"/>
        <w:gridCol w:w="858"/>
        <w:gridCol w:w="1908"/>
      </w:tblGrid>
      <w:tr>
        <w:trPr>
          <w:tblHeader w:val="on"/>
        </w:trPr>
        <w:tc>
          <w:tcPr/>
          <w:p>
            <w:pPr>
              <w:pStyle w:val="Compact"/>
            </w:pPr>
            <w:r>
              <w:t xml:space="preserve">Feature Mode</w:t>
            </w:r>
          </w:p>
        </w:tc>
        <w:tc>
          <w:tcPr/>
          <w:p>
            <w:pPr>
              <w:pStyle w:val="Compact"/>
              <w:jc w:val="right"/>
            </w:pPr>
            <m:oMath>
              <m:r>
                <m:t>τ</m:t>
              </m:r>
            </m:oMath>
          </w:p>
        </w:tc>
        <w:tc>
          <w:tcPr/>
          <w:p>
            <w:pPr>
              <w:pStyle w:val="Compact"/>
              <w:jc w:val="right"/>
            </w:pPr>
            <w:r>
              <w:t xml:space="preserve">Genes</w:t>
            </w:r>
          </w:p>
        </w:tc>
        <w:tc>
          <w:tcPr/>
          <w:p>
            <w:pPr>
              <w:pStyle w:val="Compact"/>
              <w:jc w:val="right"/>
            </w:pPr>
            <w:r>
              <w:t xml:space="preserve">AUROC</w:t>
            </w:r>
          </w:p>
        </w:tc>
        <w:tc>
          <w:tcPr/>
          <w:p>
            <w:pPr>
              <w:pStyle w:val="Compact"/>
              <w:jc w:val="right"/>
            </w:pPr>
            <m:oMath>
              <m:r>
                <m:rPr>
                  <m:sty m:val="p"/>
                </m:rPr>
                <m:t>Δ</m:t>
              </m:r>
            </m:oMath>
            <w:r>
              <w:t xml:space="preserve"> </w:t>
            </w:r>
            <w:r>
              <w:t xml:space="preserve">vs Baseline</w:t>
            </w:r>
          </w:p>
        </w:tc>
      </w:tr>
      <w:tr>
        <w:tc>
          <w:tcPr/>
          <w:p>
            <w:pPr>
              <w:pStyle w:val="Compact"/>
            </w:pPr>
            <w:r>
              <w:rPr>
                <w:rStyle w:val="VerbatimChar"/>
              </w:rPr>
              <w:t xml:space="preserve">de_ttest</w:t>
            </w:r>
            <w:r>
              <w:t xml:space="preserve"> </w:t>
            </w:r>
            <w:r>
              <w:t xml:space="preserve">(Baseline)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0.878</w:t>
            </w:r>
          </w:p>
        </w:tc>
        <w:tc>
          <w:tcPr/>
          <w:p>
            <w:pPr>
              <w:pStyle w:val="Compact"/>
              <w:jc w:val="right"/>
            </w:pPr>
            <w:r>
              <w:t xml:space="preserve">—</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0.90</w:t>
            </w:r>
          </w:p>
        </w:tc>
        <w:tc>
          <w:tcPr/>
          <w:p>
            <w:pPr>
              <w:pStyle w:val="Compact"/>
              <w:jc w:val="right"/>
            </w:pPr>
            <w:r>
              <w:t xml:space="preserve">1000</w:t>
            </w:r>
          </w:p>
        </w:tc>
        <w:tc>
          <w:tcPr/>
          <w:p>
            <w:pPr>
              <w:pStyle w:val="Compact"/>
              <w:jc w:val="right"/>
            </w:pPr>
            <w:r>
              <w:t xml:space="preserve">0.879</w:t>
            </w:r>
          </w:p>
        </w:tc>
        <w:tc>
          <w:tcPr/>
          <w:p>
            <w:pPr>
              <w:pStyle w:val="Compact"/>
              <w:jc w:val="right"/>
            </w:pPr>
            <w:r>
              <w:t xml:space="preserve">+0.001</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0.85</w:t>
            </w:r>
          </w:p>
        </w:tc>
        <w:tc>
          <w:tcPr/>
          <w:p>
            <w:pPr>
              <w:pStyle w:val="Compact"/>
              <w:jc w:val="right"/>
            </w:pPr>
            <w:r>
              <w:t xml:space="preserve">1000</w:t>
            </w:r>
          </w:p>
        </w:tc>
        <w:tc>
          <w:tcPr/>
          <w:p>
            <w:pPr>
              <w:pStyle w:val="Compact"/>
              <w:jc w:val="right"/>
            </w:pPr>
            <w:r>
              <w:t xml:space="preserve">0.884</w:t>
            </w:r>
          </w:p>
        </w:tc>
        <w:tc>
          <w:tcPr/>
          <w:p>
            <w:pPr>
              <w:pStyle w:val="Compact"/>
              <w:jc w:val="right"/>
            </w:pPr>
            <w:r>
              <w:t xml:space="preserve">+0.006</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0.80</w:t>
            </w:r>
          </w:p>
        </w:tc>
        <w:tc>
          <w:tcPr/>
          <w:p>
            <w:pPr>
              <w:pStyle w:val="Compact"/>
              <w:jc w:val="right"/>
            </w:pPr>
            <w:r>
              <w:t xml:space="preserve">1000</w:t>
            </w:r>
          </w:p>
        </w:tc>
        <w:tc>
          <w:tcPr/>
          <w:p>
            <w:pPr>
              <w:pStyle w:val="Compact"/>
              <w:jc w:val="right"/>
            </w:pPr>
            <w:r>
              <w:t xml:space="preserve">0.889</w:t>
            </w:r>
          </w:p>
        </w:tc>
        <w:tc>
          <w:tcPr/>
          <w:p>
            <w:pPr>
              <w:pStyle w:val="Compact"/>
              <w:jc w:val="right"/>
            </w:pPr>
            <w:r>
              <w:t xml:space="preserve">+0.011</w:t>
            </w:r>
          </w:p>
        </w:tc>
      </w:tr>
      <w:tr>
        <w:tc>
          <w:tcPr/>
          <w:p>
            <w:pPr>
              <w:pStyle w:val="Compact"/>
            </w:pPr>
            <w:r>
              <w:rPr>
                <w:rStyle w:val="VerbatimChar"/>
              </w:rPr>
              <w:t xml:space="preserve">de_batch_robust</w:t>
            </w:r>
            <w:r>
              <w:t xml:space="preserve"> </w:t>
            </w:r>
            <w:r>
              <w:t xml:space="preserve">(Static)</w:t>
            </w:r>
          </w:p>
        </w:tc>
        <w:tc>
          <w:tcPr/>
          <w:p>
            <w:pPr>
              <w:pStyle w:val="Compact"/>
              <w:jc w:val="right"/>
            </w:pPr>
            <w:r>
              <w:rPr>
                <w:b/>
                <w:bCs/>
              </w:rPr>
              <w:t xml:space="preserve">0.75</w:t>
            </w:r>
          </w:p>
        </w:tc>
        <w:tc>
          <w:tcPr/>
          <w:p>
            <w:pPr>
              <w:pStyle w:val="Compact"/>
              <w:jc w:val="right"/>
            </w:pPr>
            <w:r>
              <w:t xml:space="preserve">1000</w:t>
            </w:r>
          </w:p>
        </w:tc>
        <w:tc>
          <w:tcPr/>
          <w:p>
            <w:pPr>
              <w:pStyle w:val="Compact"/>
              <w:jc w:val="right"/>
            </w:pPr>
            <w:r>
              <w:rPr>
                <w:b/>
                <w:bCs/>
              </w:rPr>
              <w:t xml:space="preserve">0.899</w:t>
            </w:r>
          </w:p>
        </w:tc>
        <w:tc>
          <w:tcPr/>
          <w:p>
            <w:pPr>
              <w:pStyle w:val="Compact"/>
              <w:jc w:val="right"/>
            </w:pPr>
            <w:r>
              <w:rPr>
                <w:b/>
                <w:bCs/>
              </w:rPr>
              <w:t xml:space="preserve">+0.021</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0.60</w:t>
            </w:r>
          </w:p>
        </w:tc>
        <w:tc>
          <w:tcPr/>
          <w:p>
            <w:pPr>
              <w:pStyle w:val="Compact"/>
              <w:jc w:val="right"/>
            </w:pPr>
            <w:r>
              <w:t xml:space="preserve">1000</w:t>
            </w:r>
          </w:p>
        </w:tc>
        <w:tc>
          <w:tcPr/>
          <w:p>
            <w:pPr>
              <w:pStyle w:val="Compact"/>
              <w:jc w:val="right"/>
            </w:pPr>
            <w:r>
              <w:t xml:space="preserve">0.908*</w:t>
            </w:r>
          </w:p>
        </w:tc>
        <w:tc>
          <w:tcPr/>
          <w:p>
            <w:pPr>
              <w:pStyle w:val="Compact"/>
              <w:jc w:val="right"/>
            </w:pPr>
            <w:r>
              <w:t xml:space="preserve">+0.030</w:t>
            </w:r>
          </w:p>
        </w:tc>
      </w:tr>
      <w:tr>
        <w:tc>
          <w:tcPr/>
          <w:p>
            <w:pPr>
              <w:pStyle w:val="Compact"/>
            </w:pPr>
            <w:r>
              <w:rPr>
                <w:rStyle w:val="VerbatimChar"/>
                <w:b/>
                <w:bCs/>
              </w:rPr>
              <w:t xml:space="preserve">de_batch_robust</w:t>
            </w:r>
            <w:r>
              <w:rPr>
                <w:b/>
                <w:bCs/>
              </w:rPr>
              <w:t xml:space="preserve"> </w:t>
            </w:r>
            <w:r>
              <w:rPr>
                <w:b/>
                <w:bCs/>
              </w:rPr>
              <w:t xml:space="preserve">(Adaptive)</w:t>
            </w:r>
          </w:p>
        </w:tc>
        <w:tc>
          <w:tcPr/>
          <w:p>
            <w:pPr>
              <w:pStyle w:val="Compact"/>
              <w:jc w:val="right"/>
            </w:pPr>
            <w:r>
              <w:rPr>
                <w:b/>
                <w:bCs/>
              </w:rPr>
              <w:t xml:space="preserve">(GMM-Soft)</w:t>
            </w:r>
          </w:p>
        </w:tc>
        <w:tc>
          <w:tcPr/>
          <w:p>
            <w:pPr>
              <w:pStyle w:val="Compact"/>
              <w:jc w:val="right"/>
            </w:pPr>
            <w:r>
              <w:rPr>
                <w:b/>
                <w:bCs/>
              </w:rPr>
              <w:t xml:space="preserve">1000</w:t>
            </w:r>
          </w:p>
        </w:tc>
        <w:tc>
          <w:tcPr/>
          <w:p>
            <w:pPr>
              <w:pStyle w:val="Compact"/>
              <w:jc w:val="right"/>
            </w:pPr>
            <w:r>
              <w:rPr>
                <w:b/>
                <w:bCs/>
              </w:rPr>
              <w:t xml:space="preserve">0.880</w:t>
            </w:r>
          </w:p>
        </w:tc>
        <w:tc>
          <w:tcPr/>
          <w:p>
            <w:pPr>
              <w:pStyle w:val="Compact"/>
              <w:jc w:val="right"/>
            </w:pPr>
            <w:r>
              <w:rPr>
                <w:b/>
                <w:bCs/>
              </w:rPr>
              <w:t xml:space="preserve">+0.002</w:t>
            </w:r>
          </w:p>
        </w:tc>
      </w:tr>
    </w:tbl>
    <w:p>
      <w:pPr>
        <w:pStyle w:val="BodyText"/>
      </w:pPr>
      <w:r>
        <w:rPr>
          <w:i/>
          <w:iCs/>
        </w:rPr>
        <w:t xml:space="preserve">*Note: The peak AUROC of 0.908 observed at</w:t>
      </w:r>
      <w:r>
        <w:rPr>
          <w:i/>
          <w:iCs/>
        </w:rPr>
        <w:t xml:space="preserve"> </w:t>
      </w:r>
      <m:oMath>
        <m:r>
          <m:t>τ</m:t>
        </m:r>
        <m:r>
          <m:rPr>
            <m:sty m:val="p"/>
          </m:rPr>
          <m:t>=</m:t>
        </m:r>
        <m:r>
          <m:t>0.60</m:t>
        </m:r>
      </m:oMath>
      <w:r>
        <w:rPr>
          <w:i/>
          <w:iCs/>
        </w:rPr>
        <w:t xml:space="preserve"> </w:t>
      </w:r>
      <w:r>
        <w:rPr>
          <w:i/>
          <w:iCs/>
        </w:rPr>
        <w:t xml:space="preserve">in the static sweep represents a post-hoc optimization on the test set. In contrast, the Adaptive (GMM-Soft) result of 0.880 represents a fully unsupervised estimate of generalizability, achieved without prior knowledge of the optimal distortion threshold.</w:t>
      </w:r>
    </w:p>
    <w:p>
      <w:pPr>
        <w:pStyle w:val="BodyText"/>
      </w:pPr>
      <w:r>
        <w:rPr>
          <w:b/>
          <w:bCs/>
        </w:rPr>
        <w:t xml:space="preserve">Direction: GSE63060</w:t>
      </w:r>
      <w:r>
        <w:rPr>
          <w:b/>
          <w:bCs/>
        </w:rPr>
        <w:t xml:space="preserve"> </w:t>
      </w:r>
      <m:oMath>
        <m:r>
          <m:rPr>
            <m:sty m:val="p"/>
          </m:rPr>
          <m:t>→</m:t>
        </m:r>
      </m:oMath>
      <w:r>
        <w:rPr>
          <w:b/>
          <w:bCs/>
        </w:rPr>
        <w:t xml:space="preserve"> </w:t>
      </w:r>
      <w:r>
        <w:rPr>
          <w:b/>
          <w:bCs/>
        </w:rPr>
        <w:t xml:space="preserve">GSE63061</w:t>
      </w:r>
      <w:r>
        <w:t xml:space="preserve"> </w:t>
      </w:r>
      <w:r>
        <w:t xml:space="preserve">(</w:t>
      </w:r>
      <m:oMath>
        <m:sSub>
          <m:e>
            <m:r>
              <m:t>N</m:t>
            </m:r>
          </m:e>
          <m:sub>
            <m:r>
              <m:t>t</m:t>
            </m:r>
            <m:r>
              <m:t>e</m:t>
            </m:r>
            <m:r>
              <m:t>s</m:t>
            </m:r>
            <m:r>
              <m:t>t</m:t>
            </m:r>
          </m:sub>
        </m:sSub>
        <m:r>
          <m:rPr>
            <m:sty m:val="p"/>
          </m:rPr>
          <m:t>=</m:t>
        </m:r>
        <m:r>
          <m:t>72</m:t>
        </m:r>
      </m:oMath>
      <w:r>
        <w:t xml:space="preserve">)</w:t>
      </w:r>
    </w:p>
    <w:tbl>
      <w:tblPr>
        <w:tblStyle w:val="Table"/>
        <w:tblW w:type="pct" w:w="5000"/>
        <w:tblLayout w:type="fixed"/>
        <w:tblLook w:firstRow="1" w:lastRow="0" w:firstColumn="0" w:lastColumn="0" w:noHBand="0" w:noVBand="0" w:val="0020"/>
      </w:tblPr>
      <w:tblGrid>
        <w:gridCol w:w="3053"/>
        <w:gridCol w:w="1335"/>
        <w:gridCol w:w="763"/>
        <w:gridCol w:w="858"/>
        <w:gridCol w:w="1908"/>
      </w:tblGrid>
      <w:tr>
        <w:trPr>
          <w:tblHeader w:val="on"/>
        </w:trPr>
        <w:tc>
          <w:tcPr/>
          <w:p>
            <w:pPr>
              <w:pStyle w:val="Compact"/>
            </w:pPr>
            <w:r>
              <w:t xml:space="preserve">Feature Mode</w:t>
            </w:r>
          </w:p>
        </w:tc>
        <w:tc>
          <w:tcPr/>
          <w:p>
            <w:pPr>
              <w:pStyle w:val="Compact"/>
              <w:jc w:val="right"/>
            </w:pPr>
            <m:oMath>
              <m:r>
                <m:t>τ</m:t>
              </m:r>
            </m:oMath>
          </w:p>
        </w:tc>
        <w:tc>
          <w:tcPr/>
          <w:p>
            <w:pPr>
              <w:pStyle w:val="Compact"/>
              <w:jc w:val="right"/>
            </w:pPr>
            <w:r>
              <w:t xml:space="preserve">Genes</w:t>
            </w:r>
          </w:p>
        </w:tc>
        <w:tc>
          <w:tcPr/>
          <w:p>
            <w:pPr>
              <w:pStyle w:val="Compact"/>
              <w:jc w:val="right"/>
            </w:pPr>
            <w:r>
              <w:t xml:space="preserve">AUROC</w:t>
            </w:r>
          </w:p>
        </w:tc>
        <w:tc>
          <w:tcPr/>
          <w:p>
            <w:pPr>
              <w:pStyle w:val="Compact"/>
              <w:jc w:val="right"/>
            </w:pPr>
            <m:oMath>
              <m:r>
                <m:rPr>
                  <m:sty m:val="p"/>
                </m:rPr>
                <m:t>Δ</m:t>
              </m:r>
            </m:oMath>
            <w:r>
              <w:t xml:space="preserve"> </w:t>
            </w:r>
            <w:r>
              <w:t xml:space="preserve">vs Baseline</w:t>
            </w:r>
          </w:p>
        </w:tc>
      </w:tr>
      <w:tr>
        <w:tc>
          <w:tcPr/>
          <w:p>
            <w:pPr>
              <w:pStyle w:val="Compact"/>
            </w:pPr>
            <w:r>
              <w:rPr>
                <w:rStyle w:val="VerbatimChar"/>
              </w:rPr>
              <w:t xml:space="preserve">de_ttest</w:t>
            </w:r>
            <w:r>
              <w:t xml:space="preserve"> </w:t>
            </w:r>
            <w:r>
              <w:t xml:space="preserve">(Baseline)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0.705</w:t>
            </w:r>
          </w:p>
        </w:tc>
        <w:tc>
          <w:tcPr/>
          <w:p>
            <w:pPr>
              <w:pStyle w:val="Compact"/>
              <w:jc w:val="right"/>
            </w:pPr>
            <w:r>
              <w:t xml:space="preserve">—</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0.80</w:t>
            </w:r>
          </w:p>
        </w:tc>
        <w:tc>
          <w:tcPr/>
          <w:p>
            <w:pPr>
              <w:pStyle w:val="Compact"/>
              <w:jc w:val="right"/>
            </w:pPr>
            <w:r>
              <w:t xml:space="preserve">1000</w:t>
            </w:r>
          </w:p>
        </w:tc>
        <w:tc>
          <w:tcPr/>
          <w:p>
            <w:pPr>
              <w:pStyle w:val="Compact"/>
              <w:jc w:val="right"/>
            </w:pPr>
            <w:r>
              <w:t xml:space="preserve">0.709</w:t>
            </w:r>
          </w:p>
        </w:tc>
        <w:tc>
          <w:tcPr/>
          <w:p>
            <w:pPr>
              <w:pStyle w:val="Compact"/>
              <w:jc w:val="right"/>
            </w:pPr>
            <w:r>
              <w:t xml:space="preserve">+0.004</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0.70</w:t>
            </w:r>
          </w:p>
        </w:tc>
        <w:tc>
          <w:tcPr/>
          <w:p>
            <w:pPr>
              <w:pStyle w:val="Compact"/>
              <w:jc w:val="right"/>
            </w:pPr>
            <w:r>
              <w:t xml:space="preserve">1000</w:t>
            </w:r>
          </w:p>
        </w:tc>
        <w:tc>
          <w:tcPr/>
          <w:p>
            <w:pPr>
              <w:pStyle w:val="Compact"/>
              <w:jc w:val="right"/>
            </w:pPr>
            <w:r>
              <w:t xml:space="preserve">0.759</w:t>
            </w:r>
          </w:p>
        </w:tc>
        <w:tc>
          <w:tcPr/>
          <w:p>
            <w:pPr>
              <w:pStyle w:val="Compact"/>
              <w:jc w:val="right"/>
            </w:pPr>
            <w:r>
              <w:t xml:space="preserve">+0.054</w:t>
            </w:r>
          </w:p>
        </w:tc>
      </w:tr>
      <w:tr>
        <w:tc>
          <w:tcPr/>
          <w:p>
            <w:pPr>
              <w:pStyle w:val="Compact"/>
            </w:pPr>
            <w:r>
              <w:rPr>
                <w:rStyle w:val="VerbatimChar"/>
              </w:rPr>
              <w:t xml:space="preserve">de_batch_robust</w:t>
            </w:r>
            <w:r>
              <w:t xml:space="preserve"> </w:t>
            </w:r>
            <w:r>
              <w:t xml:space="preserve">(Static)</w:t>
            </w:r>
          </w:p>
        </w:tc>
        <w:tc>
          <w:tcPr/>
          <w:p>
            <w:pPr>
              <w:pStyle w:val="Compact"/>
              <w:jc w:val="right"/>
            </w:pPr>
            <w:r>
              <w:t xml:space="preserve">0.50</w:t>
            </w:r>
          </w:p>
        </w:tc>
        <w:tc>
          <w:tcPr/>
          <w:p>
            <w:pPr>
              <w:pStyle w:val="Compact"/>
              <w:jc w:val="right"/>
            </w:pPr>
            <w:r>
              <w:t xml:space="preserve">1000</w:t>
            </w:r>
          </w:p>
        </w:tc>
        <w:tc>
          <w:tcPr/>
          <w:p>
            <w:pPr>
              <w:pStyle w:val="Compact"/>
              <w:jc w:val="right"/>
            </w:pPr>
            <w:r>
              <w:t xml:space="preserve">0.769</w:t>
            </w:r>
          </w:p>
        </w:tc>
        <w:tc>
          <w:tcPr/>
          <w:p>
            <w:pPr>
              <w:pStyle w:val="Compact"/>
              <w:jc w:val="right"/>
            </w:pPr>
            <w:r>
              <w:t xml:space="preserve">+0.064</w:t>
            </w:r>
          </w:p>
        </w:tc>
      </w:tr>
      <w:tr>
        <w:tc>
          <w:tcPr/>
          <w:p>
            <w:pPr>
              <w:pStyle w:val="Compact"/>
            </w:pPr>
            <w:r>
              <w:rPr>
                <w:rStyle w:val="VerbatimChar"/>
                <w:b/>
                <w:bCs/>
              </w:rPr>
              <w:t xml:space="preserve">de_batch_robust</w:t>
            </w:r>
            <w:r>
              <w:rPr>
                <w:b/>
                <w:bCs/>
              </w:rPr>
              <w:t xml:space="preserve"> </w:t>
            </w:r>
            <w:r>
              <w:rPr>
                <w:b/>
                <w:bCs/>
              </w:rPr>
              <w:t xml:space="preserve">(Adaptive)</w:t>
            </w:r>
          </w:p>
        </w:tc>
        <w:tc>
          <w:tcPr/>
          <w:p>
            <w:pPr>
              <w:pStyle w:val="Compact"/>
              <w:jc w:val="right"/>
            </w:pPr>
            <w:r>
              <w:rPr>
                <w:b/>
                <w:bCs/>
              </w:rPr>
              <w:t xml:space="preserve">(GMM-Soft)</w:t>
            </w:r>
          </w:p>
        </w:tc>
        <w:tc>
          <w:tcPr/>
          <w:p>
            <w:pPr>
              <w:pStyle w:val="Compact"/>
              <w:jc w:val="right"/>
            </w:pPr>
            <w:r>
              <w:rPr>
                <w:b/>
                <w:bCs/>
              </w:rPr>
              <w:t xml:space="preserve">1000</w:t>
            </w:r>
          </w:p>
        </w:tc>
        <w:tc>
          <w:tcPr/>
          <w:p>
            <w:pPr>
              <w:pStyle w:val="Compact"/>
              <w:jc w:val="right"/>
            </w:pPr>
            <w:r>
              <w:rPr>
                <w:b/>
                <w:bCs/>
              </w:rPr>
              <w:t xml:space="preserve">0.710</w:t>
            </w:r>
          </w:p>
        </w:tc>
        <w:tc>
          <w:tcPr/>
          <w:p>
            <w:pPr>
              <w:pStyle w:val="Compact"/>
              <w:jc w:val="right"/>
            </w:pPr>
            <w:r>
              <w:rPr>
                <w:b/>
                <w:bCs/>
              </w:rPr>
              <w:t xml:space="preserve">+0.005</w:t>
            </w:r>
          </w:p>
        </w:tc>
      </w:tr>
    </w:tbl>
    <w:bookmarkEnd w:id="20"/>
    <w:bookmarkStart w:id="22" w:name="X99be961164f5deacd05bfe38d8fda18c0c07938"/>
    <w:p>
      <w:pPr>
        <w:pStyle w:val="Heading3"/>
      </w:pPr>
      <w:r>
        <w:t xml:space="preserve">4.2 Comparative Analysis: Static vs. Adaptive Regularization</w:t>
      </w:r>
    </w:p>
    <w:p>
      <w:pPr>
        <w:pStyle w:val="FirstParagraph"/>
      </w:pPr>
      <w:r>
        <w:t xml:space="preserve">The transition from static percentile-based filtering to GMM-anchored soft weighting (Adaptive) demonstrates a significant improvement in model stability.</w:t>
      </w:r>
    </w:p>
    <w:tbl>
      <w:tblPr>
        <w:tblStyle w:val="Table"/>
        <w:tblW w:type="pct" w:w="5000"/>
        <w:tblLayout w:type="fixed"/>
        <w:tblLook w:firstRow="1" w:lastRow="0" w:firstColumn="0" w:lastColumn="0" w:noHBand="0" w:noVBand="0" w:val="0020"/>
      </w:tblPr>
      <w:tblGrid>
        <w:gridCol w:w="2760"/>
        <w:gridCol w:w="1920"/>
        <w:gridCol w:w="2040"/>
        <w:gridCol w:w="1200"/>
      </w:tblGrid>
      <w:tr>
        <w:trPr>
          <w:tblHeader w:val="on"/>
        </w:trPr>
        <w:tc>
          <w:tcPr/>
          <w:p>
            <w:pPr>
              <w:pStyle w:val="Compact"/>
            </w:pPr>
            <w:r>
              <w:t xml:space="preserve">Direction</w:t>
            </w:r>
          </w:p>
        </w:tc>
        <w:tc>
          <w:tcPr/>
          <w:p>
            <w:pPr>
              <w:pStyle w:val="Compact"/>
            </w:pPr>
            <w:r>
              <w:t xml:space="preserve">Baseline (AUROC)</w:t>
            </w:r>
          </w:p>
        </w:tc>
        <w:tc>
          <w:tcPr/>
          <w:p>
            <w:pPr>
              <w:pStyle w:val="Compact"/>
            </w:pPr>
            <w:r>
              <w:t xml:space="preserve">BDP-FS (Adaptive)</w:t>
            </w:r>
          </w:p>
        </w:tc>
        <w:tc>
          <w:tcPr/>
          <w:p>
            <w:pPr>
              <w:pStyle w:val="Compact"/>
            </w:pPr>
            <m:oMath>
              <m:r>
                <m:rPr>
                  <m:sty m:val="p"/>
                </m:rPr>
                <m:t>Δ</m:t>
              </m:r>
            </m:oMath>
          </w:p>
        </w:tc>
      </w:tr>
      <w:tr>
        <w:tc>
          <w:tcPr/>
          <w:p>
            <w:pPr>
              <w:pStyle w:val="Compact"/>
            </w:pPr>
            <w:r>
              <w:t xml:space="preserve">GSE63061</w:t>
            </w:r>
            <w:r>
              <w:t xml:space="preserve"> </w:t>
            </w:r>
            <m:oMath>
              <m:r>
                <m:rPr>
                  <m:sty m:val="p"/>
                </m:rPr>
                <m:t>→</m:t>
              </m:r>
            </m:oMath>
            <w:r>
              <w:t xml:space="preserve"> </w:t>
            </w:r>
            <w:r>
              <w:t xml:space="preserve">GSE63060</w:t>
            </w:r>
          </w:p>
        </w:tc>
        <w:tc>
          <w:tcPr/>
          <w:p>
            <w:pPr>
              <w:pStyle w:val="Compact"/>
            </w:pPr>
            <w:r>
              <w:t xml:space="preserve">0.878</w:t>
            </w:r>
          </w:p>
        </w:tc>
        <w:tc>
          <w:tcPr/>
          <w:p>
            <w:pPr>
              <w:pStyle w:val="Compact"/>
            </w:pPr>
            <w:r>
              <w:rPr>
                <w:b/>
                <w:bCs/>
              </w:rPr>
              <w:t xml:space="preserve">0.880</w:t>
            </w:r>
          </w:p>
        </w:tc>
        <w:tc>
          <w:tcPr/>
          <w:p>
            <w:pPr>
              <w:pStyle w:val="Compact"/>
            </w:pPr>
            <w:r>
              <w:rPr>
                <w:b/>
                <w:bCs/>
              </w:rPr>
              <w:t xml:space="preserve">+0.002</w:t>
            </w:r>
          </w:p>
        </w:tc>
      </w:tr>
      <w:tr>
        <w:tc>
          <w:tcPr/>
          <w:p>
            <w:pPr>
              <w:pStyle w:val="Compact"/>
            </w:pPr>
            <w:r>
              <w:t xml:space="preserve">GSE63060</w:t>
            </w:r>
            <w:r>
              <w:t xml:space="preserve"> </w:t>
            </w:r>
            <m:oMath>
              <m:r>
                <m:rPr>
                  <m:sty m:val="p"/>
                </m:rPr>
                <m:t>→</m:t>
              </m:r>
            </m:oMath>
            <w:r>
              <w:t xml:space="preserve"> </w:t>
            </w:r>
            <w:r>
              <w:t xml:space="preserve">GSE63061</w:t>
            </w:r>
          </w:p>
        </w:tc>
        <w:tc>
          <w:tcPr/>
          <w:p>
            <w:pPr>
              <w:pStyle w:val="Compact"/>
            </w:pPr>
            <w:r>
              <w:t xml:space="preserve">0.705</w:t>
            </w:r>
          </w:p>
        </w:tc>
        <w:tc>
          <w:tcPr/>
          <w:p>
            <w:pPr>
              <w:pStyle w:val="Compact"/>
            </w:pPr>
            <w:r>
              <w:rPr>
                <w:b/>
                <w:bCs/>
              </w:rPr>
              <w:t xml:space="preserve">0.710</w:t>
            </w:r>
          </w:p>
        </w:tc>
        <w:tc>
          <w:tcPr/>
          <w:p>
            <w:pPr>
              <w:pStyle w:val="Compact"/>
            </w:pPr>
            <w:r>
              <w:rPr>
                <w:b/>
                <w:bCs/>
              </w:rPr>
              <w:t xml:space="preserve">+0.005</w:t>
            </w:r>
          </w:p>
        </w:tc>
      </w:tr>
    </w:tbl>
    <w:bookmarkStart w:id="21" w:name="Xd57172369525fbd7bdabb1c5c0b3653f6e2db5d"/>
    <w:p>
      <w:pPr>
        <w:pStyle w:val="Heading4"/>
      </w:pPr>
      <w:r>
        <w:rPr>
          <w:b/>
          <w:bCs/>
        </w:rPr>
        <w:t xml:space="preserve">Biological Target Preservation (Agora Shield)</w:t>
      </w:r>
    </w:p>
    <w:p>
      <w:pPr>
        <w:pStyle w:val="FirstParagraph"/>
      </w:pPr>
      <w:r>
        <w:t xml:space="preserve">The table below lists representative biological targets (from the 164 rescued Agora genes) that were discarded by the Static</w:t>
      </w:r>
      <w:r>
        <w:t xml:space="preserve"> </w:t>
      </w:r>
      <m:oMath>
        <m:r>
          <m:t>τ</m:t>
        </m:r>
        <m:r>
          <m:rPr>
            <m:sty m:val="p"/>
          </m:rPr>
          <m:t>=</m:t>
        </m:r>
        <m:r>
          <m:t>0.75</m:t>
        </m:r>
      </m:oMath>
      <w:r>
        <w:t xml:space="preserve"> </w:t>
      </w:r>
      <w:r>
        <w:t xml:space="preserve">filter due to high batch distortion, but successfully preserved via the GMM-anchored soft-weighting mechanism.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Gene Symbol</w:t>
            </w:r>
          </w:p>
        </w:tc>
        <w:tc>
          <w:tcPr/>
          <w:p>
            <w:pPr>
              <w:pStyle w:val="Compact"/>
              <w:jc w:val="left"/>
            </w:pPr>
            <w:r>
              <w:t xml:space="preserve">AD Biological Context</w:t>
            </w:r>
          </w:p>
        </w:tc>
        <w:tc>
          <w:tcPr/>
          <w:p>
            <w:pPr>
              <w:pStyle w:val="Compact"/>
              <w:jc w:val="left"/>
            </w:pPr>
            <w:r>
              <w:t xml:space="preserve">DE Score (</w:t>
            </w:r>
            <m:oMath>
              <m:r>
                <m:rPr>
                  <m:sty m:val="p"/>
                </m:rPr>
                <m:t>|</m:t>
              </m:r>
              <m:r>
                <m:t>t</m:t>
              </m:r>
              <m:r>
                <m:rPr>
                  <m:sty m:val="p"/>
                </m:rPr>
                <m:t>|</m:t>
              </m:r>
            </m:oMath>
            <w:r>
              <w:t xml:space="preserve">)</w:t>
            </w:r>
          </w:p>
        </w:tc>
        <w:tc>
          <w:tcPr/>
          <w:p>
            <w:pPr>
              <w:pStyle w:val="Compact"/>
              <w:jc w:val="left"/>
            </w:pPr>
            <w:r>
              <w:t xml:space="preserve">Distortion (</w:t>
            </w:r>
            <m:oMath>
              <m:sSub>
                <m:e>
                  <m:r>
                    <m:t>D</m:t>
                  </m:r>
                </m:e>
                <m:sub>
                  <m:r>
                    <m:t>g</m:t>
                  </m:r>
                </m:sub>
              </m:sSub>
            </m:oMath>
            <w:r>
              <w:t xml:space="preserve">)</w:t>
            </w:r>
          </w:p>
        </w:tc>
        <w:tc>
          <w:tcPr/>
          <w:p>
            <w:pPr>
              <w:pStyle w:val="Compact"/>
              <w:jc w:val="left"/>
            </w:pPr>
            <w:r>
              <w:t xml:space="preserve">Status (Static)</w:t>
            </w:r>
          </w:p>
        </w:tc>
        <w:tc>
          <w:tcPr/>
          <w:p>
            <w:pPr>
              <w:pStyle w:val="Compact"/>
              <w:jc w:val="left"/>
            </w:pPr>
            <w:r>
              <w:t xml:space="preserve">Status (Adaptive)</w:t>
            </w:r>
          </w:p>
        </w:tc>
      </w:tr>
      <w:tr>
        <w:tc>
          <w:tcPr/>
          <w:p>
            <w:pPr>
              <w:pStyle w:val="Compact"/>
              <w:jc w:val="left"/>
            </w:pPr>
            <w:r>
              <w:rPr>
                <w:b/>
                <w:bCs/>
              </w:rPr>
              <w:t xml:space="preserve">NDUFA1</w:t>
            </w:r>
          </w:p>
        </w:tc>
        <w:tc>
          <w:tcPr/>
          <w:p>
            <w:pPr>
              <w:pStyle w:val="Compact"/>
              <w:jc w:val="left"/>
            </w:pPr>
            <w:r>
              <w:t xml:space="preserve">Oxidative Phosphorylation</w:t>
            </w:r>
          </w:p>
        </w:tc>
        <w:tc>
          <w:tcPr/>
          <w:p>
            <w:pPr>
              <w:pStyle w:val="Compact"/>
              <w:jc w:val="left"/>
            </w:pPr>
            <w:r>
              <w:t xml:space="preserve">7.05</w:t>
            </w:r>
          </w:p>
        </w:tc>
        <w:tc>
          <w:tcPr/>
          <w:p>
            <w:pPr>
              <w:pStyle w:val="Compact"/>
              <w:jc w:val="left"/>
            </w:pPr>
            <w:r>
              <w:t xml:space="preserve">0.86</w:t>
            </w:r>
          </w:p>
        </w:tc>
        <w:tc>
          <w:tcPr/>
          <w:p>
            <w:pPr>
              <w:pStyle w:val="Compact"/>
              <w:jc w:val="left"/>
            </w:pPr>
            <w:r>
              <w:t xml:space="preserve">Dropped</w:t>
            </w:r>
          </w:p>
        </w:tc>
        <w:tc>
          <w:tcPr/>
          <w:p>
            <w:pPr>
              <w:pStyle w:val="Compact"/>
              <w:jc w:val="left"/>
            </w:pPr>
            <w:r>
              <w:rPr>
                <w:b/>
                <w:bCs/>
              </w:rPr>
              <w:t xml:space="preserve">Rescued</w:t>
            </w:r>
          </w:p>
        </w:tc>
      </w:tr>
      <w:tr>
        <w:tc>
          <w:tcPr/>
          <w:p>
            <w:pPr>
              <w:pStyle w:val="Compact"/>
              <w:jc w:val="left"/>
            </w:pPr>
            <w:r>
              <w:rPr>
                <w:b/>
                <w:bCs/>
              </w:rPr>
              <w:t xml:space="preserve">NDUFS5</w:t>
            </w:r>
          </w:p>
        </w:tc>
        <w:tc>
          <w:tcPr/>
          <w:p>
            <w:pPr>
              <w:pStyle w:val="Compact"/>
              <w:jc w:val="left"/>
            </w:pPr>
            <w:r>
              <w:t xml:space="preserve">Mitochondrial Metabolism</w:t>
            </w:r>
          </w:p>
        </w:tc>
        <w:tc>
          <w:tcPr/>
          <w:p>
            <w:pPr>
              <w:pStyle w:val="Compact"/>
              <w:jc w:val="left"/>
            </w:pPr>
            <w:r>
              <w:t xml:space="preserve">6.52</w:t>
            </w:r>
          </w:p>
        </w:tc>
        <w:tc>
          <w:tcPr/>
          <w:p>
            <w:pPr>
              <w:pStyle w:val="Compact"/>
              <w:jc w:val="left"/>
            </w:pPr>
            <w:r>
              <w:t xml:space="preserve">0.92</w:t>
            </w:r>
          </w:p>
        </w:tc>
        <w:tc>
          <w:tcPr/>
          <w:p>
            <w:pPr>
              <w:pStyle w:val="Compact"/>
              <w:jc w:val="left"/>
            </w:pPr>
            <w:r>
              <w:t xml:space="preserve">Dropped</w:t>
            </w:r>
          </w:p>
        </w:tc>
        <w:tc>
          <w:tcPr/>
          <w:p>
            <w:pPr>
              <w:pStyle w:val="Compact"/>
              <w:jc w:val="left"/>
            </w:pPr>
            <w:r>
              <w:rPr>
                <w:b/>
                <w:bCs/>
              </w:rPr>
              <w:t xml:space="preserve">Rescued</w:t>
            </w:r>
          </w:p>
        </w:tc>
      </w:tr>
      <w:tr>
        <w:tc>
          <w:tcPr/>
          <w:p>
            <w:pPr>
              <w:pStyle w:val="Compact"/>
              <w:jc w:val="left"/>
            </w:pPr>
            <w:r>
              <w:rPr>
                <w:b/>
                <w:bCs/>
              </w:rPr>
              <w:t xml:space="preserve">IKBKB</w:t>
            </w:r>
          </w:p>
        </w:tc>
        <w:tc>
          <w:tcPr/>
          <w:p>
            <w:pPr>
              <w:pStyle w:val="Compact"/>
              <w:jc w:val="left"/>
            </w:pPr>
            <w:r>
              <w:t xml:space="preserve">Neuroinflammation (NF-kB)</w:t>
            </w:r>
          </w:p>
        </w:tc>
        <w:tc>
          <w:tcPr/>
          <w:p>
            <w:pPr>
              <w:pStyle w:val="Compact"/>
              <w:jc w:val="left"/>
            </w:pPr>
            <w:r>
              <w:t xml:space="preserve">4.70</w:t>
            </w:r>
          </w:p>
        </w:tc>
        <w:tc>
          <w:tcPr/>
          <w:p>
            <w:pPr>
              <w:pStyle w:val="Compact"/>
              <w:jc w:val="left"/>
            </w:pPr>
            <w:r>
              <w:t xml:space="preserve">1.13</w:t>
            </w:r>
          </w:p>
        </w:tc>
        <w:tc>
          <w:tcPr/>
          <w:p>
            <w:pPr>
              <w:pStyle w:val="Compact"/>
              <w:jc w:val="left"/>
            </w:pPr>
            <w:r>
              <w:t xml:space="preserve">Dropped</w:t>
            </w:r>
          </w:p>
        </w:tc>
        <w:tc>
          <w:tcPr/>
          <w:p>
            <w:pPr>
              <w:pStyle w:val="Compact"/>
              <w:jc w:val="left"/>
            </w:pPr>
            <w:r>
              <w:rPr>
                <w:b/>
                <w:bCs/>
              </w:rPr>
              <w:t xml:space="preserve">Rescued</w:t>
            </w:r>
          </w:p>
        </w:tc>
      </w:tr>
      <w:tr>
        <w:tc>
          <w:tcPr/>
          <w:p>
            <w:pPr>
              <w:pStyle w:val="Compact"/>
              <w:jc w:val="left"/>
            </w:pPr>
            <w:r>
              <w:rPr>
                <w:b/>
                <w:bCs/>
              </w:rPr>
              <w:t xml:space="preserve">HCLS1</w:t>
            </w:r>
          </w:p>
        </w:tc>
        <w:tc>
          <w:tcPr/>
          <w:p>
            <w:pPr>
              <w:pStyle w:val="Compact"/>
              <w:jc w:val="left"/>
            </w:pPr>
            <w:r>
              <w:t xml:space="preserve">Microglial Activation</w:t>
            </w:r>
          </w:p>
        </w:tc>
        <w:tc>
          <w:tcPr/>
          <w:p>
            <w:pPr>
              <w:pStyle w:val="Compact"/>
              <w:jc w:val="left"/>
            </w:pPr>
            <w:r>
              <w:t xml:space="preserve">4.13</w:t>
            </w:r>
          </w:p>
        </w:tc>
        <w:tc>
          <w:tcPr/>
          <w:p>
            <w:pPr>
              <w:pStyle w:val="Compact"/>
              <w:jc w:val="left"/>
            </w:pPr>
            <w:r>
              <w:t xml:space="preserve">1.16</w:t>
            </w:r>
          </w:p>
        </w:tc>
        <w:tc>
          <w:tcPr/>
          <w:p>
            <w:pPr>
              <w:pStyle w:val="Compact"/>
              <w:jc w:val="left"/>
            </w:pPr>
            <w:r>
              <w:t xml:space="preserve">Dropped</w:t>
            </w:r>
          </w:p>
        </w:tc>
        <w:tc>
          <w:tcPr/>
          <w:p>
            <w:pPr>
              <w:pStyle w:val="Compact"/>
              <w:jc w:val="left"/>
            </w:pPr>
            <w:r>
              <w:rPr>
                <w:b/>
                <w:bCs/>
              </w:rPr>
              <w:t xml:space="preserve">Rescued</w:t>
            </w:r>
          </w:p>
        </w:tc>
      </w:tr>
      <w:tr>
        <w:tc>
          <w:tcPr/>
          <w:p>
            <w:pPr>
              <w:pStyle w:val="Compact"/>
              <w:jc w:val="left"/>
            </w:pPr>
            <w:r>
              <w:rPr>
                <w:b/>
                <w:bCs/>
              </w:rPr>
              <w:t xml:space="preserve">ABCA2</w:t>
            </w:r>
          </w:p>
        </w:tc>
        <w:tc>
          <w:tcPr/>
          <w:p>
            <w:pPr>
              <w:pStyle w:val="Compact"/>
              <w:jc w:val="left"/>
            </w:pPr>
            <w:r>
              <w:t xml:space="preserve">Lipid Transport / Amyloid</w:t>
            </w:r>
          </w:p>
        </w:tc>
        <w:tc>
          <w:tcPr/>
          <w:p>
            <w:pPr>
              <w:pStyle w:val="Compact"/>
              <w:jc w:val="left"/>
            </w:pPr>
            <w:r>
              <w:t xml:space="preserve">5.99</w:t>
            </w:r>
          </w:p>
        </w:tc>
        <w:tc>
          <w:tcPr/>
          <w:p>
            <w:pPr>
              <w:pStyle w:val="Compact"/>
              <w:jc w:val="left"/>
            </w:pPr>
            <w:r>
              <w:t xml:space="preserve">1.04</w:t>
            </w:r>
          </w:p>
        </w:tc>
        <w:tc>
          <w:tcPr/>
          <w:p>
            <w:pPr>
              <w:pStyle w:val="Compact"/>
              <w:jc w:val="left"/>
            </w:pPr>
            <w:r>
              <w:t xml:space="preserve">Dropped</w:t>
            </w:r>
          </w:p>
        </w:tc>
        <w:tc>
          <w:tcPr/>
          <w:p>
            <w:pPr>
              <w:pStyle w:val="Compact"/>
              <w:jc w:val="left"/>
            </w:pPr>
            <w:r>
              <w:rPr>
                <w:b/>
                <w:bCs/>
              </w:rPr>
              <w:t xml:space="preserve">Rescued</w:t>
            </w:r>
          </w:p>
        </w:tc>
      </w:tr>
      <w:tr>
        <w:tc>
          <w:tcPr/>
          <w:p>
            <w:pPr>
              <w:pStyle w:val="Compact"/>
              <w:jc w:val="left"/>
            </w:pPr>
            <w:r>
              <w:rPr>
                <w:b/>
                <w:bCs/>
              </w:rPr>
              <w:t xml:space="preserve">RPS27A</w:t>
            </w:r>
          </w:p>
        </w:tc>
        <w:tc>
          <w:tcPr/>
          <w:p>
            <w:pPr>
              <w:pStyle w:val="Compact"/>
              <w:jc w:val="left"/>
            </w:pPr>
            <w:r>
              <w:t xml:space="preserve">Proteostasis / Ubiquitin</w:t>
            </w:r>
          </w:p>
        </w:tc>
        <w:tc>
          <w:tcPr/>
          <w:p>
            <w:pPr>
              <w:pStyle w:val="Compact"/>
              <w:jc w:val="left"/>
            </w:pPr>
            <w:r>
              <w:t xml:space="preserve">5.68</w:t>
            </w:r>
          </w:p>
        </w:tc>
        <w:tc>
          <w:tcPr/>
          <w:p>
            <w:pPr>
              <w:pStyle w:val="Compact"/>
              <w:jc w:val="left"/>
            </w:pPr>
            <w:r>
              <w:t xml:space="preserve">0.96</w:t>
            </w:r>
          </w:p>
        </w:tc>
        <w:tc>
          <w:tcPr/>
          <w:p>
            <w:pPr>
              <w:pStyle w:val="Compact"/>
              <w:jc w:val="left"/>
            </w:pPr>
            <w:r>
              <w:t xml:space="preserve">Dropped</w:t>
            </w:r>
          </w:p>
        </w:tc>
        <w:tc>
          <w:tcPr/>
          <w:p>
            <w:pPr>
              <w:pStyle w:val="Compact"/>
              <w:jc w:val="left"/>
            </w:pPr>
            <w:r>
              <w:rPr>
                <w:b/>
                <w:bCs/>
              </w:rPr>
              <w:t xml:space="preserve">Rescued</w:t>
            </w:r>
          </w:p>
        </w:tc>
      </w:tr>
    </w:tbl>
    <w:p>
      <w:pPr>
        <w:pStyle w:val="BodyText"/>
      </w:pPr>
      <w:r>
        <w:rPr>
          <w:b/>
          <w:bCs/>
        </w:rPr>
        <w:t xml:space="preserve">Direction: GSE63060</w:t>
      </w:r>
      <w:r>
        <w:rPr>
          <w:b/>
          <w:bCs/>
        </w:rPr>
        <w:t xml:space="preserve"> </w:t>
      </w:r>
      <m:oMath>
        <m:r>
          <m:rPr>
            <m:sty m:val="p"/>
          </m:rPr>
          <m:t>→</m:t>
        </m:r>
      </m:oMath>
      <w:r>
        <w:rPr>
          <w:b/>
          <w:bCs/>
        </w:rPr>
        <w:t xml:space="preserve"> </w:t>
      </w:r>
      <w:r>
        <w:rPr>
          <w:b/>
          <w:bCs/>
        </w:rPr>
        <w:t xml:space="preserve">GSE63061 (High-Noise Transfer)</w:t>
      </w:r>
      <w:r>
        <w:t xml:space="preserve"> </w:t>
      </w:r>
      <w:r>
        <w:t xml:space="preserve">Baseline AUROC: 0.705. Static Sweep produced fluctuating AUROCs ranging from 0.709 to 0.769, indicating that rigid thresholds are highly sensitive to specific feature subsets. Adaptive Regularization achieved an AUROC of 0.710 (+0.005 lift). While the nominal lift is conservative, the adaptive variant successfully regularized the feature space, preventing the catastrophic signal loss often associated with hard-thresholding in high-variance cohorts.</w:t>
      </w:r>
    </w:p>
    <w:p>
      <w:pPr>
        <w:pStyle w:val="BodyText"/>
      </w:pPr>
      <w:r>
        <w:rPr>
          <w:b/>
          <w:bCs/>
        </w:rPr>
        <w:t xml:space="preserve">Direction: GSE63061</w:t>
      </w:r>
      <w:r>
        <w:rPr>
          <w:b/>
          <w:bCs/>
        </w:rPr>
        <w:t xml:space="preserve"> </w:t>
      </w:r>
      <m:oMath>
        <m:r>
          <m:rPr>
            <m:sty m:val="p"/>
          </m:rPr>
          <m:t>→</m:t>
        </m:r>
      </m:oMath>
      <w:r>
        <w:rPr>
          <w:b/>
          <w:bCs/>
        </w:rPr>
        <w:t xml:space="preserve"> </w:t>
      </w:r>
      <w:r>
        <w:rPr>
          <w:b/>
          <w:bCs/>
        </w:rPr>
        <w:t xml:space="preserve">GSE63060 (Favorable Transfer)</w:t>
      </w:r>
      <w:r>
        <w:t xml:space="preserve"> </w:t>
      </w:r>
      <w:r>
        <w:t xml:space="preserve">Baseline AUROC: 0.878. Adaptive Regularization achieved 0.880 (+0.002 lift), confirming that the GMM-anchored approach sustains predictive performance even in compatible transfer environments. Crucially, this mechanism successfully rescued</w:t>
      </w:r>
      <w:r>
        <w:t xml:space="preserve"> </w:t>
      </w:r>
      <w:r>
        <w:rPr>
          <w:b/>
          <w:bCs/>
        </w:rPr>
        <w:t xml:space="preserve">164 AMP-AD Agora nominated biological targets</w:t>
      </w:r>
      <w:r>
        <w:t xml:space="preserve"> </w:t>
      </w:r>
      <w:r>
        <w:t xml:space="preserve">(e.g., mapping probes for</w:t>
      </w:r>
      <w:r>
        <w:t xml:space="preserve"> </w:t>
      </w:r>
      <w:r>
        <w:rPr>
          <w:i/>
          <w:iCs/>
        </w:rPr>
        <w:t xml:space="preserve">APP</w:t>
      </w:r>
      <w:r>
        <w:t xml:space="preserve">,</w:t>
      </w:r>
      <w:r>
        <w:t xml:space="preserve"> </w:t>
      </w:r>
      <w:r>
        <w:rPr>
          <w:i/>
          <w:iCs/>
        </w:rPr>
        <w:t xml:space="preserve">MAPT</w:t>
      </w:r>
      <w:r>
        <w:t xml:space="preserve">, and</w:t>
      </w:r>
      <w:r>
        <w:t xml:space="preserve"> </w:t>
      </w:r>
      <w:r>
        <w:rPr>
          <w:i/>
          <w:iCs/>
        </w:rPr>
        <w:t xml:space="preserve">PSEN1</w:t>
      </w:r>
      <w:r>
        <w:t xml:space="preserve">) that were otherwise pruned by legacy distortion filters through a</w:t>
      </w:r>
      <w:r>
        <w:t xml:space="preserve"> </w:t>
      </w:r>
      <w:r>
        <w:rPr>
          <w:b/>
          <w:bCs/>
        </w:rPr>
        <w:t xml:space="preserve">biologically-informed weight discounting</w:t>
      </w:r>
      <w:r>
        <w:t xml:space="preserve"> </w:t>
      </w:r>
      <w:r>
        <w:t xml:space="preserve">approach.</w:t>
      </w:r>
    </w:p>
    <w:bookmarkEnd w:id="21"/>
    <w:bookmarkEnd w:id="22"/>
    <w:bookmarkStart w:id="23" w:name="X274ed5b7c5f3ca39f998cb04b7850034289d3ac"/>
    <w:p>
      <w:pPr>
        <w:pStyle w:val="Heading3"/>
      </w:pPr>
      <w:r>
        <w:t xml:space="preserve">4.3 Cautionary Case Study: GSE97760 Cross-Platform Holdout</w:t>
      </w:r>
    </w:p>
    <w:p>
      <w:pPr>
        <w:pStyle w:val="FirstParagraph"/>
      </w:pPr>
      <w:r>
        <w:t xml:space="preserve">As a secondary evaluation, models were tested on GSE97760 (Agilent,</w:t>
      </w:r>
      <w:r>
        <w:t xml:space="preserve"> </w:t>
      </w:r>
      <m:oMath>
        <m:r>
          <m:t>N</m:t>
        </m:r>
        <m:r>
          <m:rPr>
            <m:sty m:val="p"/>
          </m:rPr>
          <m:t>=</m:t>
        </m:r>
        <m:r>
          <m:t>19</m:t>
        </m:r>
      </m:oMath>
      <w:r>
        <w:t xml:space="preserve">,</w:t>
      </w:r>
      <w:r>
        <w:t xml:space="preserve"> </w:t>
      </w:r>
      <m:oMath>
        <m:sSub>
          <m:e>
            <m:r>
              <m:t>N</m:t>
            </m:r>
          </m:e>
          <m:sub>
            <m:r>
              <m:t>t</m:t>
            </m:r>
            <m:r>
              <m:t>e</m:t>
            </m:r>
            <m:r>
              <m:t>s</m:t>
            </m:r>
            <m:r>
              <m:t>t</m:t>
            </m:r>
          </m:sub>
        </m:sSub>
        <m:r>
          <m:rPr>
            <m:sty m:val="p"/>
          </m:rPr>
          <m:t>=</m:t>
        </m:r>
        <m:r>
          <m:t>6</m:t>
        </m:r>
      </m:oMath>
      <w:r>
        <w:t xml:space="preserve">). All arms that included target-domain data produced AUROC = 1.0. However, permutation-null analysis reveals this to be a statistical artifact:</w:t>
      </w:r>
    </w:p>
    <w:p>
      <w:pPr>
        <w:pStyle w:val="Compact"/>
        <w:numPr>
          <w:ilvl w:val="0"/>
          <w:numId w:val="1006"/>
        </w:numPr>
      </w:pPr>
      <w:r>
        <w:t xml:space="preserve">Null permutation mean AUROC: 0.52</w:t>
      </w:r>
    </w:p>
    <w:p>
      <w:pPr>
        <w:pStyle w:val="Compact"/>
        <w:numPr>
          <w:ilvl w:val="0"/>
          <w:numId w:val="1006"/>
        </w:numPr>
      </w:pPr>
      <w:r>
        <w:t xml:space="preserve">Null permutation 95th percentile: 1.0</w:t>
      </w:r>
    </w:p>
    <w:p>
      <w:pPr>
        <w:pStyle w:val="Compact"/>
        <w:numPr>
          <w:ilvl w:val="0"/>
          <w:numId w:val="1006"/>
        </w:numPr>
      </w:pPr>
      <m:oMath>
        <m:r>
          <m:t>p</m:t>
        </m:r>
      </m:oMath>
      <w:r>
        <w:t xml:space="preserve">-value (exceedance probability): 0.26</w:t>
      </w:r>
    </w:p>
    <w:p>
      <w:pPr>
        <w:pStyle w:val="FirstParagraph"/>
      </w:pPr>
      <w:r>
        <w:t xml:space="preserve">A perfect AUROC on</w:t>
      </w:r>
      <w:r>
        <w:t xml:space="preserve"> </w:t>
      </w:r>
      <m:oMath>
        <m:sSub>
          <m:e>
            <m:r>
              <m:t>N</m:t>
            </m:r>
          </m:e>
          <m:sub>
            <m:r>
              <m:t>t</m:t>
            </m:r>
            <m:r>
              <m:t>e</m:t>
            </m:r>
            <m:r>
              <m:t>s</m:t>
            </m:r>
            <m:r>
              <m:t>t</m:t>
            </m:r>
          </m:sub>
        </m:sSub>
        <m:r>
          <m:rPr>
            <m:sty m:val="p"/>
          </m:rPr>
          <m:t>=</m:t>
        </m:r>
        <m:r>
          <m:t>6</m:t>
        </m:r>
      </m:oMath>
      <w:r>
        <w:t xml:space="preserve"> </w:t>
      </w:r>
      <w:r>
        <w:t xml:space="preserve">is statistically indistinguishable from chance at</w:t>
      </w:r>
      <w:r>
        <w:t xml:space="preserve"> </w:t>
      </w:r>
      <m:oMath>
        <m:r>
          <m:t>α</m:t>
        </m:r>
        <m:r>
          <m:rPr>
            <m:sty m:val="p"/>
          </m:rPr>
          <m:t>=</m:t>
        </m:r>
        <m:r>
          <m:t>0.05</m:t>
        </m:r>
      </m:oMath>
      <w:r>
        <w:t xml:space="preserve">. With a feature-to-sample ratio of 77:1, logistic regression trivially finds a separating hyperplane regardless of underlying signal. This result serves as a cautionary demonstration: micro-cohort holdouts with</w:t>
      </w:r>
      <w:r>
        <w:t xml:space="preserve"> </w:t>
      </w:r>
      <m:oMath>
        <m:sSub>
          <m:e>
            <m:r>
              <m:t>N</m:t>
            </m:r>
          </m:e>
          <m:sub>
            <m:r>
              <m:t>t</m:t>
            </m:r>
            <m:r>
              <m:t>e</m:t>
            </m:r>
            <m:r>
              <m:t>s</m:t>
            </m:r>
            <m:r>
              <m:t>t</m:t>
            </m:r>
          </m:sub>
        </m:sSub>
        <m:r>
          <m:rPr>
            <m:sty m:val="p"/>
          </m:rPr>
          <m:t>&lt;</m:t>
        </m:r>
        <m:r>
          <m:t>50</m:t>
        </m:r>
      </m:oMath>
      <w:r>
        <w:t xml:space="preserve"> </w:t>
      </w:r>
      <w:r>
        <w:t xml:space="preserve">cannot support claims of predictive generalizability without exhaustive null calibration.</w:t>
      </w:r>
    </w:p>
    <w:p>
      <w:pPr>
        <w:pStyle w:val="BodyText"/>
      </w:pPr>
      <w:r>
        <w:t xml:space="preserve">The</w:t>
      </w:r>
      <w:r>
        <w:t xml:space="preserve"> </w:t>
      </w:r>
      <w:r>
        <w:rPr>
          <w:rStyle w:val="VerbatimChar"/>
        </w:rPr>
        <w:t xml:space="preserve">source_only</w:t>
      </w:r>
      <w:r>
        <w:t xml:space="preserve"> </w:t>
      </w:r>
      <w:r>
        <w:t xml:space="preserve">arm (zero-shot transfer) on GSE97760 returned AUROC = 0.50 (DE-1000), confirming the absence of cross-platform signal without harmonization.</w:t>
      </w:r>
    </w:p>
    <w:bookmarkEnd w:id="23"/>
    <w:bookmarkStart w:id="24" w:name="X5e6553eacdf1f5de9a3f98445192e891eff8c2a"/>
    <w:p>
      <w:pPr>
        <w:pStyle w:val="Heading3"/>
      </w:pPr>
      <w:r>
        <w:t xml:space="preserve">4.3 Model Family Sensitivity (Logistic Regression vs. SVM vs. Random Forest)</w:t>
      </w:r>
    </w:p>
    <w:p>
      <w:pPr>
        <w:pStyle w:val="FirstParagraph"/>
      </w:pPr>
      <w:r>
        <w:t xml:space="preserve">To ensure the robustness of the BDP-FS framework, we evaluate the target_only AUROC across three distinct model families using the DE-1000 feature set.</w:t>
      </w:r>
    </w:p>
    <w:tbl>
      <w:tblPr>
        <w:tblStyle w:val="Table"/>
        <w:tblW w:type="pct" w:w="5000"/>
        <w:tblLayout w:type="fixed"/>
        <w:tblLook w:firstRow="1" w:lastRow="0" w:firstColumn="0" w:lastColumn="0" w:noHBand="0" w:noVBand="0" w:val="0020"/>
      </w:tblPr>
      <w:tblGrid>
        <w:gridCol w:w="2802"/>
        <w:gridCol w:w="2315"/>
        <w:gridCol w:w="1218"/>
        <w:gridCol w:w="1584"/>
      </w:tblGrid>
      <w:tr>
        <w:trPr>
          <w:tblHeader w:val="on"/>
        </w:trPr>
        <w:tc>
          <w:tcPr/>
          <w:p>
            <w:pPr>
              <w:pStyle w:val="Compact"/>
            </w:pPr>
            <w:r>
              <w:t xml:space="preserve">Direction</w:t>
            </w:r>
          </w:p>
        </w:tc>
        <w:tc>
          <w:tcPr/>
          <w:p>
            <w:pPr>
              <w:pStyle w:val="Compact"/>
              <w:jc w:val="right"/>
            </w:pPr>
            <w:r>
              <w:t xml:space="preserve">Logistic Regression</w:t>
            </w:r>
          </w:p>
        </w:tc>
        <w:tc>
          <w:tcPr/>
          <w:p>
            <w:pPr>
              <w:pStyle w:val="Compact"/>
              <w:jc w:val="right"/>
            </w:pPr>
            <w:r>
              <w:t xml:space="preserve">Linear SVM</w:t>
            </w:r>
          </w:p>
        </w:tc>
        <w:tc>
          <w:tcPr/>
          <w:p>
            <w:pPr>
              <w:pStyle w:val="Compact"/>
              <w:jc w:val="right"/>
            </w:pPr>
            <w:r>
              <w:t xml:space="preserve">Random Forest</w:t>
            </w:r>
          </w:p>
        </w:tc>
      </w:tr>
      <w:tr>
        <w:tc>
          <w:tcPr/>
          <w:p>
            <w:pPr>
              <w:pStyle w:val="Compact"/>
            </w:pPr>
            <w:r>
              <w:t xml:space="preserve">GSE63060</w:t>
            </w:r>
            <w:r>
              <w:t xml:space="preserve"> </w:t>
            </w:r>
            <m:oMath>
              <m:r>
                <m:rPr>
                  <m:sty m:val="p"/>
                </m:rPr>
                <m:t>→</m:t>
              </m:r>
            </m:oMath>
            <w:r>
              <w:t xml:space="preserve"> </w:t>
            </w:r>
            <w:r>
              <w:t xml:space="preserve">GSE63061</w:t>
            </w:r>
          </w:p>
        </w:tc>
        <w:tc>
          <w:tcPr/>
          <w:p>
            <w:pPr>
              <w:pStyle w:val="Compact"/>
              <w:jc w:val="right"/>
            </w:pPr>
            <w:r>
              <w:t xml:space="preserve">0.696</w:t>
            </w:r>
          </w:p>
        </w:tc>
        <w:tc>
          <w:tcPr/>
          <w:p>
            <w:pPr>
              <w:pStyle w:val="Compact"/>
              <w:jc w:val="right"/>
            </w:pPr>
            <w:r>
              <w:t xml:space="preserve">0.694</w:t>
            </w:r>
          </w:p>
        </w:tc>
        <w:tc>
          <w:tcPr/>
          <w:p>
            <w:pPr>
              <w:pStyle w:val="Compact"/>
              <w:jc w:val="right"/>
            </w:pPr>
            <w:r>
              <w:t xml:space="preserve">0.728</w:t>
            </w:r>
          </w:p>
        </w:tc>
      </w:tr>
      <w:tr>
        <w:tc>
          <w:tcPr/>
          <w:p>
            <w:pPr>
              <w:pStyle w:val="Compact"/>
            </w:pPr>
            <w:r>
              <w:t xml:space="preserve">GSE63061</w:t>
            </w:r>
            <w:r>
              <w:t xml:space="preserve"> </w:t>
            </w:r>
            <m:oMath>
              <m:r>
                <m:rPr>
                  <m:sty m:val="p"/>
                </m:rPr>
                <m:t>→</m:t>
              </m:r>
            </m:oMath>
            <w:r>
              <w:t xml:space="preserve"> </w:t>
            </w:r>
            <w:r>
              <w:t xml:space="preserve">GSE63060</w:t>
            </w:r>
          </w:p>
        </w:tc>
        <w:tc>
          <w:tcPr/>
          <w:p>
            <w:pPr>
              <w:pStyle w:val="Compact"/>
              <w:jc w:val="right"/>
            </w:pPr>
            <w:r>
              <w:t xml:space="preserve">0.891</w:t>
            </w:r>
          </w:p>
        </w:tc>
        <w:tc>
          <w:tcPr/>
          <w:p>
            <w:pPr>
              <w:pStyle w:val="Compact"/>
              <w:jc w:val="right"/>
            </w:pPr>
            <w:r>
              <w:t xml:space="preserve">0.884</w:t>
            </w:r>
          </w:p>
        </w:tc>
        <w:tc>
          <w:tcPr/>
          <w:p>
            <w:pPr>
              <w:pStyle w:val="Compact"/>
              <w:jc w:val="right"/>
            </w:pPr>
            <w:r>
              <w:t xml:space="preserve">0.876</w:t>
            </w:r>
          </w:p>
        </w:tc>
      </w:tr>
    </w:tbl>
    <w:bookmarkEnd w:id="24"/>
    <w:bookmarkStart w:id="25" w:name="Xbb72b0cc4923fa645e84e23933c89663d260bfe"/>
    <w:p>
      <w:pPr>
        <w:pStyle w:val="Heading3"/>
      </w:pPr>
      <w:r>
        <w:t xml:space="preserve">4.4 Null Stability Analysis (1,000 Permutations)</w:t>
      </w:r>
    </w:p>
    <w:p>
      <w:pPr>
        <w:pStyle w:val="FirstParagraph"/>
      </w:pPr>
      <w:r>
        <w:t xml:space="preserve">We provide a forensic stability check by escalating the label-permutation count from 100 to 1,000 for the DE-1000 setting. The chance-centered behavior of the null distribution is preserved at higher rigor.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Direction</w:t>
            </w:r>
          </w:p>
        </w:tc>
        <w:tc>
          <w:tcPr/>
          <w:p>
            <w:pPr>
              <w:pStyle w:val="Compact"/>
              <w:jc w:val="right"/>
            </w:pPr>
            <w:r>
              <w:t xml:space="preserve">Null Mean AUROC</w:t>
            </w:r>
          </w:p>
        </w:tc>
        <w:tc>
          <w:tcPr/>
          <w:p>
            <w:pPr>
              <w:pStyle w:val="Compact"/>
              <w:jc w:val="right"/>
            </w:pPr>
            <w:r>
              <w:t xml:space="preserve">Null SD</w:t>
            </w:r>
          </w:p>
        </w:tc>
        <w:tc>
          <w:tcPr/>
          <w:p>
            <w:pPr>
              <w:pStyle w:val="Compact"/>
              <w:jc w:val="right"/>
            </w:pPr>
            <w:r>
              <w:t xml:space="preserve">q05</w:t>
            </w:r>
          </w:p>
        </w:tc>
        <w:tc>
          <w:tcPr/>
          <w:p>
            <w:pPr>
              <w:pStyle w:val="Compact"/>
              <w:jc w:val="right"/>
            </w:pPr>
            <w:r>
              <w:t xml:space="preserve">q95</w:t>
            </w:r>
          </w:p>
        </w:tc>
      </w:tr>
      <w:tr>
        <w:tc>
          <w:tcPr/>
          <w:p>
            <w:pPr>
              <w:pStyle w:val="Compact"/>
            </w:pPr>
            <w:r>
              <w:t xml:space="preserve">GSE63060</w:t>
            </w:r>
            <w:r>
              <w:t xml:space="preserve"> </w:t>
            </w:r>
            <m:oMath>
              <m:r>
                <m:rPr>
                  <m:sty m:val="p"/>
                </m:rPr>
                <m:t>→</m:t>
              </m:r>
            </m:oMath>
            <w:r>
              <w:t xml:space="preserve"> </w:t>
            </w:r>
            <w:r>
              <w:t xml:space="preserve">GSE63061</w:t>
            </w:r>
          </w:p>
        </w:tc>
        <w:tc>
          <w:tcPr/>
          <w:p>
            <w:pPr>
              <w:pStyle w:val="Compact"/>
              <w:jc w:val="right"/>
            </w:pPr>
            <w:r>
              <w:t xml:space="preserve">0.499</w:t>
            </w:r>
          </w:p>
        </w:tc>
        <w:tc>
          <w:tcPr/>
          <w:p>
            <w:pPr>
              <w:pStyle w:val="Compact"/>
              <w:jc w:val="right"/>
            </w:pPr>
            <w:r>
              <w:t xml:space="preserve">0.070</w:t>
            </w:r>
          </w:p>
        </w:tc>
        <w:tc>
          <w:tcPr/>
          <w:p>
            <w:pPr>
              <w:pStyle w:val="Compact"/>
              <w:jc w:val="right"/>
            </w:pPr>
            <w:r>
              <w:t xml:space="preserve">0.387</w:t>
            </w:r>
          </w:p>
        </w:tc>
        <w:tc>
          <w:tcPr/>
          <w:p>
            <w:pPr>
              <w:pStyle w:val="Compact"/>
              <w:jc w:val="right"/>
            </w:pPr>
            <w:r>
              <w:t xml:space="preserve">0.613</w:t>
            </w:r>
          </w:p>
        </w:tc>
      </w:tr>
      <w:tr>
        <w:tc>
          <w:tcPr/>
          <w:p>
            <w:pPr>
              <w:pStyle w:val="Compact"/>
            </w:pPr>
            <w:r>
              <w:t xml:space="preserve">GSE63061</w:t>
            </w:r>
            <w:r>
              <w:t xml:space="preserve"> </w:t>
            </w:r>
            <m:oMath>
              <m:r>
                <m:rPr>
                  <m:sty m:val="p"/>
                </m:rPr>
                <m:t>→</m:t>
              </m:r>
            </m:oMath>
            <w:r>
              <w:t xml:space="preserve"> </w:t>
            </w:r>
            <w:r>
              <w:t xml:space="preserve">GSE63060</w:t>
            </w:r>
          </w:p>
        </w:tc>
        <w:tc>
          <w:tcPr/>
          <w:p>
            <w:pPr>
              <w:pStyle w:val="Compact"/>
              <w:jc w:val="right"/>
            </w:pPr>
            <w:r>
              <w:t xml:space="preserve">0.495</w:t>
            </w:r>
          </w:p>
        </w:tc>
        <w:tc>
          <w:tcPr/>
          <w:p>
            <w:pPr>
              <w:pStyle w:val="Compact"/>
              <w:jc w:val="right"/>
            </w:pPr>
            <w:r>
              <w:t xml:space="preserve">0.089</w:t>
            </w:r>
          </w:p>
        </w:tc>
        <w:tc>
          <w:tcPr/>
          <w:p>
            <w:pPr>
              <w:pStyle w:val="Compact"/>
              <w:jc w:val="right"/>
            </w:pPr>
            <w:r>
              <w:t xml:space="preserve">0.356</w:t>
            </w:r>
          </w:p>
        </w:tc>
        <w:tc>
          <w:tcPr/>
          <w:p>
            <w:pPr>
              <w:pStyle w:val="Compact"/>
              <w:jc w:val="right"/>
            </w:pPr>
            <w:r>
              <w:t xml:space="preserve">0.647</w:t>
            </w:r>
          </w:p>
        </w:tc>
      </w:tr>
    </w:tbl>
    <w:bookmarkEnd w:id="25"/>
    <w:bookmarkEnd w:id="26"/>
    <w:bookmarkStart w:id="32" w:name="discussion"/>
    <w:p>
      <w:pPr>
        <w:pStyle w:val="Heading2"/>
      </w:pPr>
      <w:r>
        <w:t xml:space="preserve">5. Discussion</w:t>
      </w:r>
    </w:p>
    <w:bookmarkStart w:id="27" w:name="Xa123f37c00b9a5375b4826bcb44136453b84109"/>
    <w:p>
      <w:pPr>
        <w:pStyle w:val="Heading3"/>
      </w:pPr>
      <w:r>
        <w:t xml:space="preserve">5.1 The BDP-FS Directional Asymmetry: Biological Masking vs. Technical Noise</w:t>
      </w:r>
    </w:p>
    <w:p>
      <w:pPr>
        <w:pStyle w:val="FirstParagraph"/>
      </w:pPr>
      <w:r>
        <w:t xml:space="preserve">The most critical finding in this evaluation is the directional asymmetry of BDP-FS regularization. In the GSE63061</w:t>
      </w:r>
      <m:oMath>
        <m:r>
          <m:rPr>
            <m:sty m:val="p"/>
          </m:rPr>
          <m:t>→</m:t>
        </m:r>
      </m:oMath>
      <w:r>
        <w:t xml:space="preserve">GSE63060 direction, BDP-FS yielded a consistent, monotonic improvement over the standard baseline. However, in the reverse direction (GSE63060</w:t>
      </w:r>
      <m:oMath>
        <m:r>
          <m:rPr>
            <m:sty m:val="p"/>
          </m:rPr>
          <m:t>→</m:t>
        </m:r>
      </m:oMath>
      <w:r>
        <w:t xml:space="preserve">GSE63061), earlier static iterations degraded the baseline by up to −0.043 AUROC, while the adaptive soft-weighting framework successfully recovered this loss, yielding a +0.005 lift in the high-noise direction.</w:t>
      </w:r>
    </w:p>
    <w:p>
      <w:pPr>
        <w:pStyle w:val="BodyText"/>
      </w:pPr>
      <w:r>
        <w:t xml:space="preserve">The observed directional asymmetry—where</w:t>
      </w:r>
      <w:r>
        <w:t xml:space="preserve"> </w:t>
      </w:r>
      <m:oMath>
        <m:r>
          <m:t>61</m:t>
        </m:r>
        <m:r>
          <m:rPr>
            <m:sty m:val="p"/>
          </m:rPr>
          <m:t>→</m:t>
        </m:r>
        <m:r>
          <m:t>60</m:t>
        </m:r>
      </m:oMath>
      <w:r>
        <w:t xml:space="preserve"> </w:t>
      </w:r>
      <w:r>
        <w:t xml:space="preserve">consistently outperforms the</w:t>
      </w:r>
      <w:r>
        <w:t xml:space="preserve"> </w:t>
      </w:r>
      <m:oMath>
        <m:r>
          <m:t>60</m:t>
        </m:r>
        <m:r>
          <m:rPr>
            <m:sty m:val="p"/>
          </m:rPr>
          <m:t>→</m:t>
        </m:r>
        <m:r>
          <m:t>61</m:t>
        </m:r>
      </m:oMath>
      <w:r>
        <w:t xml:space="preserve"> </w:t>
      </w:r>
      <w:r>
        <w:t xml:space="preserve">transfer—suggests that GSE63060 may harbor higher baseline technical variance or</w:t>
      </w:r>
      <w:r>
        <w:t xml:space="preserve"> </w:t>
      </w:r>
      <w:r>
        <w:t xml:space="preserve">“batch-intrinsic noise”</w:t>
      </w:r>
      <w:r>
        <w:t xml:space="preserve"> </w:t>
      </w:r>
      <w:r>
        <w:t xml:space="preserve">than GSE63061. This may stem from undocumented variances in RNA Integrity Number (RIN) distributions or slight shifts in sample collection timepoints at the AddNeuroMed sites, which BDP-FS correctly identifies as high-distortion technical noise. The fact that BDP-FS recovered signal in the high-noise</w:t>
      </w:r>
      <w:r>
        <w:t xml:space="preserve"> </w:t>
      </w:r>
      <m:oMath>
        <m:r>
          <m:t>60</m:t>
        </m:r>
        <m:r>
          <m:rPr>
            <m:sty m:val="p"/>
          </m:rPr>
          <m:t>→</m:t>
        </m:r>
        <m:r>
          <m:t>61</m:t>
        </m:r>
      </m:oMath>
      <w:r>
        <w:t xml:space="preserve"> </w:t>
      </w:r>
      <w:r>
        <w:t xml:space="preserve">direction (where static filters failed) suggests it is particularly valuable when the source cohort is noisier than the target.</w:t>
      </w:r>
    </w:p>
    <w:p>
      <w:pPr>
        <w:pStyle w:val="BodyText"/>
      </w:pPr>
      <w:r>
        <w:t xml:space="preserve">An automated extraction of the top high-distortion genes dropped in the static sweep (Section 4.2) reveals a clustering of transcripts involved in</w:t>
      </w:r>
      <w:r>
        <w:t xml:space="preserve"> </w:t>
      </w:r>
      <w:r>
        <w:rPr>
          <w:b/>
          <w:bCs/>
        </w:rPr>
        <w:t xml:space="preserve">Oxidative Phosphorylation</w:t>
      </w:r>
      <w:r>
        <w:t xml:space="preserve"> </w:t>
      </w:r>
      <w:r>
        <w:t xml:space="preserve">(</w:t>
      </w:r>
      <w:r>
        <w:rPr>
          <w:i/>
          <w:iCs/>
        </w:rPr>
        <w:t xml:space="preserve">NDUFA1</w:t>
      </w:r>
      <w:r>
        <w:t xml:space="preserve">,</w:t>
      </w:r>
      <w:r>
        <w:t xml:space="preserve"> </w:t>
      </w:r>
      <w:r>
        <w:rPr>
          <w:i/>
          <w:iCs/>
        </w:rPr>
        <w:t xml:space="preserve">NDUFS5</w:t>
      </w:r>
      <w:r>
        <w:t xml:space="preserve">) and</w:t>
      </w:r>
      <w:r>
        <w:t xml:space="preserve"> </w:t>
      </w:r>
      <w:r>
        <w:rPr>
          <w:b/>
          <w:bCs/>
        </w:rPr>
        <w:t xml:space="preserve">Neuroinflammation</w:t>
      </w:r>
      <w:r>
        <w:t xml:space="preserve"> </w:t>
      </w:r>
      <w:r>
        <w:t xml:space="preserve">(</w:t>
      </w:r>
      <w:r>
        <w:rPr>
          <w:i/>
          <w:iCs/>
        </w:rPr>
        <w:t xml:space="preserve">IKBKB</w:t>
      </w:r>
      <w:r>
        <w:t xml:space="preserve">,</w:t>
      </w:r>
      <w:r>
        <w:t xml:space="preserve"> </w:t>
      </w:r>
      <w:r>
        <w:rPr>
          <w:i/>
          <w:iCs/>
        </w:rPr>
        <w:t xml:space="preserve">HCLS1</w:t>
      </w:r>
      <w:r>
        <w:t xml:space="preserve">). While these pathways are fundamental hallmarks of Alzheimer’s pathology, they often exhibit extreme empirical Bayes distortion scores (</w:t>
      </w:r>
      <m:oMath>
        <m:sSub>
          <m:e>
            <m:r>
              <m:t>D</m:t>
            </m:r>
          </m:e>
          <m:sub>
            <m:r>
              <m:t>g</m:t>
            </m:r>
          </m:sub>
        </m:sSub>
        <m:r>
          <m:rPr>
            <m:sty m:val="p"/>
          </m:rPr>
          <m:t>&gt;</m:t>
        </m:r>
        <m:r>
          <m:t>τ</m:t>
        </m:r>
      </m:oMath>
      <w:r>
        <w:t xml:space="preserve">) in specific cohort pairings. This highlights a</w:t>
      </w:r>
      <w:r>
        <w:t xml:space="preserve"> </w:t>
      </w:r>
      <w:r>
        <w:t xml:space="preserve">“Biological Masking”</w:t>
      </w:r>
      <w:r>
        <w:t xml:space="preserve"> </w:t>
      </w:r>
      <w:r>
        <w:t xml:space="preserve">phenomenon: in certain cohorts, the primary disease signal is unfortunately co-localized with high technical variance or platform-specific noise. The adaptive BDP-FS variant mitigates this risk by employing biologically-informed weight discounting, allowing these critical transcripts to contribute to the model while still penalizing their technical noise.</w:t>
      </w:r>
    </w:p>
    <w:bookmarkEnd w:id="27"/>
    <w:bookmarkStart w:id="28" w:name="Xcaaee3e972c077f93ef226bcfa8041e3695e4ca"/>
    <w:p>
      <w:pPr>
        <w:pStyle w:val="Heading3"/>
      </w:pPr>
      <w:r>
        <w:t xml:space="preserve">5.2 Biological Integrity vs. Predictive Gains</w:t>
      </w:r>
    </w:p>
    <w:p>
      <w:pPr>
        <w:pStyle w:val="FirstParagraph"/>
      </w:pPr>
      <w:r>
        <w:t xml:space="preserve">While the absolute AUROC lift of +0.005 is conservative, the primary utility of Adaptive BDP-FS is the</w:t>
      </w:r>
      <w:r>
        <w:t xml:space="preserve"> </w:t>
      </w:r>
      <w:r>
        <w:rPr>
          <w:b/>
          <w:bCs/>
        </w:rPr>
        <w:t xml:space="preserve">stabilization of the feature space</w:t>
      </w:r>
      <w:r>
        <w:t xml:space="preserve">. By utilizing a continuous exponential decay penalty (</w:t>
      </w:r>
      <m:oMath>
        <m:sSub>
          <m:e>
            <m:r>
              <m:t>w</m:t>
            </m:r>
          </m:e>
          <m:sub>
            <m:r>
              <m:t>g</m:t>
            </m:r>
          </m:sub>
        </m:sSub>
      </m:oMath>
      <w:r>
        <w:t xml:space="preserve">), the Adaptive BDP-FS framework ensures that features with high biological signal (</w:t>
      </w:r>
      <m:oMath>
        <m:r>
          <m:rPr>
            <m:sty m:val="p"/>
          </m:rPr>
          <m:t>|</m:t>
        </m:r>
        <m:sSub>
          <m:e>
            <m:r>
              <m:t>t</m:t>
            </m:r>
          </m:e>
          <m:sub>
            <m:r>
              <m:t>g</m:t>
            </m:r>
          </m:sub>
        </m:sSub>
        <m:r>
          <m:rPr>
            <m:sty m:val="p"/>
          </m:rPr>
          <m:t>|</m:t>
        </m:r>
      </m:oMath>
      <w:r>
        <w:t xml:space="preserve">) can overcome moderate technical penalties (</w:t>
      </w:r>
      <m:oMath>
        <m:sSub>
          <m:e>
            <m:r>
              <m:t>D</m:t>
            </m:r>
          </m:e>
          <m:sub>
            <m:r>
              <m:t>g</m:t>
            </m:r>
          </m:sub>
        </m:sSub>
      </m:oMath>
      <w:r>
        <w:t xml:space="preserve">). This</w:t>
      </w:r>
      <w:r>
        <w:t xml:space="preserve"> </w:t>
      </w:r>
      <w:r>
        <w:t xml:space="preserve">“soft-weighting”</w:t>
      </w:r>
      <w:r>
        <w:t xml:space="preserve"> </w:t>
      </w:r>
      <w:r>
        <w:t xml:space="preserve">mechanism explains the +0.005 lift: the model was able to retain</w:t>
      </w:r>
      <w:r>
        <w:t xml:space="preserve"> </w:t>
      </w:r>
      <w:r>
        <w:t xml:space="preserve">“borderline”</w:t>
      </w:r>
      <w:r>
        <w:t xml:space="preserve"> </w:t>
      </w:r>
      <w:r>
        <w:t xml:space="preserve">features that the static sweep would have summarily deleted.</w:t>
      </w:r>
    </w:p>
    <w:p>
      <w:pPr>
        <w:pStyle w:val="BodyText"/>
      </w:pPr>
      <w:r>
        <w:t xml:space="preserve">By preserving 164 Agora-nominated targets—including key AD pathology genes like</w:t>
      </w:r>
      <w:r>
        <w:t xml:space="preserve"> </w:t>
      </w:r>
      <w:r>
        <w:rPr>
          <w:b/>
          <w:bCs/>
        </w:rPr>
        <w:t xml:space="preserve">NDUFA1</w:t>
      </w:r>
      <w:r>
        <w:t xml:space="preserve">,</w:t>
      </w:r>
      <w:r>
        <w:t xml:space="preserve"> </w:t>
      </w:r>
      <w:r>
        <w:rPr>
          <w:b/>
          <w:bCs/>
        </w:rPr>
        <w:t xml:space="preserve">IKBKB</w:t>
      </w:r>
      <w:r>
        <w:t xml:space="preserve">, and</w:t>
      </w:r>
      <w:r>
        <w:t xml:space="preserve"> </w:t>
      </w:r>
      <w:r>
        <w:rPr>
          <w:b/>
          <w:bCs/>
        </w:rPr>
        <w:t xml:space="preserve">ABCA2</w:t>
      </w:r>
      <w:r>
        <w:t xml:space="preserve"> </w:t>
      </w:r>
      <w:r>
        <w:t xml:space="preserve">(Section 4.2)—the framework ensures that the resulting models are biologically interpretable and grounded in validated pathology, rather than being driven by high-variance technical artifacts. Furthermore, the GMM-anchored baseline (</w:t>
      </w:r>
      <m:oMath>
        <m:sSub>
          <m:e>
            <m:r>
              <m:t>τ</m:t>
            </m:r>
          </m:e>
          <m:sub>
            <m:r>
              <m:t>0</m:t>
            </m:r>
          </m:sub>
        </m:sSub>
      </m:oMath>
      <w:r>
        <w:t xml:space="preserve">) ensures that the penalty is only applied to features statistically identified as artifact-dominant, leaving the native biological signal largely unpenalized. This data-driven thresholding minimizes investigator bias in hyperparameter selection, enhancing the reproducibility of the pipeline in multi-center clinical studies.</w:t>
      </w:r>
    </w:p>
    <w:bookmarkEnd w:id="28"/>
    <w:bookmarkStart w:id="29" w:name="Xc32b9042cb37bc6ea58d8b5af7e61248e093a98"/>
    <w:p>
      <w:pPr>
        <w:pStyle w:val="Heading3"/>
      </w:pPr>
      <w:r>
        <w:t xml:space="preserve">5.3 The Curse of Dimensionality in Clinical Holdouts</w:t>
      </w:r>
    </w:p>
    <w:p>
      <w:pPr>
        <w:pStyle w:val="FirstParagraph"/>
      </w:pPr>
      <w:r>
        <w:t xml:space="preserve">A secondary cross-platform evaluation on GSE97760 (Agilent,</w:t>
      </w:r>
      <w:r>
        <w:t xml:space="preserve"> </w:t>
      </w:r>
      <m:oMath>
        <m:r>
          <m:t>N</m:t>
        </m:r>
        <m:r>
          <m:rPr>
            <m:sty m:val="p"/>
          </m:rPr>
          <m:t>=</m:t>
        </m:r>
        <m:r>
          <m:t>19</m:t>
        </m:r>
      </m:oMath>
      <w:r>
        <w:t xml:space="preserve">,</w:t>
      </w:r>
      <w:r>
        <w:t xml:space="preserve"> </w:t>
      </w:r>
      <m:oMath>
        <m:sSub>
          <m:e>
            <m:r>
              <m:t>N</m:t>
            </m:r>
          </m:e>
          <m:sub>
            <m:r>
              <m:t>t</m:t>
            </m:r>
            <m:r>
              <m:t>e</m:t>
            </m:r>
            <m:r>
              <m:t>s</m:t>
            </m:r>
            <m:r>
              <m:t>t</m:t>
            </m:r>
          </m:sub>
        </m:sSub>
        <m:r>
          <m:rPr>
            <m:sty m:val="p"/>
          </m:rPr>
          <m:t>=</m:t>
        </m:r>
        <m:r>
          <m:t>6</m:t>
        </m:r>
      </m:oMath>
      <w:r>
        <w:t xml:space="preserve">) produced uniformly perfect AUROCs (1.0) across all arms. Permutation-null analysis revealed this to be a statistical artifact: with a feature-to-sample ratio of 77:1, logistic regression trivially finds a separating hyperplane, and random label permutations achieve perfect classification 26% of the time (</w:t>
      </w:r>
      <m:oMath>
        <m:r>
          <m:t>p</m:t>
        </m:r>
        <m:r>
          <m:rPr>
            <m:sty m:val="p"/>
          </m:rPr>
          <m:t>=</m:t>
        </m:r>
        <m:r>
          <m:t>0.26</m:t>
        </m:r>
      </m:oMath>
      <w:r>
        <w:t xml:space="preserve">).</w:t>
      </w:r>
    </w:p>
    <w:p>
      <w:pPr>
        <w:pStyle w:val="BodyText"/>
      </w:pPr>
      <w:r>
        <w:t xml:space="preserve">This result serves as a cautionary demonstration that micro-cohort holdouts with</w:t>
      </w:r>
      <w:r>
        <w:t xml:space="preserve"> </w:t>
      </w:r>
      <m:oMath>
        <m:sSub>
          <m:e>
            <m:r>
              <m:t>N</m:t>
            </m:r>
          </m:e>
          <m:sub>
            <m:r>
              <m:t>t</m:t>
            </m:r>
            <m:r>
              <m:t>e</m:t>
            </m:r>
            <m:r>
              <m:t>s</m:t>
            </m:r>
            <m:r>
              <m:t>t</m:t>
            </m:r>
          </m:sub>
        </m:sSub>
        <m:r>
          <m:rPr>
            <m:sty m:val="p"/>
          </m:rPr>
          <m:t>&lt;</m:t>
        </m:r>
        <m:r>
          <m:t>50</m:t>
        </m:r>
      </m:oMath>
      <w:r>
        <w:t xml:space="preserve"> </w:t>
      </w:r>
      <w:r>
        <w:t xml:space="preserve">cannot support claims of predictive generalizability without exhaustive null calibration. We propose that</w:t>
      </w:r>
      <w:r>
        <w:t xml:space="preserve"> </w:t>
      </w:r>
      <w:r>
        <w:rPr>
          <w:b/>
          <w:bCs/>
        </w:rPr>
        <w:t xml:space="preserve">Permutation-Null Calibration</w:t>
      </w:r>
      <w:r>
        <w:t xml:space="preserve"> </w:t>
      </w:r>
      <w:r>
        <w:t xml:space="preserve">be a mandatory requirement for any transcriptomic study utilizing validation cohorts with</w:t>
      </w:r>
      <w:r>
        <w:t xml:space="preserve"> </w:t>
      </w:r>
      <m:oMath>
        <m:r>
          <m:t>N</m:t>
        </m:r>
        <m:r>
          <m:rPr>
            <m:sty m:val="p"/>
          </m:rPr>
          <m:t>&lt;</m:t>
        </m:r>
        <m:r>
          <m:t>50</m:t>
        </m:r>
      </m:oMath>
      <w:r>
        <w:t xml:space="preserve">. Any paper reporting near-perfect AUROCs on small clinical transcriptomic holdouts without accompanying permutation-null distributions should be interpreted with caution.</w:t>
      </w:r>
    </w:p>
    <w:bookmarkEnd w:id="29"/>
    <w:bookmarkStart w:id="30" w:name="recommendations"/>
    <w:p>
      <w:pPr>
        <w:pStyle w:val="Heading3"/>
      </w:pPr>
      <w:r>
        <w:t xml:space="preserve">5.4 Recommendations</w:t>
      </w:r>
    </w:p>
    <w:p>
      <w:pPr>
        <w:pStyle w:val="FirstParagraph"/>
      </w:pPr>
      <w:r>
        <w:t xml:space="preserve">Based on these findings, we recommend that cross-cohort transcriptomic evaluation studies:</w:t>
      </w:r>
    </w:p>
    <w:p>
      <w:pPr>
        <w:pStyle w:val="Compact"/>
        <w:numPr>
          <w:ilvl w:val="0"/>
          <w:numId w:val="1007"/>
        </w:numPr>
      </w:pPr>
      <w:r>
        <w:t xml:space="preserve">Validate on cohorts with</w:t>
      </w:r>
      <w:r>
        <w:t xml:space="preserve"> </w:t>
      </w:r>
      <m:oMath>
        <m:sSub>
          <m:e>
            <m:r>
              <m:t>N</m:t>
            </m:r>
          </m:e>
          <m:sub>
            <m:r>
              <m:t>t</m:t>
            </m:r>
            <m:r>
              <m:t>e</m:t>
            </m:r>
            <m:r>
              <m:t>s</m:t>
            </m:r>
            <m:r>
              <m:t>t</m:t>
            </m:r>
          </m:sub>
        </m:sSub>
        <m:r>
          <m:rPr>
            <m:sty m:val="p"/>
          </m:rPr>
          <m:t>≥</m:t>
        </m:r>
        <m:r>
          <m:t>50</m:t>
        </m:r>
      </m:oMath>
      <w:r>
        <w:t xml:space="preserve"> </w:t>
      </w:r>
      <w:r>
        <w:t xml:space="preserve">to ensure adequate statistical power.</w:t>
      </w:r>
    </w:p>
    <w:p>
      <w:pPr>
        <w:pStyle w:val="Compact"/>
        <w:numPr>
          <w:ilvl w:val="0"/>
          <w:numId w:val="1007"/>
        </w:numPr>
      </w:pPr>
      <w:r>
        <w:t xml:space="preserve">Report full permutation-null distributions alongside primary metrics.</w:t>
      </w:r>
    </w:p>
    <w:p>
      <w:pPr>
        <w:pStyle w:val="Compact"/>
        <w:numPr>
          <w:ilvl w:val="0"/>
          <w:numId w:val="1007"/>
        </w:numPr>
      </w:pPr>
      <w:r>
        <w:t xml:space="preserve">Apply harmonization-aware feature selection (such as BDP-FS) as an initial conservative filter, but evaluate its impact bidirectionally to distinguish technical artifact removal from biological signal suppression.</w:t>
      </w:r>
    </w:p>
    <w:p>
      <w:pPr>
        <w:pStyle w:val="Compact"/>
        <w:numPr>
          <w:ilvl w:val="0"/>
          <w:numId w:val="1007"/>
        </w:numPr>
      </w:pPr>
      <w:r>
        <w:t xml:space="preserve">Use the directional response to BDP-FS as a diagnostic for whether inter-cohort differences are primarily technical or biological in origin.</w:t>
      </w:r>
    </w:p>
    <w:bookmarkEnd w:id="30"/>
    <w:bookmarkStart w:id="31" w:name="Xfe52139c4d346eed08ca65a27dea0b3ab4604f7"/>
    <w:p>
      <w:pPr>
        <w:pStyle w:val="Heading3"/>
      </w:pPr>
      <w:r>
        <w:t xml:space="preserve">5.5 The Power vs. Variance Trade-off in Pooled Training</w:t>
      </w:r>
    </w:p>
    <w:p>
      <w:pPr>
        <w:pStyle w:val="FirstParagraph"/>
      </w:pPr>
      <w:r>
        <w:t xml:space="preserve">The observed performance gains of the</w:t>
      </w:r>
      <w:r>
        <w:t xml:space="preserve"> </w:t>
      </w:r>
      <w:r>
        <w:rPr>
          <w:rStyle w:val="VerbatimChar"/>
        </w:rPr>
        <w:t xml:space="preserve">source_plus_target_raw</w:t>
      </w:r>
      <w:r>
        <w:t xml:space="preserve"> </w:t>
      </w:r>
      <w:r>
        <w:t xml:space="preserve">arm over the</w:t>
      </w:r>
      <w:r>
        <w:t xml:space="preserve"> </w:t>
      </w:r>
      <w:r>
        <w:rPr>
          <w:rStyle w:val="VerbatimChar"/>
        </w:rPr>
        <w:t xml:space="preserve">target_only</w:t>
      </w:r>
      <w:r>
        <w:t xml:space="preserve"> </w:t>
      </w:r>
      <w:r>
        <w:t xml:space="preserve">arm (Section 4) may initially seem counter-intuitive given the presence of inter-platform batch effects. However, this phenomenon can be explained by the</w:t>
      </w:r>
      <w:r>
        <w:t xml:space="preserve"> </w:t>
      </w:r>
      <w:r>
        <w:rPr>
          <w:b/>
          <w:bCs/>
        </w:rPr>
        <w:t xml:space="preserve">Power-Variance Trade-off</w:t>
      </w:r>
      <w:r>
        <w:t xml:space="preserve">: when two cohorts share the same platform architecture (e.g., Illumina HumanHT-12), the biological signal (AD vs. CTL) remains relatively consistent. In such cases, the gains in statistical power achieved by increasing the total sample size (</w:t>
      </w:r>
      <m:oMath>
        <m:r>
          <m:t>N</m:t>
        </m:r>
      </m:oMath>
      <w:r>
        <w:t xml:space="preserve">) through pooling can outweigh the non-systematic platform noise. This suggests that for homogenous platform transfers, larger pooled datasets may be superior to smaller, perfectly corrected ones, highlighting the importance of sample scale in blood-based diagnostic development.</w:t>
      </w:r>
    </w:p>
    <w:bookmarkEnd w:id="31"/>
    <w:bookmarkEnd w:id="32"/>
    <w:bookmarkStart w:id="34" w:name="limitations"/>
    <w:p>
      <w:pPr>
        <w:pStyle w:val="Heading2"/>
      </w:pPr>
      <w:r>
        <w:t xml:space="preserve">6. Limitations</w:t>
      </w:r>
    </w:p>
    <w:p>
      <w:pPr>
        <w:pStyle w:val="Compact"/>
        <w:numPr>
          <w:ilvl w:val="0"/>
          <w:numId w:val="1008"/>
        </w:numPr>
      </w:pPr>
      <w:r>
        <w:t xml:space="preserve">BDP-FS benefit is direction-dependent and may not generalize uniformly across all cohort pairings.</w:t>
      </w:r>
    </w:p>
    <w:p>
      <w:pPr>
        <w:pStyle w:val="Compact"/>
        <w:numPr>
          <w:ilvl w:val="0"/>
          <w:numId w:val="1008"/>
        </w:numPr>
      </w:pPr>
      <w:r>
        <w:t xml:space="preserve">The GSE97760 cross-platform evaluation is underpowered and cannot support definitive conclusions about cross-vendor generalizability.</w:t>
      </w:r>
    </w:p>
    <w:p>
      <w:pPr>
        <w:pStyle w:val="Compact"/>
        <w:numPr>
          <w:ilvl w:val="0"/>
          <w:numId w:val="1008"/>
        </w:numPr>
      </w:pPr>
      <w:r>
        <w:t xml:space="preserve">The</w:t>
      </w:r>
      <w:r>
        <w:t xml:space="preserve"> </w:t>
      </w:r>
      <m:oMath>
        <m:r>
          <m:t>τ</m:t>
        </m:r>
      </m:oMath>
      <w:r>
        <w:t xml:space="preserve"> </w:t>
      </w:r>
      <w:r>
        <w:t xml:space="preserve">hyperparameter was not optimized via cross-validation; reported values reflect a fixed percentile sweep.</w:t>
      </w:r>
    </w:p>
    <w:p>
      <w:pPr>
        <w:pStyle w:val="Compact"/>
        <w:numPr>
          <w:ilvl w:val="0"/>
          <w:numId w:val="1008"/>
        </w:numPr>
      </w:pPr>
      <w:r>
        <w:rPr>
          <w:b/>
          <w:bCs/>
        </w:rPr>
        <w:t xml:space="preserve">Feature Selection Bias</w:t>
      </w:r>
      <w:r>
        <w:t xml:space="preserve">: For the primary arms, differential expression (DE) ranking was performed on the target-train set for every cross-cohort experiment. This domain-specific optimization may inflate the</w:t>
      </w:r>
      <w:r>
        <w:t xml:space="preserve"> </w:t>
      </w:r>
      <w:r>
        <w:t xml:space="preserve">‘target_only’</w:t>
      </w:r>
      <w:r>
        <w:t xml:space="preserve"> </w:t>
      </w:r>
      <w:r>
        <w:t xml:space="preserve">performance relative to true zero-shot transfers where a static global signature is applied.</w:t>
      </w:r>
    </w:p>
    <w:p>
      <w:pPr>
        <w:pStyle w:val="Compact"/>
        <w:numPr>
          <w:ilvl w:val="0"/>
          <w:numId w:val="1008"/>
        </w:numPr>
      </w:pPr>
      <m:oMath>
        <m:r>
          <m:t>α</m:t>
        </m:r>
      </m:oMath>
      <w:r>
        <w:rPr>
          <w:b/>
          <w:bCs/>
        </w:rPr>
        <w:t xml:space="preserve"> </w:t>
      </w:r>
      <w:r>
        <w:rPr>
          <w:b/>
          <w:bCs/>
        </w:rPr>
        <w:t xml:space="preserve">Sensitivity</w:t>
      </w:r>
      <w:r>
        <w:t xml:space="preserve">: While the GMM-anchored approach automates the selection of the distortion anchor (</w:t>
      </w:r>
      <m:oMath>
        <m:sSub>
          <m:e>
            <m:r>
              <m:t>τ</m:t>
            </m:r>
          </m:e>
          <m:sub>
            <m:r>
              <m:t>0</m:t>
            </m:r>
          </m:sub>
        </m:sSub>
      </m:oMath>
      <w:r>
        <w:t xml:space="preserve">), the exponential decay rate (</w:t>
      </w:r>
      <m:oMath>
        <m:r>
          <m:t>α</m:t>
        </m:r>
      </m:oMath>
      <w:r>
        <w:t xml:space="preserve">) remains a fixed hyperparameter. Future work should explore the sensitivity of cross-platform transfers to varying decay rates to further optimize the balance between artifact suppression and signal retention.</w:t>
      </w:r>
    </w:p>
    <w:bookmarkStart w:id="33" w:name="cross-model-validation"/>
    <w:p>
      <w:pPr>
        <w:pStyle w:val="Heading3"/>
      </w:pPr>
      <w:r>
        <w:t xml:space="preserve">4.5 Cross-Model Validation</w:t>
      </w:r>
    </w:p>
    <w:p>
      <w:pPr>
        <w:pStyle w:val="FirstParagraph"/>
      </w:pPr>
      <w:r>
        <w:t xml:space="preserve">To ensure that the performance of the BDP-FS framework is not dependent on a specific model architecture, we evaluated the baseline</w:t>
      </w:r>
      <w:r>
        <w:t xml:space="preserve"> </w:t>
      </w:r>
      <w:r>
        <w:rPr>
          <w:rStyle w:val="VerbatimChar"/>
        </w:rPr>
        <w:t xml:space="preserve">de_ttest</w:t>
      </w:r>
      <w:r>
        <w:t xml:space="preserve"> </w:t>
      </w:r>
      <w:r>
        <w:t xml:space="preserve">and the BDP-FS selected features across</w:t>
      </w:r>
      <w:r>
        <w:t xml:space="preserve"> </w:t>
      </w:r>
      <w:r>
        <w:rPr>
          <w:b/>
          <w:bCs/>
        </w:rPr>
        <w:t xml:space="preserve">Support Vector Machines (SVM)</w:t>
      </w:r>
      <w:r>
        <w:t xml:space="preserve"> </w:t>
      </w:r>
      <w:r>
        <w:t xml:space="preserve">and</w:t>
      </w:r>
      <w:r>
        <w:t xml:space="preserve"> </w:t>
      </w:r>
      <w:r>
        <w:rPr>
          <w:b/>
          <w:bCs/>
        </w:rPr>
        <w:t xml:space="preserve">Random Forests (RF)</w:t>
      </w:r>
      <w:r>
        <w:t xml:space="preserve">. In the GSE63061</w:t>
      </w:r>
      <m:oMath>
        <m:r>
          <m:rPr>
            <m:sty m:val="p"/>
          </m:rPr>
          <m:t>→</m:t>
        </m:r>
      </m:oMath>
      <w:r>
        <w:t xml:space="preserve">GSE63060 direction, SVM and RF achieved AUROCs of 0.884 and 0.876 respectively, demonstrating consistent predictive stability across linear and non-linear classifiers.</w:t>
      </w:r>
    </w:p>
    <w:bookmarkEnd w:id="33"/>
    <w:bookmarkEnd w:id="34"/>
    <w:bookmarkStart w:id="35" w:name="conclusion"/>
    <w:p>
      <w:pPr>
        <w:pStyle w:val="Heading2"/>
      </w:pPr>
      <w:r>
        <w:t xml:space="preserve">7. Conclusion</w:t>
      </w:r>
    </w:p>
    <w:p>
      <w:pPr>
        <w:pStyle w:val="FirstParagraph"/>
      </w:pPr>
      <w:r>
        <w:t xml:space="preserve">This study introduced BDP-FS, a regularization framework that incorporates technical distortion metrics into the feature selection pipeline via continuous, GMM-anchored soft weighting. By penalizing features proportional to their technical variance during platform harmonization, the Adaptive BDP-FS variant achieves modest predictive gains in compatible cohort transfers while substantially enhancing the preservation of biological signal in high-noise environments. These findings suggest that batch-distortion regularization is a promising strategy for developing stable, cohort-agnostic diagnostic signatures in precision medicine.</w:t>
      </w:r>
    </w:p>
    <w:bookmarkEnd w:id="35"/>
    <w:bookmarkStart w:id="42" w:name="reproducibility-manifest"/>
    <w:p>
      <w:pPr>
        <w:pStyle w:val="Heading2"/>
      </w:pPr>
      <w:r>
        <w:t xml:space="preserve">8. Reproducibility Manifest</w:t>
      </w:r>
    </w:p>
    <w:p>
      <w:pPr>
        <w:pStyle w:val="FirstParagraph"/>
      </w:pPr>
      <w:r>
        <w:t xml:space="preserve">This section provides the</w:t>
      </w:r>
      <w:r>
        <w:t xml:space="preserve"> </w:t>
      </w:r>
      <w:r>
        <w:t xml:space="preserve">“Reproducibility Manifest”</w:t>
      </w:r>
      <w:r>
        <w:t xml:space="preserve"> </w:t>
      </w:r>
      <w:r>
        <w:t xml:space="preserve">for automated result verification. Repository:</w:t>
      </w:r>
      <w:r>
        <w:t xml:space="preserve"> </w:t>
      </w:r>
      <w:hyperlink r:id="rId36">
        <w:r>
          <w:rPr>
            <w:rStyle w:val="Hyperlink"/>
          </w:rPr>
          <w:t xml:space="preserve">github.com/githubbermoon/bio-paper-track-open-phasea</w:t>
        </w:r>
      </w:hyperlink>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bdpfs-adaptive-repro</w:t>
      </w:r>
      <w:r>
        <w:br/>
      </w:r>
      <w:r>
        <w:rPr>
          <w:rStyle w:val="FunctionTok"/>
        </w:rPr>
        <w:t xml:space="preserve">description</w:t>
      </w:r>
      <w:r>
        <w:rPr>
          <w:rStyle w:val="KeywordTok"/>
        </w:rPr>
        <w:t xml:space="preserve">:</w:t>
      </w:r>
      <w:r>
        <w:rPr>
          <w:rStyle w:val="AttributeTok"/>
        </w:rPr>
        <w:t xml:space="preserve"> Reproduce Adaptive BDP-FS (GMM-regularized) cross-cohort AD prediction with 1,000 permutations and biological target preservation validation.</w:t>
      </w:r>
      <w:r>
        <w:br/>
      </w:r>
      <w:r>
        <w:rPr>
          <w:rStyle w:val="FunctionTok"/>
        </w:rPr>
        <w:t xml:space="preserve">allowed-tools</w:t>
      </w:r>
      <w:r>
        <w:rPr>
          <w:rStyle w:val="KeywordTok"/>
        </w:rPr>
        <w:t xml:space="preserve">:</w:t>
      </w:r>
      <w:r>
        <w:br/>
      </w:r>
      <w:r>
        <w:rPr>
          <w:rStyle w:val="AttributeTok"/>
        </w:rPr>
        <w:t xml:space="preserve">  </w:t>
      </w:r>
      <w:r>
        <w:rPr>
          <w:rStyle w:val="KeywordTok"/>
        </w:rPr>
        <w:t xml:space="preserve">-</w:t>
      </w:r>
      <w:r>
        <w:rPr>
          <w:rStyle w:val="AttributeTok"/>
        </w:rPr>
        <w:t xml:space="preserve"> Bash(git *)</w:t>
      </w:r>
      <w:r>
        <w:br/>
      </w:r>
      <w:r>
        <w:rPr>
          <w:rStyle w:val="AttributeTok"/>
        </w:rPr>
        <w:t xml:space="preserve">  </w:t>
      </w:r>
      <w:r>
        <w:rPr>
          <w:rStyle w:val="KeywordTok"/>
        </w:rPr>
        <w:t xml:space="preserve">-</w:t>
      </w:r>
      <w:r>
        <w:rPr>
          <w:rStyle w:val="AttributeTok"/>
        </w:rPr>
        <w:t xml:space="preserve"> Bash(cd *)</w:t>
      </w:r>
      <w:r>
        <w:br/>
      </w:r>
      <w:r>
        <w:rPr>
          <w:rStyle w:val="AttributeTok"/>
        </w:rPr>
        <w:t xml:space="preserve">  </w:t>
      </w:r>
      <w:r>
        <w:rPr>
          <w:rStyle w:val="KeywordTok"/>
        </w:rPr>
        <w:t xml:space="preserve">-</w:t>
      </w:r>
      <w:r>
        <w:rPr>
          <w:rStyle w:val="AttributeTok"/>
        </w:rPr>
        <w:t xml:space="preserve"> Bash(python *)</w:t>
      </w:r>
      <w:r>
        <w:br/>
      </w:r>
      <w:r>
        <w:rPr>
          <w:rStyle w:val="AttributeTok"/>
        </w:rPr>
        <w:t xml:space="preserve">  </w:t>
      </w:r>
      <w:r>
        <w:rPr>
          <w:rStyle w:val="KeywordTok"/>
        </w:rPr>
        <w:t xml:space="preserve">-</w:t>
      </w:r>
      <w:r>
        <w:rPr>
          <w:rStyle w:val="AttributeTok"/>
        </w:rPr>
        <w:t xml:space="preserve"> Bash(pip *)</w:t>
      </w:r>
      <w:r>
        <w:br/>
      </w:r>
      <w:r>
        <w:rPr>
          <w:rStyle w:val="AttributeTok"/>
        </w:rPr>
        <w:t xml:space="preserve">  </w:t>
      </w:r>
      <w:r>
        <w:rPr>
          <w:rStyle w:val="KeywordTok"/>
        </w:rPr>
        <w:t xml:space="preserve">-</w:t>
      </w:r>
      <w:r>
        <w:rPr>
          <w:rStyle w:val="AttributeTok"/>
        </w:rPr>
        <w:t xml:space="preserve"> WebFetch</w:t>
      </w:r>
      <w:r>
        <w:br/>
      </w:r>
      <w:r>
        <w:rPr>
          <w:rStyle w:val="PreprocessorTok"/>
        </w:rPr>
        <w:t xml:space="preserve">---</w:t>
      </w:r>
    </w:p>
    <w:p>
      <w:pPr>
        <w:pStyle w:val="FirstParagraph"/>
      </w:pPr>
      <w:r>
        <w:t xml:space="preserve">This reproducibility protocol recreates the core findings of the Adaptive BDP-FS framework, specifically the AUROC lift and the Agora preservation enabled by the GMM-regularized weight discounting.</w:t>
      </w:r>
    </w:p>
    <w:bookmarkStart w:id="37" w:name="timing-resources"/>
    <w:p>
      <w:pPr>
        <w:pStyle w:val="Heading3"/>
      </w:pPr>
      <w:r>
        <w:t xml:space="preserve">⏳ Timing &amp; 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Est. Time</w:t>
            </w:r>
          </w:p>
        </w:tc>
        <w:tc>
          <w:tcPr/>
          <w:p>
            <w:pPr>
              <w:pStyle w:val="Compact"/>
              <w:jc w:val="left"/>
            </w:pPr>
            <w:r>
              <w:t xml:space="preserve">Resource</w:t>
            </w:r>
          </w:p>
        </w:tc>
      </w:tr>
      <w:tr>
        <w:tc>
          <w:tcPr/>
          <w:p>
            <w:pPr>
              <w:pStyle w:val="Compact"/>
              <w:jc w:val="left"/>
            </w:pPr>
            <w:r>
              <w:t xml:space="preserve">Environment Setup</w:t>
            </w:r>
          </w:p>
        </w:tc>
        <w:tc>
          <w:tcPr/>
          <w:p>
            <w:pPr>
              <w:pStyle w:val="Compact"/>
              <w:jc w:val="left"/>
            </w:pPr>
            <w:r>
              <w:t xml:space="preserve">1-2 min</w:t>
            </w:r>
          </w:p>
        </w:tc>
        <w:tc>
          <w:tcPr/>
          <w:p>
            <w:pPr>
              <w:pStyle w:val="Compact"/>
              <w:jc w:val="left"/>
            </w:pPr>
            <w:r>
              <w:t xml:space="preserve">Internet Access</w:t>
            </w:r>
          </w:p>
        </w:tc>
      </w:tr>
      <w:tr>
        <w:tc>
          <w:tcPr/>
          <w:p>
            <w:pPr>
              <w:pStyle w:val="Compact"/>
              <w:jc w:val="left"/>
            </w:pPr>
            <w:r>
              <w:t xml:space="preserve">Data Ingestion</w:t>
            </w:r>
          </w:p>
        </w:tc>
        <w:tc>
          <w:tcPr/>
          <w:p>
            <w:pPr>
              <w:pStyle w:val="Compact"/>
              <w:jc w:val="left"/>
            </w:pPr>
            <w:r>
              <w:t xml:space="preserve">2-3 min</w:t>
            </w:r>
          </w:p>
        </w:tc>
        <w:tc>
          <w:tcPr/>
          <w:p>
            <w:pPr>
              <w:pStyle w:val="Compact"/>
              <w:jc w:val="left"/>
            </w:pPr>
            <w:r>
              <w:t xml:space="preserve">AD Knowledge Portal API</w:t>
            </w:r>
          </w:p>
        </w:tc>
      </w:tr>
      <w:tr>
        <w:tc>
          <w:tcPr/>
          <w:p>
            <w:pPr>
              <w:pStyle w:val="Compact"/>
              <w:jc w:val="left"/>
            </w:pPr>
            <w:r>
              <w:t xml:space="preserve">1,000-Perm Benchmark</w:t>
            </w:r>
          </w:p>
        </w:tc>
        <w:tc>
          <w:tcPr/>
          <w:p>
            <w:pPr>
              <w:pStyle w:val="Compact"/>
              <w:jc w:val="left"/>
            </w:pPr>
            <w:r>
              <w:t xml:space="preserve">5-8 min</w:t>
            </w:r>
          </w:p>
        </w:tc>
        <w:tc>
          <w:tcPr/>
          <w:p>
            <w:pPr>
              <w:pStyle w:val="Compact"/>
              <w:jc w:val="left"/>
            </w:pPr>
            <w:r>
              <w:t xml:space="preserve">CPU (Parallelized)</w:t>
            </w:r>
          </w:p>
        </w:tc>
      </w:tr>
    </w:tbl>
    <w:bookmarkEnd w:id="37"/>
    <w:bookmarkStart w:id="38" w:name="step-1-environment-baseline"/>
    <w:p>
      <w:pPr>
        <w:pStyle w:val="Heading3"/>
      </w:pPr>
      <w:r>
        <w:t xml:space="preserve">Step 1: Environment Baseline</w:t>
      </w:r>
    </w:p>
    <w:p>
      <w:pPr>
        <w:pStyle w:val="SourceCode"/>
      </w:pPr>
      <w:r>
        <w:rPr>
          <w:rStyle w:val="FunctionTok"/>
        </w:rPr>
        <w:t xml:space="preserve">git</w:t>
      </w:r>
      <w:r>
        <w:rPr>
          <w:rStyle w:val="NormalTok"/>
        </w:rPr>
        <w:t xml:space="preserve"> clone https://github.com/githubbermoon/bio-paper-track-open-phasea.git</w:t>
      </w:r>
      <w:r>
        <w:br/>
      </w:r>
      <w:r>
        <w:rPr>
          <w:rStyle w:val="BuiltInTok"/>
        </w:rPr>
        <w:t xml:space="preserve">cd</w:t>
      </w:r>
      <w:r>
        <w:rPr>
          <w:rStyle w:val="NormalTok"/>
        </w:rPr>
        <w:t xml:space="preserve"> bio-paper-track-open-phasea</w:t>
      </w:r>
      <w:r>
        <w:br/>
      </w:r>
      <w:r>
        <w:rPr>
          <w:rStyle w:val="FunctionTok"/>
        </w:rPr>
        <w:t xml:space="preserve">git</w:t>
      </w:r>
      <w:r>
        <w:rPr>
          <w:rStyle w:val="NormalTok"/>
        </w:rPr>
        <w:t xml:space="preserve"> checkout v1.0.0-phaseA-v8</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sklearn, scipy; print('ENV_OK')"</w:t>
      </w:r>
    </w:p>
    <w:p>
      <w:pPr>
        <w:pStyle w:val="FirstParagraph"/>
      </w:pPr>
      <w:r>
        <w:rPr>
          <w:b/>
          <w:bCs/>
        </w:rPr>
        <w:t xml:space="preserve">Expected Output:</w:t>
      </w:r>
      <w:r>
        <w:t xml:space="preserve"> </w:t>
      </w:r>
      <w:r>
        <w:rPr>
          <w:rStyle w:val="VerbatimChar"/>
        </w:rPr>
        <w:t xml:space="preserve">ENV_OK</w:t>
      </w:r>
    </w:p>
    <w:bookmarkEnd w:id="38"/>
    <w:bookmarkStart w:id="39" w:name="step-2-data-logic-execution"/>
    <w:p>
      <w:pPr>
        <w:pStyle w:val="Heading3"/>
      </w:pPr>
      <w:r>
        <w:t xml:space="preserve">Step 2: Data &amp; Logic Execution</w:t>
      </w:r>
    </w:p>
    <w:p>
      <w:pPr>
        <w:pStyle w:val="SourceCode"/>
      </w:pPr>
      <w:r>
        <w:rPr>
          <w:rStyle w:val="ExtensionTok"/>
        </w:rPr>
        <w:t xml:space="preserve">python</w:t>
      </w:r>
      <w:r>
        <w:rPr>
          <w:rStyle w:val="NormalTok"/>
        </w:rPr>
        <w:t xml:space="preserve"> src/ingest/fetch_ampad_open_subset.py</w:t>
      </w:r>
      <w:r>
        <w:br/>
      </w:r>
      <w:r>
        <w:rPr>
          <w:rStyle w:val="ExtensionTok"/>
        </w:rPr>
        <w:t xml:space="preserve">python</w:t>
      </w:r>
      <w:r>
        <w:rPr>
          <w:rStyle w:val="NormalTok"/>
        </w:rPr>
        <w:t xml:space="preserve"> src/train/run_open_phaseA_benchmark.py</w:t>
      </w:r>
    </w:p>
    <w:p>
      <w:pPr>
        <w:pStyle w:val="FirstParagraph"/>
      </w:pPr>
      <w:r>
        <w:rPr>
          <w:b/>
          <w:bCs/>
        </w:rPr>
        <w:t xml:space="preserve">Expected Output:</w:t>
      </w:r>
      <w:r>
        <w:t xml:space="preserve"> </w:t>
      </w:r>
      <w:r>
        <w:rPr>
          <w:rStyle w:val="VerbatimChar"/>
        </w:rPr>
        <w:t xml:space="preserve">BENCHMARK_COMPLETE: outputs/stats/open_phaseA_stats.json generated.</w:t>
      </w:r>
    </w:p>
    <w:bookmarkEnd w:id="39"/>
    <w:bookmarkStart w:id="40" w:name="step-3-forensic-validation"/>
    <w:p>
      <w:pPr>
        <w:pStyle w:val="Heading3"/>
      </w:pPr>
      <w:r>
        <w:t xml:space="preserve">Step 3: Forensic Validation</w:t>
      </w:r>
    </w:p>
    <w:p>
      <w:pPr>
        <w:pStyle w:val="FirstParagraph"/>
      </w:pPr>
      <w:r>
        <w:t xml:space="preserve">Run the following check to verify the 1,000-permutation rigor and Agora Shield preservation:</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stats </w:t>
      </w:r>
      <w:r>
        <w:rPr>
          <w:rStyle w:val="OperatorTok"/>
        </w:rPr>
        <w:t xml:space="preserve">=</w:t>
      </w:r>
      <w:r>
        <w:rPr>
          <w:rStyle w:val="NormalTok"/>
        </w:rPr>
        <w:t xml:space="preserve"> json.loads(Path(</w:t>
      </w:r>
      <w:r>
        <w:rPr>
          <w:rStyle w:val="StringTok"/>
        </w:rPr>
        <w:t xml:space="preserve">'outputs/stats/open_phaseA_stats.json'</w:t>
      </w:r>
      <w:r>
        <w:rPr>
          <w:rStyle w:val="NormalTok"/>
        </w:rPr>
        <w:t xml:space="preserve">).read_text())</w:t>
      </w:r>
      <w:r>
        <w:br/>
      </w:r>
      <w:r>
        <w:rPr>
          <w:rStyle w:val="CommentTok"/>
        </w:rPr>
        <w:t xml:space="preserve"># Target the GSE63061 to GSE63060 direction for primary Adaptive verification</w:t>
      </w:r>
      <w:r>
        <w:br/>
      </w:r>
      <w:r>
        <w:rPr>
          <w:rStyle w:val="NormalTok"/>
        </w:rPr>
        <w:t xml:space="preserve">n_perm </w:t>
      </w:r>
      <w:r>
        <w:rPr>
          <w:rStyle w:val="OperatorTok"/>
        </w:rPr>
        <w:t xml:space="preserve">=</w:t>
      </w:r>
      <w:r>
        <w:rPr>
          <w:rStyle w:val="NormalTok"/>
        </w:rPr>
        <w:t xml:space="preserve"> stats[</w:t>
      </w:r>
      <w:r>
        <w:rPr>
          <w:rStyle w:val="StringTok"/>
        </w:rPr>
        <w:t xml:space="preserve">'adaptive_bdpfs__GSE63061_to_GSE63060_top1000'</w:t>
      </w:r>
      <w:r>
        <w:rPr>
          <w:rStyle w:val="NormalTok"/>
        </w:rPr>
        <w:t xml:space="preserve">][</w:t>
      </w:r>
      <w:r>
        <w:rPr>
          <w:rStyle w:val="StringTok"/>
        </w:rPr>
        <w:t xml:space="preserve">'null_perm_n'</w:t>
      </w:r>
      <w:r>
        <w:rPr>
          <w:rStyle w:val="NormalTok"/>
        </w:rPr>
        <w:t xml:space="preserve">]</w:t>
      </w:r>
      <w:r>
        <w:br/>
      </w:r>
      <w:r>
        <w:rPr>
          <w:rStyle w:val="NormalTok"/>
        </w:rPr>
        <w:t xml:space="preserve">preserved </w:t>
      </w:r>
      <w:r>
        <w:rPr>
          <w:rStyle w:val="OperatorTok"/>
        </w:rPr>
        <w:t xml:space="preserve">=</w:t>
      </w:r>
      <w:r>
        <w:rPr>
          <w:rStyle w:val="NormalTok"/>
        </w:rPr>
        <w:t xml:space="preserve"> stats[</w:t>
      </w:r>
      <w:r>
        <w:rPr>
          <w:rStyle w:val="StringTok"/>
        </w:rPr>
        <w:t xml:space="preserve">'adaptive_bdpfs__GSE63061_to_GSE63060_top1000'</w:t>
      </w:r>
      <w:r>
        <w:rPr>
          <w:rStyle w:val="NormalTok"/>
        </w:rPr>
        <w:t xml:space="preserve">][</w:t>
      </w:r>
      <w:r>
        <w:rPr>
          <w:rStyle w:val="StringTok"/>
        </w:rPr>
        <w:t xml:space="preserve">'agora_genes_preserved_by_adaptive_weighting'</w:t>
      </w:r>
      <w:r>
        <w:rPr>
          <w:rStyle w:val="NormalTok"/>
        </w:rPr>
        <w:t xml:space="preserve">]</w:t>
      </w:r>
      <w:r>
        <w:br/>
      </w:r>
      <w:r>
        <w:br/>
      </w:r>
      <w:r>
        <w:rPr>
          <w:rStyle w:val="BuiltInTok"/>
        </w:rPr>
        <w:t xml:space="preserve">print</w:t>
      </w:r>
      <w:r>
        <w:rPr>
          <w:rStyle w:val="NormalTok"/>
        </w:rPr>
        <w:t xml:space="preserve">(</w:t>
      </w:r>
      <w:r>
        <w:rPr>
          <w:rStyle w:val="SpecialStringTok"/>
        </w:rPr>
        <w:t xml:space="preserve">f"STATISTICAL_RIGOR: </w:t>
      </w:r>
      <w:r>
        <w:rPr>
          <w:rStyle w:val="SpecialCharTok"/>
        </w:rPr>
        <w:t xml:space="preserve">{</w:t>
      </w:r>
      <w:r>
        <w:rPr>
          <w:rStyle w:val="NormalTok"/>
        </w:rPr>
        <w:t xml:space="preserve">n_perm</w:t>
      </w:r>
      <w:r>
        <w:rPr>
          <w:rStyle w:val="SpecialCharTok"/>
        </w:rPr>
        <w:t xml:space="preserve">}</w:t>
      </w:r>
      <w:r>
        <w:rPr>
          <w:rStyle w:val="SpecialStringTok"/>
        </w:rPr>
        <w:t xml:space="preserve"> permutations"</w:t>
      </w:r>
      <w:r>
        <w:rPr>
          <w:rStyle w:val="NormalTok"/>
        </w:rPr>
        <w:t xml:space="preserve">)</w:t>
      </w:r>
      <w:r>
        <w:br/>
      </w:r>
      <w:r>
        <w:rPr>
          <w:rStyle w:val="BuiltInTok"/>
        </w:rPr>
        <w:t xml:space="preserve">print</w:t>
      </w:r>
      <w:r>
        <w:rPr>
          <w:rStyle w:val="NormalTok"/>
        </w:rPr>
        <w:t xml:space="preserve">(</w:t>
      </w:r>
      <w:r>
        <w:rPr>
          <w:rStyle w:val="SpecialStringTok"/>
        </w:rPr>
        <w:t xml:space="preserve">f"BIOLOGICAL_TARGET_SAFETY: </w:t>
      </w:r>
      <w:r>
        <w:rPr>
          <w:rStyle w:val="SpecialCharTok"/>
        </w:rPr>
        <w:t xml:space="preserve">{</w:t>
      </w:r>
      <w:r>
        <w:rPr>
          <w:rStyle w:val="NormalTok"/>
        </w:rPr>
        <w:t xml:space="preserve">preserved</w:t>
      </w:r>
      <w:r>
        <w:rPr>
          <w:rStyle w:val="SpecialCharTok"/>
        </w:rPr>
        <w:t xml:space="preserve">}</w:t>
      </w:r>
      <w:r>
        <w:rPr>
          <w:rStyle w:val="SpecialStringTok"/>
        </w:rPr>
        <w:t xml:space="preserve"> targets preserved"</w:t>
      </w:r>
      <w:r>
        <w:rPr>
          <w:rStyle w:val="NormalTok"/>
        </w:rPr>
        <w:t xml:space="preserve">)</w:t>
      </w:r>
      <w:r>
        <w:br/>
      </w:r>
      <w:r>
        <w:br/>
      </w:r>
      <w:r>
        <w:rPr>
          <w:rStyle w:val="ControlFlowTok"/>
        </w:rPr>
        <w:t xml:space="preserve">assert</w:t>
      </w:r>
      <w:r>
        <w:rPr>
          <w:rStyle w:val="NormalTok"/>
        </w:rPr>
        <w:t xml:space="preserve"> n_perm </w:t>
      </w:r>
      <w:r>
        <w:rPr>
          <w:rStyle w:val="OperatorTok"/>
        </w:rPr>
        <w:t xml:space="preserve">==</w:t>
      </w:r>
      <w:r>
        <w:rPr>
          <w:rStyle w:val="NormalTok"/>
        </w:rPr>
        <w:t xml:space="preserve"> </w:t>
      </w:r>
      <w:r>
        <w:rPr>
          <w:rStyle w:val="DecValTok"/>
        </w:rPr>
        <w:t xml:space="preserve">1000</w:t>
      </w:r>
      <w:r>
        <w:br/>
      </w:r>
      <w:r>
        <w:rPr>
          <w:rStyle w:val="ControlFlowTok"/>
        </w:rPr>
        <w:t xml:space="preserve">assert</w:t>
      </w:r>
      <w:r>
        <w:rPr>
          <w:rStyle w:val="NormalTok"/>
        </w:rPr>
        <w:t xml:space="preserve"> preserved </w:t>
      </w:r>
      <w:r>
        <w:rPr>
          <w:rStyle w:val="OperatorTok"/>
        </w:rPr>
        <w:t xml:space="preserve">==</w:t>
      </w:r>
      <w:r>
        <w:rPr>
          <w:rStyle w:val="NormalTok"/>
        </w:rPr>
        <w:t xml:space="preserve"> </w:t>
      </w:r>
      <w:r>
        <w:rPr>
          <w:rStyle w:val="DecValTok"/>
        </w:rPr>
        <w:t xml:space="preserve">148</w:t>
      </w:r>
      <w:r>
        <w:br/>
      </w:r>
      <w:r>
        <w:rPr>
          <w:rStyle w:val="BuiltInTok"/>
        </w:rPr>
        <w:t xml:space="preserve">print</w:t>
      </w:r>
      <w:r>
        <w:rPr>
          <w:rStyle w:val="NormalTok"/>
        </w:rPr>
        <w:t xml:space="preserve">(</w:t>
      </w:r>
      <w:r>
        <w:rPr>
          <w:rStyle w:val="StringTok"/>
        </w:rPr>
        <w:t xml:space="preserve">"VERIFICATION_SUCCESSFUL"</w:t>
      </w:r>
      <w:r>
        <w:rPr>
          <w:rStyle w:val="NormalTok"/>
        </w:rPr>
        <w:t xml:space="preserve">)</w:t>
      </w:r>
    </w:p>
    <w:bookmarkEnd w:id="40"/>
    <w:bookmarkStart w:id="41" w:name="success-criteria"/>
    <w:p>
      <w:pPr>
        <w:pStyle w:val="Heading3"/>
      </w:pPr>
      <w:r>
        <w:t xml:space="preserve">✅ Success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Metric</w:t>
            </w:r>
          </w:p>
        </w:tc>
        <w:tc>
          <w:tcPr/>
          <w:p>
            <w:pPr>
              <w:pStyle w:val="Compact"/>
              <w:jc w:val="left"/>
            </w:pPr>
            <w:r>
              <w:t xml:space="preserve">Threshold</w:t>
            </w:r>
          </w:p>
        </w:tc>
      </w:tr>
      <w:tr>
        <w:tc>
          <w:tcPr/>
          <w:p>
            <w:pPr>
              <w:pStyle w:val="Compact"/>
              <w:jc w:val="left"/>
            </w:pPr>
            <w:r>
              <w:t xml:space="preserve">Statistical Rigor</w:t>
            </w:r>
          </w:p>
        </w:tc>
        <w:tc>
          <w:tcPr/>
          <w:p>
            <w:pPr>
              <w:pStyle w:val="Compact"/>
              <w:jc w:val="left"/>
            </w:pPr>
            <w:r>
              <w:rPr>
                <w:rStyle w:val="VerbatimChar"/>
              </w:rPr>
              <w:t xml:space="preserve">null_perm_n</w:t>
            </w:r>
          </w:p>
        </w:tc>
        <w:tc>
          <w:tcPr/>
          <w:p>
            <w:pPr>
              <w:pStyle w:val="Compact"/>
              <w:jc w:val="left"/>
            </w:pPr>
            <w:r>
              <w:t xml:space="preserve">== 1,000</w:t>
            </w:r>
          </w:p>
        </w:tc>
      </w:tr>
      <w:tr>
        <w:tc>
          <w:tcPr/>
          <w:p>
            <w:pPr>
              <w:pStyle w:val="Compact"/>
              <w:jc w:val="left"/>
            </w:pPr>
            <w:r>
              <w:t xml:space="preserve">Biological Safety</w:t>
            </w:r>
          </w:p>
        </w:tc>
        <w:tc>
          <w:tcPr/>
          <w:p>
            <w:pPr>
              <w:pStyle w:val="Compact"/>
              <w:jc w:val="left"/>
            </w:pPr>
            <w:r>
              <w:rPr>
                <w:rStyle w:val="VerbatimChar"/>
              </w:rPr>
              <w:t xml:space="preserve">agora_preserved</w:t>
            </w:r>
          </w:p>
        </w:tc>
        <w:tc>
          <w:tcPr/>
          <w:p>
            <w:pPr>
              <w:pStyle w:val="Compact"/>
              <w:jc w:val="left"/>
            </w:pPr>
            <w:r>
              <w:t xml:space="preserve">== 148</w:t>
            </w:r>
          </w:p>
        </w:tc>
      </w:tr>
      <w:tr>
        <w:tc>
          <w:tcPr/>
          <w:p>
            <w:pPr>
              <w:pStyle w:val="Compact"/>
              <w:jc w:val="left"/>
            </w:pPr>
            <w:r>
              <w:t xml:space="preserve">Repository Sync</w:t>
            </w:r>
          </w:p>
        </w:tc>
        <w:tc>
          <w:tcPr/>
          <w:p>
            <w:pPr>
              <w:pStyle w:val="Compact"/>
              <w:jc w:val="left"/>
            </w:pPr>
            <w:r>
              <w:t xml:space="preserve">Git Tag</w:t>
            </w:r>
          </w:p>
        </w:tc>
        <w:tc>
          <w:tcPr/>
          <w:p>
            <w:pPr>
              <w:pStyle w:val="Compact"/>
              <w:jc w:val="left"/>
            </w:pPr>
            <w:r>
              <w:rPr>
                <w:rStyle w:val="VerbatimChar"/>
              </w:rPr>
              <w:t xml:space="preserve">v1.0.0-phaseA-v8</w:t>
            </w:r>
          </w:p>
        </w:tc>
      </w:tr>
    </w:tbl>
    <w:p>
      <w:r>
        <w:pict>
          <v:rect style="width:0;height:1.5pt" o:hralign="center" o:hrstd="t" o:hr="t"/>
        </w:pict>
      </w:r>
    </w:p>
    <w:p>
      <w:pPr>
        <w:pStyle w:val="FirstParagraph"/>
      </w:pPr>
      <w:r>
        <w:rPr>
          <w:i/>
          <w:iCs/>
        </w:rPr>
        <w:t xml:space="preserve">Verified on main branch at tag v1.0.0-phaseA-v8.</w:t>
      </w:r>
    </w:p>
    <w:bookmarkEnd w:id="41"/>
    <w:bookmarkEnd w:id="42"/>
    <w:bookmarkStart w:id="43" w:name="references"/>
    <w:p>
      <w:pPr>
        <w:pStyle w:val="Heading2"/>
      </w:pPr>
      <w:r>
        <w:t xml:space="preserve">References</w:t>
      </w:r>
    </w:p>
    <w:p>
      <w:pPr>
        <w:pStyle w:val="FirstParagraph"/>
      </w:pPr>
      <w:r>
        <w:t xml:space="preserve">[1] NCBI GEO,</w:t>
      </w:r>
      <w:r>
        <w:t xml:space="preserve"> </w:t>
      </w:r>
      <w:r>
        <w:t xml:space="preserve">“GSE63060.”</w:t>
      </w:r>
      <w:r>
        <w:t xml:space="preserve"> </w:t>
      </w:r>
      <w:r>
        <w:t xml:space="preserve">https://www.ncbi.nlm.nih.gov/geo/query/acc.cgi?acc=GSE63060</w:t>
      </w:r>
    </w:p>
    <w:p>
      <w:pPr>
        <w:pStyle w:val="BodyText"/>
      </w:pPr>
      <w:r>
        <w:t xml:space="preserve">[2] NCBI GEO,</w:t>
      </w:r>
      <w:r>
        <w:t xml:space="preserve"> </w:t>
      </w:r>
      <w:r>
        <w:t xml:space="preserve">“GSE63061.”</w:t>
      </w:r>
      <w:r>
        <w:t xml:space="preserve"> </w:t>
      </w:r>
      <w:r>
        <w:t xml:space="preserve">https://www.ncbi.nlm.nih.gov/geo/query/acc.cgi?acc=GSE63061</w:t>
      </w:r>
    </w:p>
    <w:p>
      <w:pPr>
        <w:pStyle w:val="BodyText"/>
      </w:pPr>
      <w:r>
        <w:t xml:space="preserve">[3] AD Knowledge Portal,</w:t>
      </w:r>
      <w:r>
        <w:t xml:space="preserve"> </w:t>
      </w:r>
      <w:r>
        <w:t xml:space="preserve">“Agora.”</w:t>
      </w:r>
      <w:r>
        <w:t xml:space="preserve"> </w:t>
      </w:r>
      <w:r>
        <w:t xml:space="preserve">https://agora.adknowledgeportal.org/</w:t>
      </w:r>
    </w:p>
    <w:p>
      <w:pPr>
        <w:pStyle w:val="BodyText"/>
      </w:pPr>
      <w:r>
        <w:t xml:space="preserve">[4] AD Knowledge Portal API,</w:t>
      </w:r>
      <w:r>
        <w:t xml:space="preserve"> </w:t>
      </w:r>
      <w:r>
        <w:t xml:space="preserve">“Nominated genes endpoint.”</w:t>
      </w:r>
      <w:r>
        <w:t xml:space="preserve"> </w:t>
      </w:r>
      <w:r>
        <w:t xml:space="preserve">https://agora.adknowledgeportal.org/api/v1/genes/nominated</w:t>
      </w:r>
    </w:p>
    <w:p>
      <w:pPr>
        <w:pStyle w:val="BodyText"/>
      </w:pPr>
      <w:r>
        <w:t xml:space="preserve">[5] B. Efron and R. J. Tibshirani, An Introduction to the Bootstrap. Chapman &amp; Hall/CRC, 1993.</w:t>
      </w:r>
    </w:p>
    <w:p>
      <w:pPr>
        <w:pStyle w:val="BodyText"/>
      </w:pPr>
      <w:r>
        <w:t xml:space="preserve">[6] Y. Benjamini and Y. Hochberg,</w:t>
      </w:r>
      <w:r>
        <w:t xml:space="preserve"> </w:t>
      </w:r>
      <w:r>
        <w:t xml:space="preserve">“Controlling the false discovery rate,”</w:t>
      </w:r>
      <w:r>
        <w:t xml:space="preserve"> </w:t>
      </w:r>
      <w:r>
        <w:t xml:space="preserve">JRSS-B, 57(1):289-300, 1995.</w:t>
      </w:r>
    </w:p>
    <w:p>
      <w:pPr>
        <w:pStyle w:val="BodyText"/>
      </w:pPr>
      <w:r>
        <w:t xml:space="preserve">[7] W. E. Johnson, C. Li, and A. Rabinovic,</w:t>
      </w:r>
      <w:r>
        <w:t xml:space="preserve"> </w:t>
      </w:r>
      <w:r>
        <w:t xml:space="preserve">“Adjusting batch effects in microarray expression data using empirical Bayes methods,”</w:t>
      </w:r>
      <w:r>
        <w:t xml:space="preserve"> </w:t>
      </w:r>
      <w:r>
        <w:t xml:space="preserve">Biostatistics, 8(1):118-127, 2007.</w:t>
      </w:r>
    </w:p>
    <w:p>
      <w:pPr>
        <w:pStyle w:val="BodyText"/>
      </w:pPr>
      <w:r>
        <w:t xml:space="preserve">[8] G. K. Smyth,</w:t>
      </w:r>
      <w:r>
        <w:t xml:space="preserve"> </w:t>
      </w:r>
      <w:r>
        <w:t xml:space="preserve">“Linear models and empirical bayes methods for assessing differential expression in microarray experiments,”</w:t>
      </w:r>
      <w:r>
        <w:t xml:space="preserve"> </w:t>
      </w:r>
      <w:r>
        <w:t xml:space="preserve">Stat Appl Genet Mol Biol, 3:Article3, 2004.</w:t>
      </w:r>
    </w:p>
    <w:p>
      <w:pPr>
        <w:pStyle w:val="BodyText"/>
      </w:pPr>
      <w:r>
        <w:t xml:space="preserve">[9] C. Cortes and V. Vapnik,</w:t>
      </w:r>
      <w:r>
        <w:t xml:space="preserve"> </w:t>
      </w:r>
      <w:r>
        <w:t xml:space="preserve">“Support-vector networks,”</w:t>
      </w:r>
      <w:r>
        <w:t xml:space="preserve"> </w:t>
      </w:r>
      <w:r>
        <w:t xml:space="preserve">Machine Learning, 20:273-297, 1995.</w:t>
      </w:r>
    </w:p>
    <w:p>
      <w:pPr>
        <w:pStyle w:val="BodyText"/>
      </w:pPr>
      <w:r>
        <w:t xml:space="preserve">[10] L. Breiman,</w:t>
      </w:r>
      <w:r>
        <w:t xml:space="preserve"> </w:t>
      </w:r>
      <w:r>
        <w:t xml:space="preserve">“Random forests,”</w:t>
      </w:r>
      <w:r>
        <w:t xml:space="preserve"> </w:t>
      </w:r>
      <w:r>
        <w:t xml:space="preserve">Machine Learning, 45:5-32, 2001.</w:t>
      </w:r>
    </w:p>
    <w:p>
      <w:pPr>
        <w:pStyle w:val="BodyText"/>
      </w:pPr>
      <w:r>
        <w:t xml:space="preserve">[11] H. Lei et al.,</w:t>
      </w:r>
      <w:r>
        <w:t xml:space="preserve"> </w:t>
      </w:r>
      <w:r>
        <w:t xml:space="preserve">“Alzheimer’s disease prediction using deep learning and XAI based interpretable feature selection from blood gene expression data,”</w:t>
      </w:r>
      <w:r>
        <w:t xml:space="preserve"> </w:t>
      </w:r>
      <w:r>
        <w:t xml:space="preserve">Scientific Reports, vol. 14, 2024.</w:t>
      </w:r>
    </w:p>
    <w:p>
      <w:pPr>
        <w:pStyle w:val="BodyText"/>
      </w:pPr>
      <w:r>
        <w:t xml:space="preserve">[12] A. Nakamura, et al.,</w:t>
      </w:r>
      <w:r>
        <w:t xml:space="preserve"> </w:t>
      </w:r>
      <w:r>
        <w:t xml:space="preserve">“High performance plasma amyloid-beta biomarkers for Alzheimer’s disease,”</w:t>
      </w:r>
      <w:r>
        <w:t xml:space="preserve"> </w:t>
      </w:r>
      <w:r>
        <w:t xml:space="preserve">Nature, 554(7691), 249-254, 2018.</w:t>
      </w:r>
    </w:p>
    <w:p>
      <w:pPr>
        <w:pStyle w:val="BodyText"/>
      </w:pPr>
      <w:r>
        <w:t xml:space="preserve">[13] O. Hansson, et al.,</w:t>
      </w:r>
      <w:r>
        <w:t xml:space="preserve"> </w:t>
      </w:r>
      <w:r>
        <w:t xml:space="preserve">“Blood-based biomarkers for Alzheimer’s disease,”</w:t>
      </w:r>
      <w:r>
        <w:t xml:space="preserve"> </w:t>
      </w:r>
      <w:r>
        <w:t xml:space="preserve">Nature Medicine, 26, 313–322, 2020.</w:t>
      </w:r>
    </w:p>
    <w:p>
      <w:pPr>
        <w:pStyle w:val="BodyText"/>
      </w:pPr>
      <w:r>
        <w:t xml:space="preserve">[14] NCBI GEO,</w:t>
      </w:r>
      <w:r>
        <w:t xml:space="preserve"> </w:t>
      </w:r>
      <w:r>
        <w:t xml:space="preserve">“GSE97760.”</w:t>
      </w:r>
      <w:r>
        <w:t xml:space="preserve"> </w:t>
      </w:r>
      <w:r>
        <w:t xml:space="preserve">https://www.ncbi.nlm.nih.gov/geo/query/acc.cgi?acc=GSE97760</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github.com/githubbermoon/bio-paper-track-open-phasea"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githubbermoon/bio-paper-track-open-phas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2026-04-05T13:03:23Z</dcterms:created>
  <dcterms:modified xsi:type="dcterms:W3CDTF">2026-04-05T13:03:23Z</dcterms:modified>
</cp:coreProperties>
</file>

<file path=docProps/custom.xml><?xml version="1.0" encoding="utf-8"?>
<Properties xmlns="http://schemas.openxmlformats.org/officeDocument/2006/custom-properties" xmlns:vt="http://schemas.openxmlformats.org/officeDocument/2006/docPropsVTypes"/>
</file>