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24c438f88dbabf5e62d49ad14527bd0fd19a777"/>
    <w:p>
      <w:pPr>
        <w:pStyle w:val="Heading1"/>
      </w:pPr>
      <w:r>
        <w:t xml:space="preserve">Leakage-Safe Cross-Cohort Alzheimer’s Blood Transcriptomic Prediction: A Reproducible v4 Transfer Stress-Test with DE Features and ComBat</w:t>
      </w:r>
    </w:p>
    <w:p>
      <w:pPr>
        <w:pStyle w:val="FirstParagraph"/>
      </w:pPr>
      <w:r>
        <w:rPr>
          <w:b/>
          <w:bCs/>
        </w:rPr>
        <w:t xml:space="preserve">Pranjal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Cross-cohort Alzheimer’s disease (AD) transcriptomic prediction is highly sensitive to cohort shift, feature construction, and leakage-prone evaluation. We present a fully open, reproducible v4 stress-test on GEO blood cohorts GSE63060 and GSE63061 with strict target-holdout evaluation, directional transfer (A-&gt;B and B-&gt;A), and explicit null controls. Relative to earlier versions, v4 adds (i) differential-expression-based feature selection (DE t-test on target-train only), (ii) an explicit ComBat harmonization arm for pooled source+target training, and (iii) a 100x permutation-averaged null baseline to stabilize chance-level calibration. Across settings, null AUROC distributions center near 0.5 (mean range 0.4887-0.4986), addressing reviewer concerns about null behavior. In the DE-feature setting, target_only remains significantly above null in both directions (e.g., delta AUROC +0.4406 and +0.4765 in GSE63061-&gt;GSE63060; BH-adjusted p&lt;0.001), while transfer effects remain direction-dependent. ComBat-pooled transfer shows a significant uplift in one direction (GSE63060-&gt;GSE63061, DE-1000: delta +0.1060, BH=0.016) but not uniformly across all settings. Conservative conclusion: robust leakage-safe target-domain signal is reproducible; transfer gains are conditional and should be reported with harmonization and strict uncertainty controls.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Public AD blood transcriptomic cohorts are useful for reproducible benchmarking but vulnerable to overclaiming when transfer is evaluated without strict controls. In particular, three recurring issues affect interpretation: test leakage, underpowered null modeling, and unmodeled cross-study batch effects.</w:t>
      </w:r>
    </w:p>
    <w:p>
      <w:pPr>
        <w:pStyle w:val="BodyText"/>
      </w:pPr>
      <w:r>
        <w:t xml:space="preserve">This work is positioned as an evaluation-and-reproducibility contribution rather than a new classifier architecture. We provide a transparent stress-test protocol that reports target-only, source-only, pooled transfer (raw and ComBat-harmonized), and permutation null arms under the same split.</w:t>
      </w:r>
    </w:p>
    <w:p>
      <w:pPr>
        <w:pStyle w:val="BodyText"/>
      </w:pPr>
      <w:r>
        <w:t xml:space="preserve">Primary questions:</w:t>
      </w:r>
      <w:r>
        <w:t xml:space="preserve"> </w:t>
      </w:r>
      <w:r>
        <w:t xml:space="preserve">1) Does target-domain signal remain above chance under leakage-safe evaluation?</w:t>
      </w:r>
      <w:r>
        <w:t xml:space="preserve"> </w:t>
      </w:r>
      <w:r>
        <w:t xml:space="preserve">2) Does cross-cohort transfer improve target performance, and is that improvement direction-stable?</w:t>
      </w:r>
      <w:r>
        <w:t xml:space="preserve"> </w:t>
      </w:r>
      <w:r>
        <w:t xml:space="preserve">3) How do DE features and ComBat harmonization change transfer conclusions versus variance-only baselines?</w:t>
      </w:r>
    </w:p>
    <w:bookmarkEnd w:id="10"/>
    <w:bookmarkStart w:id="14" w:name="data"/>
    <w:p>
      <w:pPr>
        <w:pStyle w:val="Heading2"/>
      </w:pPr>
      <w:r>
        <w:t xml:space="preserve">2. Data</w:t>
      </w:r>
    </w:p>
    <w:bookmarkStart w:id="11" w:name="geo-predictive-cohorts"/>
    <w:p>
      <w:pPr>
        <w:pStyle w:val="Heading3"/>
      </w:pPr>
      <w:r>
        <w:t xml:space="preserve">2.1 GEO predictive cohorts</w:t>
      </w:r>
    </w:p>
    <w:p>
      <w:pPr>
        <w:pStyle w:val="Compact"/>
        <w:numPr>
          <w:ilvl w:val="0"/>
          <w:numId w:val="1001"/>
        </w:numPr>
      </w:pPr>
      <w:r>
        <w:t xml:space="preserve">GSE63060 and GSE63061 (NCBI GEO series_matrix) [1,2]</w:t>
      </w:r>
    </w:p>
    <w:p>
      <w:pPr>
        <w:pStyle w:val="Compact"/>
        <w:numPr>
          <w:ilvl w:val="0"/>
          <w:numId w:val="1001"/>
        </w:numPr>
      </w:pPr>
      <w:r>
        <w:t xml:space="preserve">Binary labels retained: AD vs CTL</w:t>
      </w:r>
    </w:p>
    <w:p>
      <w:pPr>
        <w:pStyle w:val="Compact"/>
        <w:numPr>
          <w:ilvl w:val="0"/>
          <w:numId w:val="1001"/>
        </w:numPr>
      </w:pPr>
      <w:r>
        <w:t xml:space="preserve">Ambiguous statuses excluded (e.g., MCI/transition/non-definitive labels)</w:t>
      </w:r>
    </w:p>
    <w:bookmarkEnd w:id="11"/>
    <w:bookmarkStart w:id="12" w:name="amp-ad-open-context"/>
    <w:p>
      <w:pPr>
        <w:pStyle w:val="Heading3"/>
      </w:pPr>
      <w:r>
        <w:t xml:space="preserve">2.2 AMP-AD open context</w:t>
      </w:r>
    </w:p>
    <w:p>
      <w:pPr>
        <w:pStyle w:val="FirstParagraph"/>
      </w:pPr>
      <w:r>
        <w:t xml:space="preserve">We ingest Agora nominated targets [3,4] to retain AD biological context and reproducibility linkage. In the open snapshot used here, the resource includes 955 unique nominated genes across 1173 nomination rows, with strong RNA/Protein/Genetics representation.</w:t>
      </w:r>
    </w:p>
    <w:bookmarkEnd w:id="12"/>
    <w:bookmarkStart w:id="13" w:name="cohort-direction-setup"/>
    <w:p>
      <w:pPr>
        <w:pStyle w:val="Heading3"/>
      </w:pPr>
      <w:r>
        <w:t xml:space="preserve">2.3 Cohort-direction setup</w:t>
      </w:r>
    </w:p>
    <w:p>
      <w:pPr>
        <w:pStyle w:val="FirstParagraph"/>
      </w:pPr>
      <w:r>
        <w:t xml:space="preserve">Each cohort serves as source and target (GSE63060-&gt;GSE63061 and GSE63061-&gt;GSE63060). Target data are split into train/test (stratified, random_state=42); all model comparison is on target test only.</w:t>
      </w:r>
    </w:p>
    <w:bookmarkEnd w:id="13"/>
    <w:bookmarkEnd w:id="14"/>
    <w:bookmarkStart w:id="20" w:name="methods"/>
    <w:p>
      <w:pPr>
        <w:pStyle w:val="Heading2"/>
      </w:pPr>
      <w:r>
        <w:t xml:space="preserve">3. Methods</w:t>
      </w:r>
    </w:p>
    <w:bookmarkStart w:id="15" w:name="leakage-safe-evaluation-design"/>
    <w:p>
      <w:pPr>
        <w:pStyle w:val="Heading3"/>
      </w:pPr>
      <w:r>
        <w:t xml:space="preserve">3.1 Leakage-safe evaluation design</w:t>
      </w:r>
    </w:p>
    <w:p>
      <w:pPr>
        <w:pStyle w:val="FirstParagraph"/>
      </w:pPr>
      <w:r>
        <w:t xml:space="preserve">For each direction and feature setting:</w:t>
      </w:r>
      <w:r>
        <w:t xml:space="preserve"> </w:t>
      </w:r>
      <w:r>
        <w:t xml:space="preserve">- target_only: train on target-train, evaluate on target-test</w:t>
      </w:r>
      <w:r>
        <w:t xml:space="preserve"> </w:t>
      </w:r>
      <w:r>
        <w:t xml:space="preserve">- source_only: train on source, evaluate on target-test</w:t>
      </w:r>
      <w:r>
        <w:t xml:space="preserve"> </w:t>
      </w:r>
      <w:r>
        <w:t xml:space="preserve">- source_plus_target_raw: train on concatenated source + target-train (no harmonization)</w:t>
      </w:r>
      <w:r>
        <w:t xml:space="preserve"> </w:t>
      </w:r>
      <w:r>
        <w:t xml:space="preserve">- source_plus_target_combat: ComBat-harmonized pooled training/evaluation features</w:t>
      </w:r>
      <w:r>
        <w:t xml:space="preserve"> </w:t>
      </w:r>
      <w:r>
        <w:t xml:space="preserve">- null_label_permutation_avg100: average prediction from 100 label-permuted target-only models</w:t>
      </w:r>
    </w:p>
    <w:p>
      <w:pPr>
        <w:pStyle w:val="BodyText"/>
      </w:pPr>
      <w:r>
        <w:t xml:space="preserve">No target-test labels are used in fitting, feature ranking, or null permutation generation.</w:t>
      </w:r>
    </w:p>
    <w:bookmarkEnd w:id="15"/>
    <w:bookmarkStart w:id="16" w:name="feature-selection"/>
    <w:p>
      <w:pPr>
        <w:pStyle w:val="Heading3"/>
      </w:pPr>
      <w:r>
        <w:t xml:space="preserve">3.2 Feature selection</w:t>
      </w:r>
    </w:p>
    <w:p>
      <w:pPr>
        <w:pStyle w:val="FirstParagraph"/>
      </w:pPr>
      <w:r>
        <w:t xml:space="preserve">Feature modes:</w:t>
      </w:r>
      <w:r>
        <w:t xml:space="preserve"> </w:t>
      </w:r>
      <w:r>
        <w:t xml:space="preserve">- var: top-N variance genes</w:t>
      </w:r>
      <w:r>
        <w:t xml:space="preserve"> </w:t>
      </w:r>
      <w:r>
        <w:t xml:space="preserve">- de_ttest: top-N absolute t-statistic genes from AD vs CTL on target-train only (a lightweight DE proxy aligned with limma-style differential-expression practice [7,9])</w:t>
      </w:r>
    </w:p>
    <w:p>
      <w:pPr>
        <w:pStyle w:val="BodyText"/>
      </w:pPr>
      <w:r>
        <w:t xml:space="preserve">N in {200, 1000}. Gene selection is always performed after split, using only target-train labels.</w:t>
      </w:r>
    </w:p>
    <w:bookmarkEnd w:id="16"/>
    <w:bookmarkStart w:id="17" w:name="combat-harmonization"/>
    <w:p>
      <w:pPr>
        <w:pStyle w:val="Heading3"/>
      </w:pPr>
      <w:r>
        <w:t xml:space="preserve">3.3 ComBat harmonization</w:t>
      </w:r>
    </w:p>
    <w:p>
      <w:pPr>
        <w:pStyle w:val="FirstParagraph"/>
      </w:pPr>
      <w:r>
        <w:t xml:space="preserve">For pooled transfer analysis, we apply ComBat [8] using study-of-origin batch labels (source vs target) on stacked expression matrices (feature-only adjustment, no label input to ComBat). We report raw pooled and ComBat-pooled outcomes separately.</w:t>
      </w:r>
    </w:p>
    <w:bookmarkEnd w:id="17"/>
    <w:bookmarkStart w:id="18" w:name="predictive-model"/>
    <w:p>
      <w:pPr>
        <w:pStyle w:val="Heading3"/>
      </w:pPr>
      <w:r>
        <w:t xml:space="preserve">3.4 Predictive model</w:t>
      </w:r>
    </w:p>
    <w:p>
      <w:pPr>
        <w:pStyle w:val="FirstParagraph"/>
      </w:pPr>
      <w:r>
        <w:t xml:space="preserve">Class-balanced logistic regression baseline (liblinear):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σ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∥</m:t>
          </m:r>
          <m:r>
            <m:t>w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bookmarkEnd w:id="18"/>
    <w:bookmarkStart w:id="19" w:name="inference"/>
    <w:p>
      <w:pPr>
        <w:pStyle w:val="Heading3"/>
      </w:pPr>
      <w:r>
        <w:t xml:space="preserve">3.5 Inference</w:t>
      </w:r>
    </w:p>
    <w:p>
      <w:pPr>
        <w:pStyle w:val="Compact"/>
        <w:numPr>
          <w:ilvl w:val="0"/>
          <w:numId w:val="1002"/>
        </w:numPr>
      </w:pPr>
      <w:r>
        <w:t xml:space="preserve">AUROC (primary), AUPRC, balanced accuracy, Brier</w:t>
      </w:r>
    </w:p>
    <w:p>
      <w:pPr>
        <w:pStyle w:val="Compact"/>
        <w:numPr>
          <w:ilvl w:val="0"/>
          <w:numId w:val="1002"/>
        </w:numPr>
      </w:pPr>
      <w:r>
        <w:t xml:space="preserve">Bootstrap CI for AUROC [5]</w:t>
      </w:r>
    </w:p>
    <w:p>
      <w:pPr>
        <w:pStyle w:val="Compact"/>
        <w:numPr>
          <w:ilvl w:val="0"/>
          <w:numId w:val="1002"/>
        </w:numPr>
      </w:pPr>
      <w:r>
        <w:t xml:space="preserve">Paired bootstrap deltas for arm comparisons</w:t>
      </w:r>
    </w:p>
    <w:p>
      <w:pPr>
        <w:pStyle w:val="Compact"/>
        <w:numPr>
          <w:ilvl w:val="0"/>
          <w:numId w:val="1002"/>
        </w:numPr>
      </w:pPr>
      <w:r>
        <w:t xml:space="preserve">Benjamini-Hochberg correction [6]</w:t>
      </w:r>
    </w:p>
    <w:bookmarkEnd w:id="19"/>
    <w:bookmarkEnd w:id="20"/>
    <w:bookmarkStart w:id="25" w:name="results"/>
    <w:p>
      <w:pPr>
        <w:pStyle w:val="Heading2"/>
      </w:pPr>
      <w:r>
        <w:t xml:space="preserve">4. Results</w:t>
      </w:r>
    </w:p>
    <w:bookmarkStart w:id="21" w:name="primary-arm-auroc-de-features"/>
    <w:p>
      <w:pPr>
        <w:pStyle w:val="Heading3"/>
      </w:pPr>
      <w:r>
        <w:t xml:space="preserve">4.1 Primary arm AUROC (DE features)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 genes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target_only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source_only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source+target (ComBat)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null (perm avg100)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GSE63060-&gt;GSE63061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GSE63060-&gt;GSE63061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GSE63061-&gt;GSE63060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GSE63061-&gt;GSE63060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0.4142</w:t>
            </w:r>
          </w:p>
        </w:tc>
      </w:tr>
    </w:tbl>
    <w:bookmarkEnd w:id="21"/>
    <w:bookmarkStart w:id="22" w:name="paired-bootstrap-tests-de-features"/>
    <w:p>
      <w:pPr>
        <w:pStyle w:val="Heading3"/>
      </w:pPr>
      <w:r>
        <w:t xml:space="preserve">4.2 Paired bootstrap tests (DE features)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508"/>
        <w:gridCol w:w="1131"/>
        <w:gridCol w:w="1508"/>
        <w:gridCol w:w="1131"/>
        <w:gridCol w:w="15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 genes</w:t>
            </w:r>
          </w:p>
        </w:tc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AUROC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BH-adjusted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GSE63060-&gt;GSE63061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target_only vs null_avg100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+0.3405</w:t>
            </w:r>
          </w:p>
        </w:tc>
        <w:tc>
          <w:tcPr/>
          <w:p>
            <w:pPr>
              <w:pStyle w:val="Compact"/>
            </w:pPr>
            <w:r>
              <w:t xml:space="preserve">[0.1908, 0.4986]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GSE63060-&gt;GSE63061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source+target_combat vs target_only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+0.1060</w:t>
            </w:r>
          </w:p>
        </w:tc>
        <w:tc>
          <w:tcPr/>
          <w:p>
            <w:pPr>
              <w:pStyle w:val="Compact"/>
            </w:pPr>
            <w:r>
              <w:t xml:space="preserve">[0.0413, 0.1834]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GSE63061-&gt;GSE63060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target_only vs null_avg100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+0.4406</w:t>
            </w:r>
          </w:p>
        </w:tc>
        <w:tc>
          <w:tcPr/>
          <w:p>
            <w:pPr>
              <w:pStyle w:val="Compact"/>
            </w:pPr>
            <w:r>
              <w:t xml:space="preserve">[0.2547, 0.6132]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GSE63061-&gt;GSE63060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target_only vs null_avg100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+0.4765</w:t>
            </w:r>
          </w:p>
        </w:tc>
        <w:tc>
          <w:tcPr/>
          <w:p>
            <w:pPr>
              <w:pStyle w:val="Compact"/>
            </w:pPr>
            <w:r>
              <w:t xml:space="preserve">[0.2957, 0.6332]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</w:tbl>
    <w:p>
      <w:pPr>
        <w:pStyle w:val="BodyText"/>
      </w:pPr>
      <w:r>
        <w:t xml:space="preserve">Interpretation: target-only signal is robust above null in both directions. ComBat-pooled transfer improves one DE setting (A-&gt;B, 1000 genes), but transfer uplift is not universally significant.</w:t>
      </w:r>
    </w:p>
    <w:bookmarkEnd w:id="22"/>
    <w:bookmarkStart w:id="23" w:name="null-baseline-calibration-check"/>
    <w:p>
      <w:pPr>
        <w:pStyle w:val="Heading3"/>
      </w:pPr>
      <w:r>
        <w:t xml:space="preserve">4.3 Null baseline calibration check</w:t>
      </w:r>
    </w:p>
    <w:p>
      <w:pPr>
        <w:pStyle w:val="FirstParagraph"/>
      </w:pPr>
      <w:r>
        <w:t xml:space="preserve">Across all DE settings, 100x-permutation null AUROC means are 0.4887-0.4986 (q05/q95 ranges span around 0.5), consistent with expected chance-centered behavior.</w:t>
      </w:r>
    </w:p>
    <w:bookmarkEnd w:id="23"/>
    <w:bookmarkStart w:id="24" w:name="amp-ad-context-summary"/>
    <w:p>
      <w:pPr>
        <w:pStyle w:val="Heading3"/>
      </w:pPr>
      <w:r>
        <w:t xml:space="preserve">4.4 AMP-AD context summary</w:t>
      </w:r>
    </w:p>
    <w:p>
      <w:pPr>
        <w:pStyle w:val="FirstParagraph"/>
      </w:pPr>
      <w:r>
        <w:t xml:space="preserve">Open Agora ingestion confirms non-trivial AD evidence density (955 genes; 1173 nominations; RNA/Protein/Genetics dominant modalities), supporting disease-context relevance for future mechanism-aware feature constraints.</w:t>
      </w:r>
    </w:p>
    <w:bookmarkEnd w:id="24"/>
    <w:bookmarkEnd w:id="25"/>
    <w:bookmarkStart w:id="26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 v4 update directly addresses prior review criticisms by adding DE-based selection, explicit ComBat harmonization, and stabilized null estimation. This changes the manuscript from a generic transfer benchmark into a stricter diagnostic protocol for identifying where transfer claims hold and where they collapse.</w:t>
      </w:r>
    </w:p>
    <w:p>
      <w:pPr>
        <w:pStyle w:val="BodyText"/>
      </w:pPr>
      <w:r>
        <w:t xml:space="preserve">Two stable findings remain:</w:t>
      </w:r>
      <w:r>
        <w:t xml:space="preserve"> </w:t>
      </w:r>
      <w:r>
        <w:t xml:space="preserve">1) leakage-safe target-domain signal is reproducibly above null;</w:t>
      </w:r>
      <w:r>
        <w:t xml:space="preserve"> </w:t>
      </w:r>
      <w:r>
        <w:t xml:space="preserve">2) transfer benefit is direction- and configuration-dependent.</w:t>
      </w:r>
    </w:p>
    <w:p>
      <w:pPr>
        <w:pStyle w:val="BodyText"/>
      </w:pPr>
      <w:r>
        <w:t xml:space="preserve">Thus, cross-cohort uplift should be reported conditionally, with harmonization strategy and uncertainty bounds made explicit.</w:t>
      </w:r>
    </w:p>
    <w:bookmarkEnd w:id="26"/>
    <w:bookmarkStart w:id="27" w:name="limitations"/>
    <w:p>
      <w:pPr>
        <w:pStyle w:val="Heading2"/>
      </w:pPr>
      <w:r>
        <w:t xml:space="preserve">6. Limitations</w:t>
      </w:r>
    </w:p>
    <w:p>
      <w:pPr>
        <w:pStyle w:val="FirstParagraph"/>
      </w:pPr>
      <w:r>
        <w:t xml:space="preserve">This benchmark still uses two cohorts and a single baseline model family. ComBat is applied in a transductive feature-only harmonization regime; fully prospective external validation across additional cohorts remains future work. AMP-AD is used here as contextual evidence, not yet as a strict causal or mechanistic model component.</w:t>
      </w:r>
    </w:p>
    <w:bookmarkEnd w:id="27"/>
    <w:bookmarkStart w:id="28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In this reproducible v4 open-data benchmark, AD blood transcriptomic prediction shows robust leakage-safe target-domain signal above permutation null baselines. DE feature selection plus ComBat harmonization improves specific transfer settings, but transfer gains remain conditional rather than universal. The practical contribution is a transparent, executable protocol that sharpens claim boundaries for cross-cohort AD modeling.</w:t>
      </w:r>
    </w:p>
    <w:bookmarkEnd w:id="28"/>
    <w:bookmarkStart w:id="29" w:name="reproducibility"/>
    <w:p>
      <w:pPr>
        <w:pStyle w:val="Heading2"/>
      </w:pPr>
      <w:r>
        <w:t xml:space="preserve">8. Reproducibility</w:t>
      </w:r>
    </w:p>
    <w:p>
      <w:pPr>
        <w:pStyle w:val="FirstParagraph"/>
      </w:pPr>
      <w:r>
        <w:t xml:space="preserve">Code and artifacts: https://github.com/githubbermoon/bio-paper-track-open-phasea</w:t>
      </w:r>
    </w:p>
    <w:p>
      <w:pPr>
        <w:pStyle w:val="BodyText"/>
      </w:pPr>
      <w:r>
        <w:t xml:space="preserve">Run sequence:</w:t>
      </w:r>
      <w:r>
        <w:t xml:space="preserve"> </w:t>
      </w:r>
      <w:r>
        <w:t xml:space="preserve">1)</w:t>
      </w:r>
      <w:r>
        <w:t xml:space="preserve"> </w:t>
      </w:r>
      <w:r>
        <w:rPr>
          <w:rStyle w:val="VerbatimChar"/>
        </w:rPr>
        <w:t xml:space="preserve">python src/train/run_open_phaseA_benchmark.py</w:t>
      </w:r>
      <w:r>
        <w:t xml:space="preserve"> </w:t>
      </w:r>
      <w:r>
        <w:t xml:space="preserve">2)</w:t>
      </w:r>
      <w:r>
        <w:t xml:space="preserve"> </w:t>
      </w:r>
      <w:r>
        <w:rPr>
          <w:rStyle w:val="VerbatimChar"/>
        </w:rPr>
        <w:t xml:space="preserve">python src/eval/compute_open_phaseA_bootstrap.py</w:t>
      </w:r>
      <w:r>
        <w:t xml:space="preserve"> </w:t>
      </w:r>
      <w:r>
        <w:t xml:space="preserve">3)</w:t>
      </w:r>
      <w:r>
        <w:t xml:space="preserve"> </w:t>
      </w:r>
      <w:r>
        <w:rPr>
          <w:rStyle w:val="VerbatimChar"/>
        </w:rPr>
        <w:t xml:space="preserve">python src/ingest/fetch_ampad_open_subset.py</w:t>
      </w:r>
    </w:p>
    <w:p>
      <w:pPr>
        <w:pStyle w:val="BodyText"/>
      </w:pPr>
      <w:r>
        <w:t xml:space="preserve">Core outputs: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outputs/metrics/open_phaseA_main_results.csv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outputs/metrics/open_phaseA_predictions.csv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outputs/stats/open_phaseA_auroc_ci.csv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outputs/stats/open_phaseA_paired_tests.csv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outputs/stats/open_phaseA_stats.json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outputs/open_phaseA_data_manifest.json</w:t>
      </w:r>
    </w:p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NCBI GEO, “GSE63060.” https://www.ncbi.nlm.nih.gov/geo/query/acc.cgi?acc=GSE63060</w:t>
      </w:r>
    </w:p>
    <w:p>
      <w:pPr>
        <w:pStyle w:val="BodyText"/>
      </w:pPr>
      <w:r>
        <w:t xml:space="preserve">[2] NCBI GEO, “GSE63061.” https://www.ncbi.nlm.nih.gov/geo/query/acc.cgi?acc=GSE63061</w:t>
      </w:r>
    </w:p>
    <w:p>
      <w:pPr>
        <w:pStyle w:val="BodyText"/>
      </w:pPr>
      <w:r>
        <w:t xml:space="preserve">[3] AD Knowledge Portal, “Agora.” https://agora.adknowledgeportal.org/</w:t>
      </w:r>
    </w:p>
    <w:p>
      <w:pPr>
        <w:pStyle w:val="BodyText"/>
      </w:pPr>
      <w:r>
        <w:t xml:space="preserve">[4] AD Knowledge Portal API, “Nominated genes endpoint.” https://agora.adknowledgeportal.org/api/v1/genes/nominated</w:t>
      </w:r>
    </w:p>
    <w:p>
      <w:pPr>
        <w:pStyle w:val="BodyText"/>
      </w:pPr>
      <w:r>
        <w:t xml:space="preserve">[5] B. Efron and R. J. Tibshirani, An Introduction to the Bootstrap. Chapman &amp; Hall/CRC, 1993.</w:t>
      </w:r>
    </w:p>
    <w:p>
      <w:pPr>
        <w:pStyle w:val="BodyText"/>
      </w:pPr>
      <w:r>
        <w:t xml:space="preserve">[6] Y. Benjamini and Y. Hochberg, “Controlling the false discovery rate: a practical and powerful approach to multiple testing,” JRSS-B, 57(1):289-300, 1995. doi:10.1111/j.2517-6161.1995.tb02031.x.</w:t>
      </w:r>
    </w:p>
    <w:p>
      <w:pPr>
        <w:pStyle w:val="BodyText"/>
      </w:pPr>
      <w:r>
        <w:t xml:space="preserve">[7] G. K. Smyth, “Linear models and empirical bayes methods for assessing differential expression in microarray experiments,” Stat Appl Genet Mol Biol, 3:Article3, 2004. doi:10.2202/1544-6115.1027.</w:t>
      </w:r>
    </w:p>
    <w:p>
      <w:pPr>
        <w:pStyle w:val="BodyText"/>
      </w:pPr>
      <w:r>
        <w:t xml:space="preserve">[8] W. E. Johnson, C. Li, and A. Rabinovic, “Adjusting batch effects in microarray expression data using empirical Bayes methods,” Biostatistics, 8(1):118-127, 2007. doi:10.1093/biostatistics/kxj037.</w:t>
      </w:r>
    </w:p>
    <w:p>
      <w:pPr>
        <w:pStyle w:val="BodyText"/>
      </w:pPr>
      <w:r>
        <w:t xml:space="preserve">[9] M. E. Ritchie et al., “limma powers differential expression analyses for RNA-sequencing and microarray studies,” Nucleic Acids Res, 43(7):e47, 2015. doi:10.1093/nar/gkv007.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2026-04-05T05:29:15Z</dcterms:created>
  <dcterms:modified xsi:type="dcterms:W3CDTF">2026-04-05T05:29:15Z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